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qlrj06nnzv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DEVELOPMENTAL TASKS OF NORMAL ADOLESCENCE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years ago, Professor Robert Havighurst of the University of Chicago, USA, proposed that stages in human development can best be thought of in terms of the developmental ‘tasks’ that are part of the normal transition. He identified ten developmental tasks associated with the adolescent transition. Each of the Havighurst tasks can also be seen as elements of the overall sense of self that adolescents carry with them as they move towards and into young adulthood. Adolescents do not progress through these multiple developmental tasks separately; at any given time they may be dealing with several.</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adolescent must adjust to a new physical sense of self. At no other time since birth does an individual undergo such profound physical changes as during early adolescence. Puberty is marked by sudden rapid growth in height and weight. Also, the young person experiences the emergence and accentuation of those physical traits that make the person a boy or a girl. The young person looks less like a child and more like a physically mature adult. The effect of this rapid change is that mid-adolescents are body-conscious, and their concerns are directed towards their opposite-sexed peers.</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adolescent must adjust to new intellectual abilities. In addition to a sudden spurt in physical growth, adolescents experience a sudden increase in their ability to think about their world. As a normal part of maturity, they are able to think more things. However, they are also able to conceive of their world with awareness. Before adolescence, children’s thinking is dominated by a concrete example for any problem that they solve; their thinking is constrained to what is real and physical. During adolescence, young people begin to recognize and understand abstractions. The growth in ability to deal with abstractions accelerates during the middle stages of adolescence.</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adolescent must adjust to increased cognitive demands at school. Adults see high school in part as a place where adolescents prepare for adult roles and responsibilities and in part as preparatory for further education. School curricula are frequently dominated by the inclusion of more abstract, demanding material, regardless of whether the adolescents have achieved formal thought. Since not all adolescents make the intellectual transition at the same rate, demands for abstract thinking prior to the achievement of that ability may be frustrating.</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adolescent must adopt a personal value system. During adolescence, as teens develop increasingly complex knowledge systems, they also adopt an integrated set of values and morals. During the early stages of moral development, parents provide their child with a structured set of rules of what is right and wrong, what is acceptable and unacceptable. Eventually the adolescent must assess the parent's values as they come into conflict with values expressed by peers and other segments of society. To reconcile differences, the adolescent restructures those beliefs into a personal ideology.</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adolescent must develop expanded verbal skills to accommodate more complex concepts and tasks. Their limited language of childhood is no longer adequate. As their conceptual development may outstrip their verbal development, adolescents may appear less competent than they really are.</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adolescent must establish adult vocational goals. As part of the process of establishing a personal identity, the adolescent must also begin the process of focusing on the question, ‘What do you plan to be when you grow up?’ Mid-adolescents must identify, at least at a preliminary level, what their adult vocational goals are and how they intend to achieve them.</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adolescent must develop a personal sense of identity. Prior to adolescence, one’s identity is an extension of one’s parents’ identity. During the early adolescent years a young person begins to recognise their uniqueness and to establish themselves as separate individuals, independent of their parents. As such, one must reconsider the answer to the question, ‘what does it mean to be me?’ or ‘who am I?’</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adolescent must establish emotional and psychological independence from his or her parents, childhood is marked by strong dependence on one’s parents. Adolescents may yearn to keep that safe, secure, supportive, dependent relationship. Yet, to be an adult implies a sense of independence, of autonomy, of being one’s own person. In an attempt to assert their need for independence and individuality, adolescents may respond with what appears to be hostility and lack of cooperation.</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adolescent must develop stable and productive peer relationships. Although peer interaction is not unique to adolescence, it seems to hit a peak of importance during early adolescence. Certainly by late adolescence or early adulthood the need for peer approval has diminished. This degree to which an adolescent is able to make friends and have an accepting peer group, though, is a major indicator of how well the adolescent will adjust in other areas of social and psychological development. Early adolescence is also a period of intense conformity to peers. 'Fitting in', not being different, and being accepted seem somehow pressing to this age group. The worst possibility, from the view of the young teen, is to be seen by peers as different.</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adolescent must develop increased impulse control and behavioural maturity. In their shift to adulthood, most young people engage in one or more behaviours that place them at physical, social, or educational risk. Risky behaviours are sufficiently pervasive among adolescents to suggest that risk-taking may be a normal developmental process of middle adolescence. Gradually adolescents develop a set of behavioural self-controls through which they assess which behaviours are acceptable and adult-like.</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vài năm trước, Giáo sư Robert Havighurst của Đại học Chicago, Hoa Kỳ, đề xuất rằng các giai đoạn phát triển của con người có thể được hiểu rõ nhất dưới góc độ những “nhiệm vụ” phát triển, vốn là một phần của quá trình chuyển tiếp bình thường. Ông xác định mười nhiệm vụ phát triển gắn liền với quá trình chuyển tiếp sang tuổi vị thành niên. Mỗi nhiệm vụ của Havighurst cũng có thể được xem là một yếu tố cấu thành nhận thức tổng thể về bản thân mà thanh thiếu niên mang theo khi tiến tới và bước vào giai đoạn trưởng thành. Thanh thiếu niên không trải qua riêng lẻ từng nhiệm vụ phát triển này; tại bất kỳ thời điểm nào, các em có thể phải đối mặt với nhiều nhiệm vụ cùng lúc.</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thiếu niên phải thích nghi với một nhận thức mới về cơ thể của mình. Không có thời điểm nào khác kể từ khi sinh ra mà một cá nhân trải qua những thay đổi sâu sắc về thể chất như trong giai đoạn đầu của tuổi vị thành niên. Tuổi dậy thì được đánh dấu bằng sự tăng trưởng đột ngột và nhanh chóng về chiều cao và cân nặng. Đồng thời, người trẻ trải qua sự xuất hiện và phát triển rõ nét của những đặc điểm thể chất khiến họ trở thành một bé trai hoặc một bé gái. Người trẻ trông ít giống một đứa trẻ hơn và giống một người trưởng thành có cơ thể phát triển hoàn chỉnh hơn. Tác động của sự thay đổi nhanh chóng này là những người ở giai đoạn giữa tuổi vị thành niên trở nên đặc biệt ý thức về cơ thể của mình, và mối quan tâm của họ hướng đến những bạn đồng trang lứa khác giới.</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thiếu niên phải thích nghi với những năng lực trí tuệ mới. Bên cạnh sự tăng trưởng đột ngột về thể chất, thanh thiếu niên còn trải qua sự gia tăng nhanh chóng về khả năng suy nghĩ về thế giới xung quanh. Là một phần bình thường của quá trình trưởng thành, các em có khả năng suy nghĩ về nhiều vấn đề hơn. Tuy nhiên, các em cũng có khả năng hình dung thế giới của mình với sự nhận thức rõ ràng hơn. Trước tuổi vị thành niên, tư duy của trẻ em bị chi phối bởi một ví dụ cụ thể cho mỗi vấn đề mà các em giải quyết; tư duy của các em bị giới hạn trong những gì có thực và mang tính vật chất. Trong thời kỳ vị thành niên, người trẻ bắt đầu nhận ra và hiểu được những khái niệm trừu tượng. Khả năng xử lý các khái niệm trừu tượng tăng nhanh trong các giai đoạn giữa của tuổi vị thành niên.</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thiếu niên phải thích nghi với những yêu cầu nhận thức ngày càng cao ở trường học. Người lớn coi trường trung học, một phần, là nơi thanh thiếu niên chuẩn bị cho các vai trò và trách nhiệm của người trưởng thành, và một phần, là sự chuẩn bị cho việc học tập cao hơn. Chương trình học thường bị chi phối bởi việc đưa vào những tài liệu mang tính trừu tượng hơn và đòi hỏi cao hơn, bất kể thanh thiếu niên đã đạt được tư duy hình thức hay chưa. Vì không phải tất cả thanh thiếu niên đều thực hiện quá trình chuyển đổi trí tuệ với cùng một tốc độ, những yêu cầu về tư duy trừu tượng trước khi đạt được năng lực đó có thể gây ra sự thất vọng.</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thiếu niên phải hình thành một hệ thống giá trị cá nhân. Trong thời kỳ vị thành niên, khi thanh thiếu niên phát triển những hệ thống kiến thức ngày càng phức tạp, các em cũng hình thành một tập hợp các giá trị và chuẩn mực đạo đức được tích hợp. Trong những giai đoạn đầu của quá trình phát triển đạo đức, cha mẹ cung cấp cho con mình một hệ thống quy tắc có cấu trúc về điều gì đúng và sai, điều gì có thể chấp nhận và không thể chấp nhận. Cuối cùng, thanh thiếu niên phải đánh giá lại các giá trị của cha mẹ khi chúng xung đột với những giá trị được thể hiện bởi bạn bè đồng trang lứa và các bộ phận khác của xã hội. Để dung hòa những khác biệt, thanh thiếu niên tái cấu trúc những niềm tin đó thành một hệ tư tưởng cá nhân.</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thiếu niên phải phát triển các kỹ năng ngôn ngữ mở rộng để đáp ứng những khái niệm và nhiệm vụ phức tạp hơn. Ngôn ngữ hạn chế của thời thơ ấu không còn đủ đáp ứng nữa. Vì sự phát triển về khái niệm có thể vượt xa sự phát triển về ngôn ngữ, thanh thiếu niên có thể tỏ ra kém năng lực hơn so với thực tế.</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thiếu niên phải xác lập các mục tiêu nghề nghiệp khi trưởng thành. Là một phần của quá trình hình thành bản sắc cá nhân, thanh thiếu niên cũng phải bắt đầu quá trình tập trung vào câu hỏi: “Khi lớn lên, bạn dự định trở thành người như thế nào?” Những người ở giai đoạn giữa tuổi vị thành niên phải xác định, ít nhất ở mức độ sơ bộ, mục tiêu nghề nghiệp khi trưởng thành của mình là gì và họ dự định đạt được những mục tiêu đó như thế nào.</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thiếu niên phải phát triển ý thức cá nhân về bản sắc. Trước tuổi vị thành niên, bản sắc của một người là sự mở rộng từ bản sắc của cha mẹ. Trong những năm đầu của tuổi vị thành niên, người trẻ bắt đầu nhận ra sự độc đáo của bản thân và xác lập mình là những cá nhân riêng biệt, độc lập với cha mẹ. Vì vậy, người trẻ phải xem xét lại câu trả lời cho câu hỏi: “Là chính mình có nghĩa là gì?” hoặc “Tôi là ai?”</w:t>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thiếu niên phải thiết lập sự độc lập về cảm xúc và tâm lý đối với cha mẹ, thời thơ ấu được đánh dấu bởi sự phụ thuộc mạnh mẽ vào cha mẹ. Thanh thiếu niên có thể khao khát duy trì mối quan hệ an toàn, ổn định, hỗ trợ và phụ thuộc đó. Tuy nhiên, trở thành người trưởng thành hàm ý một cảm giác độc lập, tự chủ và là một cá thể của riêng mình. Trong nỗ lực khẳng định nhu cầu độc lập và tính cá nhân, thanh thiếu niên có thể phản ứng theo cách dường như là thù địch và thiếu hợp tác.</w:t>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thiếu niên phải phát triển các mối quan hệ ổn định và tích cực với bạn bè đồng trang lứa. Mặc dù sự tương tác với bạn bè đồng trang lứa không chỉ có ở tuổi vị thành niên, dường như nó đạt đến đỉnh điểm về mức độ quan trọng trong giai đoạn đầu của tuổi vị thành niên. Chắc chắn rằng vào cuối tuổi vị thành niên hoặc đầu tuổi trưởng thành, nhu cầu được bạn bè đồng trang lứa chấp nhận đã giảm đi. Tuy nhiên, mức độ mà một thanh thiếu niên có thể kết bạn và có một nhóm bạn chấp nhận mình là một chỉ báo quan trọng về việc thanh thiếu niên đó sẽ thích nghi tốt đến đâu trong các lĩnh vực khác của sự phát triển xã hội và tâm lý. Giai đoạn đầu của tuổi vị thành niên cũng là thời kỳ tuân theo bạn bè đồng trang lứa một cách mạnh mẽ. “Hòa nhập”, không khác biệt và được chấp nhận dường như là những điều đặc biệt cấp thiết đối với nhóm tuổi này. Khả năng tồi tệ nhất, theo quan điểm của một thiếu niên trẻ, là bị bạn bè đồng trang lứa xem là khác biệt.</w:t>
            </w:r>
          </w:p>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thiếu niên phải phát triển khả năng kiểm soát xung động cao hơn và sự trưởng thành về hành vi. Trong quá trình chuyển sang tuổi trưởng thành, hầu hết người trẻ đều tham gia vào một hoặc nhiều hành vi khiến họ gặp rủi ro về thể chất, xã hội hoặc giáo dục. Những hành vi mạo hiểm phổ biến đến mức cho thấy việc chấp nhận rủi ro có thể là một quá trình phát triển bình thường ở giai đoạn giữa của tuổi vị thành niên. Dần dần, thanh thiếu niên phát triển một hệ thống tự kiểm soát hành vi, qua đó các em đánh giá những hành vi nào là có thể chấp nhận được và phù hợp với người trưởng thành.</w:t>
            </w:r>
          </w:p>
        </w:tc>
      </w:tr>
    </w:tbl>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44">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human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sự phát triển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developmental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thuộc về 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developmental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nhiệm vụ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in terms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xét về / theo 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normal transition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quá trình chuyển tiếp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associate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gắn liền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adolescent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thanh thiếu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adolescence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tuổi vị thành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transition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sự chuyển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overall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sense of 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nhận thức về bản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carry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mang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young adulthood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giai đoạn đầu tuổi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progress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trải qua / tiến triển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separately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một cách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at any given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tại bất kỳ thời điểm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đối phó /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adjust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physical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thuộc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profound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sâu sắc / lớn lao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physical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sự thay đổi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undergo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puberty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tuổi dậy thì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be marked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được đánh dấu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sudden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đột ngột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rapid 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sự tăng trưởng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height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chiều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cân nặng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trải nghiệm / 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emergence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sự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accentuation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sự nổi bật / 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physical 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đặc điểm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mature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physically mature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trưởng thành về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body-conscious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ý thức rõ về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mối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be directed towards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opposite-sexed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khác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peer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bạn đồng trang lứa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intellectual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thuộc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intellectual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năng lực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in addition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ngoài / bên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spurt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sự tăng vọt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physical 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sự phát triển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think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suy nghĩ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maturity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sự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conceive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hình dung / nhận thức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awareness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dominate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chi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concrete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concrete 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ví dụ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constrain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be constrained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bị giới hạn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real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có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physical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thuộc vật chất /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recognize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abstraction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khái niệm trừu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xử lý / 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accelerate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tăng tốc / đẩy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middle 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giai đoạn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cognitive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cognitive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yêu cầu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at school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ở trường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high school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trường trung học phổ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in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prepare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chuẩn bị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adult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vai trò của người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responsibility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trách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preparatory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mang tính chuẩn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further 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giáo dục bậc 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curriculum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chương trình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inclusion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sự đưa vào /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abstract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trừu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demanding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đòi hỏi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tài liệu / nội dung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regardless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bất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formal thought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tư duy 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at the same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với cùng tốc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prior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trước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achievement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sự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frustrating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gây thất vọng / ức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tiếp nhận /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personal value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hệ thống giá trị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knowledge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hệ thống 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integrated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được tích hợp / thống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set of values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hệ thống các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moral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thuộc đạo đức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moral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sự phát triển đạo đức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structured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có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quy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acceptable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có thể chấp nhận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unacceptable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không thể chấp nhận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come into conflict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xung đột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peer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bạn đồng trang lứa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segment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bộ phận /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reconcile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hòa giải / dung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restructure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tái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ideology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hệ tư tưởng /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verbal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thuộc lời nói /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verbal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kỹ năng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accommodate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đáp ứng / thích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adequate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đủ /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conceptual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thuộc 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conceptual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sự phát triển tư duy 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outstrip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vượt qua / phát triển nhanh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verbal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sự phát triển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competent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có 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vocational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thuộc 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vocational 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mục tiêu 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thiết lập / xác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personal 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bản sắc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preliminary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sơ bộ /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intend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dự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sense of 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nhận thức về bản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prior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extension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phần mở rộng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recognize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uniqueness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tính 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establish oneself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xác lập bản thân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separate 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cá nhân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independent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độc lập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reconsider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xem xét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emotional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thuộc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psychological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thuộc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emotional independence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sự độc lập về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psychological independence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sự độc lập về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dependence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sự phụ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strong dependence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sự phụ thuộc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yearn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khao khát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secure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an toàn / vững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supportive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dependent 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mối quan hệ phụ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imply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hàm ý / bao hàm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autonomy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quyền tự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assert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khẳng định / thể hiện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individuality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tính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respond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phản ứng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hostility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sự thù địch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lack of cooperation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sự thiếu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stable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productive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hiệu quả / mang lại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peer relationship</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mối quan hệ với bạn đồng trang lứa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peer interaction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sự tương tác với bạn bè đồng trang lứa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unique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đặc trưng riêng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hit a peak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đạt đỉnh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approval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sự chấp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diminish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giảm bớt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degree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make friends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kết bạn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accepting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cởi mở /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peer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nhóm bạn đồng trang lứa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indicator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dấu hiệu / chỉ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adjust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social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thuộc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psychological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thuộc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intense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mãnh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conformity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sự tuân thủ / hòa nhập theo số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fit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hòa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pressing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cấp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age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nhóm tuổi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possibility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khả năng / tình huống có thể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from the view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theo quan điểm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increased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impulse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sự thôi thúc / xung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impulse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khả năng kiểm soát xung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behavioural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thuộc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behavioural maturity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sự trưởng thành về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shift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chuyển sang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engage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tham gia vào /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place ... at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đặt ... vào tình trạng rủi 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physical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rủi ro về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social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rủi ro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educational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rủi ro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risky 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hành vi mạo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pervasive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risk-taking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hành vi chấp nhận rủi 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cho thấy /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developmental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quá trình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self-control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khả năng tự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acceptable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có thể chấp nhận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adult-like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giống người trưởng thành</w:t>
            </w:r>
          </w:p>
        </w:tc>
      </w:tr>
    </w:tbl>
    <w:p w:rsidR="00000000" w:rsidDel="00000000" w:rsidP="00000000" w:rsidRDefault="00000000" w:rsidRPr="00000000" w14:paraId="000001EF">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uqc08x8rg62r"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F1">
      <w:pPr>
        <w:pStyle w:val="Heading1"/>
        <w:jc w:val="both"/>
        <w:rPr>
          <w:rFonts w:ascii="Oswald Medium" w:cs="Oswald Medium" w:eastAsia="Oswald Medium" w:hAnsi="Oswald Medium"/>
          <w:color w:val="3d85c6"/>
          <w:sz w:val="34"/>
          <w:szCs w:val="34"/>
        </w:rPr>
      </w:pPr>
      <w:bookmarkStart w:colFirst="0" w:colLast="0" w:name="_8lq0bzvzc7n2"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F2">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F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 in the early Cretaceous period of the Earth’s history, hunting wasps of a certain type became bees by adopting a vegetarian diet: they began to rely more and more on the pollen of plants as a source of protein for themselves and their offspring, as an alternative to insects. In so doing, they accidentally transported pollen on their bodies to other plants of the same species, bringing about pollination. The stage was thus set for a succession of ever-closer mutual adaptations of bees and flowering plants. In particular, flowers began to reward bees for their unwitting role in their reproduction by providing richer sources of pollen and another source of nutrition, nectar.</w:t>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about 15 per cent of our diet consists of crops which are pollinated by bees. The meat and other animal products we consume are ultimately derived from bee-pollinated forage crops, and account for another 15 per cent. It follows that around one third of our food is directly or indirectly dependent on the pollinating services of bees. On a global basis, the annual value of agricultural crops dependent on the pollination services of bees is estimated at £1,000 million (US$1,590 million). Much of this pollination is due to honey bees, and in monetary terms it exceeds the value of the annual honey crop by a factor of fifty.</w:t>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apparently harmonious relationship between bees and plants conceals a conflict of interests. Although flowers need bees and vice versa, it pays each partner to minimise its costs and maximise its profits. This may sound like an extreme case of attributing human qualities to non-human species, but using the marketplace and the principles of double-entry book keeping as metaphors may give us some insights into what is really going on between bees and flowering plants. In the real world, both flower and bee operate in a competitive marketplace. A community of retailers, the flowers, seek to attract more or less discriminating consumers, the bees. Each flower has to juggle the costs and benefits of investing in advertising, by colour and scent, and providing rewards, nectar and pollen, clearly a species which depends on cross-pollination is on a knife-edge: it must provide sufficient nectar to attract the interest of a bee, but not enough to satisfy all of its needs in one visit. A satiated bee would return to its nest rather than visit another flower. The bee, on the other hand, is out to get the maximum amount of pollen and nectar. It must assess the quality and quantity of rewards which are on offer and juggle its energy costs so that it makes a calorific profit on each foraging trip. The apparent harmony between plants and bees is therefore not all that it seems. Instead, it is an equilibrium based on compromises between the competing interests of the protagonists.</w:t>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sounds remarkably like the ideas of the 18th-century economist Adam Smith. In his book, The Wealth of Nations, Smith postulated that in human society the competitive interactions of different ‘economic units’ eventually resulted in a balanced, or ‘harmonious’ society. One might predict, therefore, that economists would find the relationships between bees and plants of some interest. This is the case in Israel, where economists are collaborating with botanists and entomologists in a long-term study of the pollination biology of the native flora, in an attempt to understand the dynamics of the relationship between communities of bees and plants.</w:t>
            </w:r>
          </w:p>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sort of study is of more than passing academic interest. It is important that authorities understand the dynamic relationships between plants and their pollinators. This is especially true when, say, devising conservation policies. A good example comes from the forests of tropical South America. Here, as in all rainforests, there is a high diversity of tree species. There may be more than 120 per acre, but in a given acre there may only be one or two individuals of any one species: These trees are pollinated by large, fast-flying bees. There is evidence that certain types of bees learn the distribution of these scattered trees and forage regularly along the same routes. This is called ‘trap-lining’ and the bees forage for up to 23km from their nests. The bees are therefore acting as long distance pollinators.</w:t>
            </w:r>
          </w:p>
          <w:p w:rsidR="00000000" w:rsidDel="00000000" w:rsidP="00000000" w:rsidRDefault="00000000" w:rsidRPr="00000000" w14:paraId="000002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issue of current concern in tropical forest conservation is that of trying to estimate the minimum sustainable size of islands of forest reserve in areas where large-scale felling is taking place. There is much discussion on seed dispersal distances. But this is only one half of the equation, so far as the reproduction of trees is concerned. There is another question that must be addressed in order to calculate whether proposed forest reserves are close enough to the nearest large tract of forest: ‘what is the flight range of these long-distance foragers?’ We need to know much more about bees and their relationships with plants before this question can be answered.</w:t>
            </w:r>
          </w:p>
          <w:p w:rsidR="00000000" w:rsidDel="00000000" w:rsidP="00000000" w:rsidRDefault="00000000" w:rsidRPr="00000000" w14:paraId="000002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Bees, then, are vital to our survival. Furthermore, much of the visual impact of human environments derives from vegetation, and most vegetation is dependent on bees for pollination. Thus, as pollinators of crops and natural vegetation, bees occupy key positions in the web of relationships which sustain the living architecture of our planet.</w:t>
            </w:r>
          </w:p>
          <w:p w:rsidR="00000000" w:rsidDel="00000000" w:rsidP="00000000" w:rsidRDefault="00000000" w:rsidRPr="00000000" w14:paraId="000002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một thời điểm nào đó trong đầu kỷ Phấn trắng của lịch sử Trái Đất, những con ong săn mồi thuộc một loại nhất định đã trở thành ong bằng cách chuyển sang chế độ ăn chay: chúng bắt đầu ngày càng phụ thuộc nhiều hơn vào phấn hoa của thực vật như một nguồn protein cho bản thân và con non, thay thế cho côn trùng. Khi làm như vậy, chúng vô tình vận chuyển phấn hoa trên cơ thể mình đến những cây khác cùng loài, từ đó tạo ra quá trình thụ phấn. Vì vậy, nền tảng đã được hình thành cho một chuỗi những sự thích nghi lẫn nhau ngày càng chặt chẽ giữa ong và thực vật có hoa. Đặc biệt, hoa bắt đầu “thưởng” cho ong vì vai trò vô tình của chúng trong quá trình sinh sản của hoa bằng cách cung cấp những nguồn phấn hoa dồi dào hơn và một nguồn dinh dưỡng khác là mật hoa.</w:t>
            </w:r>
          </w:p>
          <w:p w:rsidR="00000000" w:rsidDel="00000000" w:rsidP="00000000" w:rsidRDefault="00000000" w:rsidRPr="00000000" w14:paraId="000002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khoảng 15 phần trăm chế độ ăn của chúng ta bao gồm các loại cây trồng được ong thụ phấn. Thịt và các sản phẩm động vật khác mà chúng ta tiêu thụ cuối cùng đều có nguồn gốc từ các loại cây thức ăn gia súc được ong thụ phấn, và chiếm thêm 15 phần trăm. Điều đó có nghĩa là khoảng một phần ba lượng thực phẩm của chúng ta phụ thuộc trực tiếp hoặc gián tiếp vào dịch vụ thụ phấn của ong. Trên phạm vi toàn cầu, giá trị hàng năm của các loại cây nông nghiệp phụ thuộc vào dịch vụ thụ phấn của ong được ước tính là £1,000 triệu (US$1,590 triệu). Phần lớn quá trình thụ phấn này là nhờ ong mật, và xét về giá trị tiền tệ, nó vượt giá trị sản lượng mật ong hàng năm tới năm mươi lần.</w:t>
            </w:r>
          </w:p>
          <w:p w:rsidR="00000000" w:rsidDel="00000000" w:rsidP="00000000" w:rsidRDefault="00000000" w:rsidRPr="00000000" w14:paraId="000002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mối quan hệ có vẻ hài hòa giữa ong và thực vật lại che giấu một sự xung đột về lợi ích. Mặc dù hoa cần ong và ngược lại, mỗi bên đều có lợi khi giảm thiểu chi phí và tối đa hóa lợi nhuận của mình. Điều này có vẻ như là một trường hợp cực đoan của việc gán những đặc điểm của con người cho các loài không phải con người, nhưng việc sử dụng thị trường và các nguyên tắc của phương pháp ghi sổ kép như những phép ẩn dụ có thể giúp chúng ta hiểu rõ hơn về những gì thực sự đang diễn ra giữa ong và thực vật có hoa. Trong thế giới thực, cả hoa và ong đều hoạt động trong một thị trường cạnh tranh. Một cộng đồng những người bán lẻ, tức các loài hoa, tìm cách thu hút những người tiêu dùng ít nhiều có sự lựa chọn, tức những con ong. Mỗi bông hoa phải cân nhắc giữa chi phí và lợi ích của việc đầu tư vào quảng cáo bằng màu sắc và mùi hương, cũng như cung cấp phần thưởng là mật hoa và phấn hoa; rõ ràng, một loài phụ thuộc vào thụ phấn chéo đang ở thế cân bằng mong manh: nó phải cung cấp đủ mật hoa để thu hút sự quan tâm của một con ong, nhưng không được đủ để đáp ứng tất cả nhu cầu của nó chỉ trong một lần ghé thăm. Một con ong đã ăn no sẽ quay về tổ thay vì ghé thăm một bông hoa khác. Mặt khác, con ong tìm cách lấy được lượng phấn hoa và mật hoa tối đa. Nó phải đánh giá chất lượng và số lượng phần thưởng được cung cấp, đồng thời cân đối chi phí năng lượng để đảm bảo thu được lợi nhuận về năng lượng trong mỗi chuyến kiếm ăn. Do đó, sự hài hòa bề ngoài giữa thực vật và ong không hoàn toàn giống như vẻ ngoài của nó. Thay vào đó, đó là một trạng thái cân bằng dựa trên những sự thỏa hiệp giữa các lợi ích cạnh tranh của các bên tham gia.</w:t>
            </w:r>
          </w:p>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nghe giống một cách đáng kinh ngạc với những tư tưởng của nhà kinh tế học thế kỷ 18 Adam Smith. Trong cuốn sách The Wealth of Nations, Smith đưa ra giả thuyết rằng trong xã hội loài người, sự tương tác cạnh tranh giữa các “đơn vị kinh tế” khác nhau cuối cùng dẫn đến một xã hội cân bằng, hay “hài hòa”. Do đó, người ta có thể dự đoán rằng các nhà kinh tế học sẽ thấy mối quan hệ giữa ong và thực vật rất đáng quan tâm. Điều này đúng ở Israel, nơi các nhà kinh tế học đang hợp tác với các nhà thực vật học và côn trùng học trong một nghiên cứu dài hạn về sinh học thụ phấn của hệ thực vật bản địa, nhằm cố gắng tìm hiểu động lực của mối quan hệ giữa các cộng đồng ong và thực vật.</w:t>
            </w:r>
          </w:p>
          <w:p w:rsidR="00000000" w:rsidDel="00000000" w:rsidP="00000000" w:rsidRDefault="00000000" w:rsidRPr="00000000" w14:paraId="000002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nghiên cứu này không chỉ có giá trị học thuật nhất thời. Điều quan trọng là các cơ quan chức năng phải hiểu được những mối quan hệ năng động giữa thực vật và các loài thụ phấn của chúng. Điều này đặc biệt đúng khi, chẳng hạn, xây dựng các chính sách bảo tồn. Một ví dụ điển hình đến từ các khu rừng nhiệt đới Nam Mỹ. Tại đây, cũng như ở tất cả các khu rừng mưa nhiệt đới, có sự đa dạng cao về các loài cây. Có thể có hơn 120 cây trên mỗi acre, nhưng trong một acre nhất định có thể chỉ có một hoặc hai cá thể của bất kỳ loài nào: những cây này được thụ phấn bởi những con ong lớn, bay nhanh. Có bằng chứng cho thấy một số loại ong học được sự phân bố của những cây nằm rải rác này và thường xuyên kiếm ăn dọc theo cùng những tuyến đường. Hiện tượng này được gọi là “trap-lining” và những con ong kiếm ăn trong phạm vi lên tới 23km tính từ tổ của chúng. Vì vậy, những con ong đang hoạt động như những loài thụ phấn đường dài.</w:t>
            </w:r>
          </w:p>
          <w:p w:rsidR="00000000" w:rsidDel="00000000" w:rsidP="00000000" w:rsidRDefault="00000000" w:rsidRPr="00000000" w14:paraId="000002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vấn đề hiện đang được quan tâm trong công tác bảo tồn rừng nhiệt đới là cố gắng ước tính kích thước tối thiểu có thể duy trì bền vững của các khu rừng dự trữ trong những khu vực đang diễn ra hoạt động khai thác gỗ quy mô lớn. Có nhiều cuộc thảo luận về khoảng cách phát tán hạt giống. Nhưng xét về quá trình sinh sản của cây, đây mới chỉ là một nửa của vấn đề. Có một câu hỏi khác cần được giải quyết để tính toán liệu các khu rừng dự trữ được đề xuất có đủ gần với khu rừng rộng lớn gần nhất hay không: “phạm vi bay của những loài kiếm ăn đường dài này là bao nhiêu?” Chúng ta cần biết nhiều hơn về ong và mối quan hệ của chúng với thực vật trước khi có thể trả lời câu hỏi này.</w:t>
            </w:r>
          </w:p>
          <w:p w:rsidR="00000000" w:rsidDel="00000000" w:rsidP="00000000" w:rsidRDefault="00000000" w:rsidRPr="00000000" w14:paraId="000002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ong đóng vai trò thiết yếu đối với sự sống còn của chúng ta. Hơn nữa, phần lớn tác động thị giác của môi trường sống của con người bắt nguồn từ thảm thực vật, và phần lớn thảm thực vật phụ thuộc vào ong để được thụ phấn. Do đó, với vai trò là những loài thụ phấn cho cây trồng và thảm thực vật tự nhiên, ong giữ những vị trí then chốt trong mạng lưới các mối quan hệ duy trì cấu trúc sống của hành tinh chúng ta.</w:t>
            </w:r>
          </w:p>
        </w:tc>
      </w:tr>
    </w:tbl>
    <w:p w:rsidR="00000000" w:rsidDel="00000000" w:rsidP="00000000" w:rsidRDefault="00000000" w:rsidRPr="00000000" w14:paraId="000002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19">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early Cretaceous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đầu Kỷ Phấn Trắng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Earth’s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lịch sử Trái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hunting wasp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ong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certain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một loại 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become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trở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áp dụng / chuyển sang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vegetarian 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chế độ ăn chay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ngày càng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pollen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phấn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thực vật /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source of protein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nguồn protein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offspring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con non / thế hệ con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alternative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sự thay thế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insect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in so doing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bằng cách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accidentally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tình cờ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on one’s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trên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bring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gây ra / mang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pollination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sự thụ phấn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set the stage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tạo tiền đề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succession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sự nối tiếp / chuỗi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ever-closer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ngày càng gần gũi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mutual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lẫn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adaptation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sự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mutual adaptation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sự thích nghi lẫn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flowering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thực vật có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in 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thưởng / đền đáp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unwitting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vô tình / không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reproduction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sự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rich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source of nutrition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nguồn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nectar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mật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cây trồng / nông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pollinate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thụ phấn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bee-pollinated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được ong thụ phấn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meat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animal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sản phẩm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cuối cùng / xét cho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derive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có nguồn gốc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forage 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cây thức ăn 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chiếm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one third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một phần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indirectly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gián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pollinating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dịch vụ thụ phấn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on a global basis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trên phạm vi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annual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agricultural 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cây trồng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monetary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giá trị tiền tệ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do / nhờ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honey bee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ong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in monetary terms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xét về mặt tiền tệ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exceed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vượt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annual honey 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sản lượng mật ong 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by a factor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gấp ... lần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apparently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có vẻ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harmonious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hài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conceal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che giấu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conflict of interests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xung đột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vice versa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và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pay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có lợi / đáng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partner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đối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minimise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giảm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maximise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tối đa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extreme 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trường hợp cực đoan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attribute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quy cho / gán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human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phẩm chất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non-human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loài không phải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marketplace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nguyên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double-entry bookkeeping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kế toán kép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metaphor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phép ẩn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sự hiểu biết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competitive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mang tính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competitive marketplace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thị trường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retailer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nhà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seek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tìm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discriminating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có khả năng lựa chọn kỹ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juggle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cân đối / xoay xở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investment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sự 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invest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đầu tư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advertising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scent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mùi 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phần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cross-pollination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thụ phấn chéo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be on a knife-edge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ở tình thế rất mong manh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attract the interest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thu hút sự quan tâm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satisfy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đáp ứng / thỏa mãn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satiated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no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return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on the other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mặt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be out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cố gắng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maximum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tối 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on 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được cung cấp / đang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energy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chi phí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calorific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thuộc năng lượng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calorific 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lợi nhuận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foraging 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chuyến kiếm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có vẻ / bề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harmony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sự hài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therefore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equilibrium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trạng thái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compromise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sự thỏa 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competing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protagonist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bên tham gia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remarkably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đáng chú ý /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economist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nhà kinh tế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18th-century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thuộc thế kỷ 18</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postulate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đưa ra giả thuyết /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human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xã hội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competitive 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sự tương tác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economic 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đơn vị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balanced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harmonious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xã hội hài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be of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đáng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collaborate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botanist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nhà thực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entomologist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nhà côn trùng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long-term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nghiên cứu dài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pollination biology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sinh học thụ phấn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native flora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hệ thực vật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in an attempt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nhằm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dynamics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động lực học / diễn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passing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thoáng qua / nhất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academic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mối quan tâm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cơ quan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dynamic 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mối quan hệ năng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pollinator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sinh vật thụ phấn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especially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xây dựng / đề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conservation policy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chính sách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tropical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tropical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rừng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tree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loài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per acre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trên mỗi mẫu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fast-flying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bay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distribution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sự phân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scattered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rải rác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forage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kiếm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regularly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tuyến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trap-lining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kiếm ăn theo tuyến cố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flight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chuyến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long-distance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đường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long-distance pollinator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sinh vật thụ phấn đường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current 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mối quan tâm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forest 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bảo tồn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minimum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sustainable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quy mô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forest 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khu bảo tồn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large-scale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felling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việc đốn hạ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seed dispersal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sự phát tán hạt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dispersal 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khoảng cách phát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half of the equation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một nửa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so far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xét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reproduction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sự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address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giải quyết /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calculate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proposed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được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forest 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khu bảo tồn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tract of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vùng rừng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flight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phạm vi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forager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sinh vật kiếm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answer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trả lời / giải đáp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thiết yếu / sống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sự sống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visual 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tác động về mặt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human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môi trường sống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vegetation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thảm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natural vegetation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thảm thực vật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occupy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giữ / chiếm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key 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vị trí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web of relationships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mạng lưới các 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sustain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duy trì / 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living architecture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kiến trúc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planet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hành tinh</w:t>
            </w:r>
          </w:p>
        </w:tc>
      </w:tr>
    </w:tbl>
    <w:p w:rsidR="00000000" w:rsidDel="00000000" w:rsidP="00000000" w:rsidRDefault="00000000" w:rsidRPr="00000000" w14:paraId="000003CC">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l6fvbr53arn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CE">
      <w:pPr>
        <w:pStyle w:val="Heading1"/>
        <w:jc w:val="both"/>
        <w:rPr>
          <w:rFonts w:ascii="Oswald Medium" w:cs="Oswald Medium" w:eastAsia="Oswald Medium" w:hAnsi="Oswald Medium"/>
          <w:color w:val="3d85c6"/>
          <w:sz w:val="34"/>
          <w:szCs w:val="34"/>
        </w:rPr>
      </w:pPr>
      <w:bookmarkStart w:colFirst="0" w:colLast="0" w:name="_149ksihetb8z"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CF">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D0">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NEW STAGE IN THE STUDY AND TEACHING OF HISTORY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hundreds of years, historians have relied on written or printed documents to provide the bulk of their source materials, and they have largely communicated with students and the wider public by writing books and journal articles. Today, however, the printed word is being superseded by a diversity of forms of communication, above all moving images on video or film.</w:t>
            </w:r>
          </w:p>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development of this new form of communication is leading to a growing gap between the practice of professional historians based in academia, and the practice of those aiming to popularize the study of history among the general public, and to encourage people to create their own records for the future. On the one hand, there are mainstream academics who continue to use only the written word as they examine more and more fields with an ever-increasing number of sophisticated methodologies. On the other hand, film and video, especially as broadcast on television, are probably the major influence on the public’s consciousness of history, as they see film of events of fifty or a hundred years ago, events they had previously only read about.</w:t>
            </w:r>
          </w:p>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a related development, a great many people now document local and family events in the form of videos; many schools, too, produce video yearbooks. All these visual records may well prove to be invaluable sources of information for future historians. The glaring contradiction is that the two approaches - the academic and what we might term the popular - have intersected very little: with a few notable exceptions, professional historians have tended to avoid involvement in television programmes about history, and have even less impact on what is being captured and preserved on video. And the potential of moving images has wielded negligible influence on the academic study of history.</w:t>
            </w:r>
          </w:p>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This gulf can be seen as resulting from the willingness or otherwise of individual historians to accept the validity of new forms of communication in the study of history. This is not the first time that the question has arisen. The study of history, as conceived of today, began with the transition from oral to literate culture, leading to the earliest written records and the earliest historical studies. The next great shift came with the advent of printing, which transformed everything. Today, as the printed word loses its dominance, historians are faced with a variety of forms of communication, ranging from simple audiotape to the promising complexities of videodiscs linked with computers. As yet, however, the use of moving images to record current events for the benefit of future historians does not even have a commonly agreed name.</w:t>
            </w:r>
          </w:p>
          <w:p w:rsidR="00000000" w:rsidDel="00000000" w:rsidP="00000000" w:rsidRDefault="00000000" w:rsidRPr="00000000" w14:paraId="000003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This does not mean that mainstream historians have totally rejected the use of moving images as sources: the majority seem intrigued by the idea, and valuable research has been carried out into the history and analysis of films with a broad circulation, using them as a source of information on the social and intellectual history of the twentieth century. Journals such as American History Review have played a significant role in this field.</w:t>
            </w:r>
          </w:p>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Yet the number of historians using moving images in their research or teaching is very small. The barrier seems to be that the profession is structured around the medium of the written word, and is somewhat insulated in its academic setting. The use of moving images presents a substantial challenge to this setting and its assumptions. As a result, historians have rejected the training, the institutions, the motivations and the professional structures that would be needed in order to use moving images effectively. Above all, they have rejected the necessity to learn complicated new skills.</w:t>
            </w:r>
          </w:p>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So why should historians make this change? Clearly, films or videos of events and people can be used as solid evidence of the past, linked to the words of the narrator (whether a television presenter/historian or a university teacher giving a lecture) but carrying information in their own right. Film has reintroduced the oral form as a mode of research and communication for documenting historical events. Now, with moving images, people are reminded that oral communication is not limited to words: it also includes body language, expression and tone, and is embedded in a context. Little of this is evident in a written transcript. A further effect of video and film is that the narrator gives up some control and has less need to give explanations, while the viewer becomes involved in the process of interpreting and understanding history.</w:t>
            </w:r>
          </w:p>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Film or videotape can also aid historians by simplifying the work of the interviewer. Instead of trying to carry on an interview while simultaneously making notes about setting and other unspoken data, this new kind of historian can concentrate on the interview itself, and study the film later. The many benefits of using moving images as historical evidence easily outweigh worries about cost, technical skills, or the effect of a camera on a person telling his or her story. Moving images enhance the quality of historical research, and suggest new directions for historians to explore.</w:t>
            </w:r>
          </w:p>
        </w:tc>
        <w:tc>
          <w:tcPr/>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hàng trăm năm, các nhà sử học đã dựa vào những tài liệu viết hoặc in để cung cấp phần lớn tư liệu nguồn của họ, và họ chủ yếu truyền đạt kiến thức cho sinh viên cũng như công chúng rộng rãi bằng cách viết sách và các bài báo học thuật. Tuy nhiên, ngày nay, chữ viết đang dần bị thay thế bởi sự đa dạng của các hình thức truyền thông, đặc biệt là những hình ảnh chuyển động trên video hoặc phim.</w:t>
            </w:r>
          </w:p>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Sự phát triển của hình thức truyền thông mới này đang dẫn đến một khoảng cách ngày càng lớn giữa hoạt động của các nhà sử học chuyên nghiệp làm việc trong môi trường học thuật và hoạt động của những người nhằm phổ biến việc nghiên cứu lịch sử đến công chúng nói chung, đồng thời khuyến khích mọi người tạo ra những hồ sơ tư liệu của riêng mình cho tương lai. Một mặt, có những học giả chính thống vẫn tiếp tục chỉ sử dụng chữ viết khi họ nghiên cứu ngày càng nhiều lĩnh vực với số lượng phương pháp luận tinh vi ngày càng tăng. Mặt khác, phim và video, đặc biệt là khi được phát sóng trên truyền hình, có lẽ là yếu tố có ảnh hưởng lớn nhất đến nhận thức của công chúng về lịch sử, khi họ xem những thước phim về các sự kiện cách đây năm mươi hoặc một trăm năm, những sự kiện mà trước đây họ chỉ có thể đọc về chúng.</w:t>
            </w:r>
          </w:p>
          <w:p w:rsidR="00000000" w:rsidDel="00000000" w:rsidP="00000000" w:rsidRDefault="00000000" w:rsidRPr="00000000" w14:paraId="000003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Trong một diễn biến có liên quan, hiện nay rất nhiều người ghi lại các sự kiện địa phương và gia đình dưới dạng video; nhiều trường học cũng tạo ra các video kỷ yếu. Tất cả những tư liệu trực quan này rất có thể sẽ trở thành những nguồn thông tin vô cùng quý giá cho các nhà sử học trong tương lai. Điều mâu thuẫn rõ ràng là hai cách tiếp cận — học thuật và cách mà chúng ta có thể gọi là phổ biến — hầu như rất ít giao thoa: với một vài ngoại lệ đáng chú ý, các nhà sử học chuyên nghiệp có xu hướng tránh tham gia vào các chương trình truyền hình về lịch sử, và thậm chí họ còn có ít ảnh hưởng hơn đối với những gì đang được ghi lại và lưu giữ trên video. Tiềm năng của hình ảnh chuyển động cũng hầu như không có ảnh hưởng đáng kể đến việc nghiên cứu lịch sử trong giới học thuật.</w:t>
            </w:r>
          </w:p>
          <w:p w:rsidR="00000000" w:rsidDel="00000000" w:rsidP="00000000" w:rsidRDefault="00000000" w:rsidRPr="00000000" w14:paraId="000003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Khoảng cách này có thể được xem là kết quả của việc từng nhà sử học sẵn sàng hay không sẵn sàng chấp nhận tính hợp lệ của những hình thức truyền thông mới trong nghiên cứu lịch sử. Đây không phải là lần đầu tiên vấn đề này được đặt ra. Việc nghiên cứu lịch sử theo quan niệm ngày nay bắt đầu với quá trình chuyển đổi từ văn hóa truyền miệng sang văn hóa chữ viết, dẫn đến những tư liệu viết đầu tiên và những nghiên cứu lịch sử đầu tiên. Bước chuyển biến lớn tiếp theo diễn ra cùng với sự ra đời của ngành in ấn, điều đã làm thay đổi mọi thứ. Ngày nay, khi chữ viết mất dần vị thế thống trị, các nhà sử học phải đối mặt với nhiều hình thức truyền thông khác nhau, từ băng ghi âm đơn giản đến những khả năng phức tạp đầy hứa hẹn của đĩa video liên kết với máy tính. Tuy nhiên, cho đến nay, việc sử dụng hình ảnh chuyển động để ghi lại các sự kiện hiện tại nhằm phục vụ các nhà sử học tương lai thậm chí vẫn chưa có một tên gọi được thống nhất rộng rãi.</w:t>
            </w:r>
          </w:p>
          <w:p w:rsidR="00000000" w:rsidDel="00000000" w:rsidP="00000000" w:rsidRDefault="00000000" w:rsidRPr="00000000" w14:paraId="000003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Điều này không có nghĩa là các nhà sử học chính thống hoàn toàn bác bỏ việc sử dụng hình ảnh chuyển động làm nguồn tư liệu: phần lớn dường như bị thu hút bởi ý tưởng này, và những nghiên cứu có giá trị đã được tiến hành về lịch sử và việc phân tích các bộ phim được lưu hành rộng rãi, sử dụng chúng như một nguồn thông tin về lịch sử xã hội và trí tuệ của thế kỷ XX. Những tạp chí như American History Review đã đóng một vai trò quan trọng trong lĩnh vực này.</w:t>
            </w:r>
          </w:p>
          <w:p w:rsidR="00000000" w:rsidDel="00000000" w:rsidP="00000000" w:rsidRDefault="00000000" w:rsidRPr="00000000" w14:paraId="000003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Tuy nhiên, số lượng các nhà sử học sử dụng hình ảnh chuyển động trong nghiên cứu hoặc giảng dạy của họ là rất nhỏ. Rào cản dường như nằm ở chỗ ngành sử học được tổ chức xoay quanh phương tiện chữ viết và phần nào bị tách biệt trong môi trường học thuật của mình. Việc sử dụng hình ảnh chuyển động đặt ra một thách thức đáng kể đối với môi trường này và những giả định của nó. Kết quả là, các nhà sử học đã từ chối việc đào tạo, các thể chế, động lực và cơ cấu nghề nghiệp cần thiết để có thể sử dụng hình ảnh chuyển động một cách hiệu quả. Trên hết, họ đã từ chối sự cần thiết phải học những kỹ năng mới phức tạp.</w:t>
            </w:r>
          </w:p>
          <w:p w:rsidR="00000000" w:rsidDel="00000000" w:rsidP="00000000" w:rsidRDefault="00000000" w:rsidRPr="00000000" w14:paraId="000003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Vậy tại sao các nhà sử học nên thực hiện sự thay đổi này? Rõ ràng, phim hoặc video về các sự kiện và con người có thể được sử dụng như những bằng chứng xác thực về quá khứ, kết hợp với lời nói của người dẫn chuyện (dù là người dẫn chương trình/nhà sử học truyền hình hay giảng viên đại học đang giảng bài), nhưng đồng thời chúng cũng tự mang trong mình những thông tin riêng. Phim đã đưa hình thức truyền miệng trở lại như một phương thức nghiên cứu và truyền đạt để ghi lại các sự kiện lịch sử. Giờ đây, với hình ảnh chuyển động, mọi người được nhắc nhở rằng giao tiếp bằng lời nói không chỉ giới hạn ở từ ngữ: nó còn bao gồm ngôn ngữ cơ thể, biểu cảm và giọng điệu, đồng thời được đặt trong một bối cảnh cụ thể. Phần lớn những yếu tố này không thể hiện rõ trong một bản ghi chép bằng văn bản. Một tác động khác của video và phim là người dẫn chuyện từ bỏ một phần quyền kiểm soát và ít cần đưa ra lời giải thích hơn, trong khi người xem trở nên tham gia vào quá trình diễn giải và tìm hiểu lịch sử.</w:t>
            </w:r>
          </w:p>
          <w:p w:rsidR="00000000" w:rsidDel="00000000" w:rsidP="00000000" w:rsidRDefault="00000000" w:rsidRPr="00000000" w14:paraId="000003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Phim hoặc băng video cũng có thể hỗ trợ các nhà sử học bằng cách đơn giản hóa công việc của người phỏng vấn. Thay vì cố gắng tiến hành một cuộc phỏng vấn đồng thời ghi chú về bối cảnh và những dữ liệu không được nói ra, kiểu nhà sử học mới này có thể tập trung vào chính cuộc phỏng vấn và nghiên cứu bộ phim sau đó. Những lợi ích to lớn của việc sử dụng hình ảnh chuyển động làm bằng chứng lịch sử dễ dàng vượt xa những lo ngại về chi phí, kỹ năng kỹ thuật hoặc ảnh hưởng của máy quay đối với một người đang kể câu chuyện của mình. Hình ảnh chuyển động nâng cao chất lượng của nghiên cứu lịch sử và gợi mở những hướng đi mới để các nhà sử học khám phá.</w:t>
            </w:r>
          </w:p>
        </w:tc>
      </w:tr>
    </w:tbl>
    <w:p w:rsidR="00000000" w:rsidDel="00000000" w:rsidP="00000000" w:rsidRDefault="00000000" w:rsidRPr="00000000" w14:paraId="000003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FB">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written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được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printed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được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document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tài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source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tài liệu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bulk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communicate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giao tiếp / truyền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journal article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bài báo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printed word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từ ngữ in ấn / văn bản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supersede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form of 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hình thức truyền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above 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trên hết / 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moving 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hình ảnh 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growing gap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khoảng cách ngày càng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hoạt động / thực tiễn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professional 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nhà sử học chuyên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academia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giới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aim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nhằm / 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popularize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phổ biến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general 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công chúng 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ghi chép / hồ sơ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mainstream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chính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nghiên cứu /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ever-increasing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tinh vi /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methodology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phương pháp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public consciousness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nhận thức của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sự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broadcast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phát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television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truyền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document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family 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sự kiện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video yearbook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kỷ yếu video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visual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hồ sơ / tư liệu trực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prove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hóa ra là / chứng minh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invaluable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vô giá / cực kỳ quý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source of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nguồn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future 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nhà sử học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glaring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rõ ràng /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contradiction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sự mâu thuẫn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gọi / đặt tên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intersect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giao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notable exception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ngoại lệ 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involvement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sự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television programme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chương trình truyền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bảo tồn / lưu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wield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gây /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negligible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không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gulf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khoảng cách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result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willingness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sự sẵn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otherwise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ngược lại / nếu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accept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validity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tính hợp lệ /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arise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nảy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conceive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hình dung / quan niệm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transition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sự 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thuộc lời nói / truyền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literate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biết chữ / thuộc văn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nền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oral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văn hóa truyền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written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hồ sơ / ghi chép bằng văn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historical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nghiên cứu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shift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sự 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advent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sự ra đời /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printing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ngành / kỹ thuật in 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transform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lose its dominance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mất vị thế thống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be faced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đối mặt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range from ... to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trải dài từ ... đến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audiotape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băng ghi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promising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đầy hứa hẹn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complexity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sự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videodisc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đĩa video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link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liên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as yet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current 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sự kiện hiện tại / đương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for the benefit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vì lợi ích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commonly agreed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được thống nhất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reject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từ chối / bác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be intrigued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bị thu hút / tò mò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broad circulation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phạm vi lưu hành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social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lịch sử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intellectual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lịch sử tư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significant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vai trò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teaching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giảng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barrier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rào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profession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nghề nghiệp / giới 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be structured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được tổ chức xoay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medium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phương tiện /媒介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academic setting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môi trường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insulated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tách biệt / khép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assumption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substantial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thách thức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institution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cơ sở /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motivation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động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professional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cơ cấu 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effectively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complicated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solid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bằng chứng xác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past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quá khứ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narrator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người kể chuyện / người dẫn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presenter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người dẫn chương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lecturer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giảng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in one’s own 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tự bản thân nó / xét riêng nó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reintroduce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đưa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oral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hình thức truyền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mode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phương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document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ghi chép / tư liệu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remind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nhắc nhở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oral 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giao tiếp bằng lời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be limited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bị giới hạn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body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ngôn ngữ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biểu cảm / nét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giọng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rPr>
                <w:sz w:val="20"/>
                <w:szCs w:val="20"/>
              </w:rPr>
            </w:pPr>
            <w:r w:rsidDel="00000000" w:rsidR="00000000" w:rsidRPr="00000000">
              <w:rPr>
                <w:sz w:val="20"/>
                <w:szCs w:val="20"/>
                <w:rtl w:val="0"/>
              </w:rPr>
              <w:t xml:space="preserve">be embedded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sz w:val="20"/>
                <w:szCs w:val="20"/>
              </w:rPr>
            </w:pPr>
            <w:r w:rsidDel="00000000" w:rsidR="00000000" w:rsidRPr="00000000">
              <w:rPr>
                <w:sz w:val="20"/>
                <w:szCs w:val="20"/>
                <w:rtl w:val="0"/>
              </w:rPr>
              <w:t xml:space="preserve">được gắn trong / đặt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sz w:val="20"/>
                <w:szCs w:val="20"/>
              </w:rPr>
            </w:pPr>
            <w:r w:rsidDel="00000000" w:rsidR="00000000" w:rsidRPr="00000000">
              <w:rPr>
                <w:sz w:val="20"/>
                <w:szCs w:val="20"/>
                <w:rtl w:val="0"/>
              </w:rPr>
              <w:t xml:space="preserve">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rPr>
                <w:sz w:val="20"/>
                <w:szCs w:val="20"/>
              </w:rPr>
            </w:pPr>
            <w:r w:rsidDel="00000000" w:rsidR="00000000" w:rsidRPr="00000000">
              <w:rPr>
                <w:sz w:val="20"/>
                <w:szCs w:val="20"/>
                <w:rtl w:val="0"/>
              </w:rPr>
              <w:t xml:space="preserve">bối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rPr>
                <w:sz w:val="20"/>
                <w:szCs w:val="20"/>
              </w:rPr>
            </w:pPr>
            <w:r w:rsidDel="00000000" w:rsidR="00000000" w:rsidRPr="00000000">
              <w:rPr>
                <w:sz w:val="20"/>
                <w:szCs w:val="20"/>
                <w:rtl w:val="0"/>
              </w:rPr>
              <w:t xml:space="preserve">written transcript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rPr>
                <w:sz w:val="20"/>
                <w:szCs w:val="20"/>
              </w:rPr>
            </w:pPr>
            <w:r w:rsidDel="00000000" w:rsidR="00000000" w:rsidRPr="00000000">
              <w:rPr>
                <w:sz w:val="20"/>
                <w:szCs w:val="20"/>
                <w:rtl w:val="0"/>
              </w:rPr>
              <w:t xml:space="preserve">bản chép lại bằng văn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rPr>
                <w:sz w:val="20"/>
                <w:szCs w:val="20"/>
              </w:rPr>
            </w:pPr>
            <w:r w:rsidDel="00000000" w:rsidR="00000000" w:rsidRPr="00000000">
              <w:rPr>
                <w:sz w:val="20"/>
                <w:szCs w:val="20"/>
                <w:rtl w:val="0"/>
              </w:rPr>
              <w:t xml:space="preserve">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rPr>
                <w:sz w:val="20"/>
                <w:szCs w:val="20"/>
              </w:rPr>
            </w:pPr>
            <w:r w:rsidDel="00000000" w:rsidR="00000000" w:rsidRPr="00000000">
              <w:rPr>
                <w:sz w:val="20"/>
                <w:szCs w:val="20"/>
                <w:rtl w:val="0"/>
              </w:rPr>
              <w:t xml:space="preserve">rõ ràng / có thể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76" w:lineRule="auto"/>
              <w:rPr>
                <w:sz w:val="20"/>
                <w:szCs w:val="20"/>
              </w:rPr>
            </w:pPr>
            <w:r w:rsidDel="00000000" w:rsidR="00000000" w:rsidRPr="00000000">
              <w:rPr>
                <w:sz w:val="20"/>
                <w:szCs w:val="20"/>
                <w:rtl w:val="0"/>
              </w:rPr>
              <w:t xml:space="preserve">further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rPr>
                <w:sz w:val="20"/>
                <w:szCs w:val="20"/>
              </w:rPr>
            </w:pPr>
            <w:r w:rsidDel="00000000" w:rsidR="00000000" w:rsidRPr="00000000">
              <w:rPr>
                <w:sz w:val="20"/>
                <w:szCs w:val="20"/>
                <w:rtl w:val="0"/>
              </w:rPr>
              <w:t xml:space="preserve">tác động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76" w:lineRule="auto"/>
              <w:rPr>
                <w:sz w:val="20"/>
                <w:szCs w:val="20"/>
              </w:rPr>
            </w:pPr>
            <w:r w:rsidDel="00000000" w:rsidR="00000000" w:rsidRPr="00000000">
              <w:rPr>
                <w:sz w:val="20"/>
                <w:szCs w:val="20"/>
                <w:rtl w:val="0"/>
              </w:rPr>
              <w:t xml:space="preserve">give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76" w:lineRule="auto"/>
              <w:rPr>
                <w:sz w:val="20"/>
                <w:szCs w:val="20"/>
              </w:rPr>
            </w:pPr>
            <w:r w:rsidDel="00000000" w:rsidR="00000000" w:rsidRPr="00000000">
              <w:rPr>
                <w:sz w:val="20"/>
                <w:szCs w:val="20"/>
                <w:rtl w:val="0"/>
              </w:rPr>
              <w:t xml:space="preserve">từ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76"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76" w:lineRule="auto"/>
              <w:rPr>
                <w:sz w:val="20"/>
                <w:szCs w:val="20"/>
              </w:rPr>
            </w:pPr>
            <w:r w:rsidDel="00000000" w:rsidR="00000000" w:rsidRPr="00000000">
              <w:rPr>
                <w:sz w:val="20"/>
                <w:szCs w:val="20"/>
                <w:rtl w:val="0"/>
              </w:rPr>
              <w:t xml:space="preserve">quyền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76" w:lineRule="auto"/>
              <w:rPr>
                <w:sz w:val="20"/>
                <w:szCs w:val="20"/>
              </w:rPr>
            </w:pPr>
            <w:r w:rsidDel="00000000" w:rsidR="00000000" w:rsidRPr="00000000">
              <w:rPr>
                <w:sz w:val="20"/>
                <w:szCs w:val="20"/>
                <w:rtl w:val="0"/>
              </w:rPr>
              <w:t xml:space="preserve">have less need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76" w:lineRule="auto"/>
              <w:rPr>
                <w:sz w:val="20"/>
                <w:szCs w:val="20"/>
              </w:rPr>
            </w:pPr>
            <w:r w:rsidDel="00000000" w:rsidR="00000000" w:rsidRPr="00000000">
              <w:rPr>
                <w:sz w:val="20"/>
                <w:szCs w:val="20"/>
                <w:rtl w:val="0"/>
              </w:rPr>
              <w:t xml:space="preserve">ít cần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76" w:lineRule="auto"/>
              <w:rPr>
                <w:sz w:val="20"/>
                <w:szCs w:val="20"/>
              </w:rPr>
            </w:pPr>
            <w:r w:rsidDel="00000000" w:rsidR="00000000" w:rsidRPr="00000000">
              <w:rPr>
                <w:sz w:val="20"/>
                <w:szCs w:val="20"/>
                <w:rtl w:val="0"/>
              </w:rPr>
              <w:t xml:space="preserve">viewer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76" w:lineRule="auto"/>
              <w:rPr>
                <w:sz w:val="20"/>
                <w:szCs w:val="20"/>
              </w:rPr>
            </w:pPr>
            <w:r w:rsidDel="00000000" w:rsidR="00000000" w:rsidRPr="00000000">
              <w:rPr>
                <w:sz w:val="20"/>
                <w:szCs w:val="20"/>
                <w:rtl w:val="0"/>
              </w:rPr>
              <w:t xml:space="preserve">người xem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76" w:lineRule="auto"/>
              <w:rPr>
                <w:sz w:val="20"/>
                <w:szCs w:val="20"/>
              </w:rPr>
            </w:pPr>
            <w:r w:rsidDel="00000000" w:rsidR="00000000" w:rsidRPr="00000000">
              <w:rPr>
                <w:sz w:val="20"/>
                <w:szCs w:val="20"/>
                <w:rtl w:val="0"/>
              </w:rPr>
              <w:t xml:space="preserve">become involved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76"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76" w:lineRule="auto"/>
              <w:rPr>
                <w:sz w:val="20"/>
                <w:szCs w:val="20"/>
              </w:rPr>
            </w:pPr>
            <w:r w:rsidDel="00000000" w:rsidR="00000000" w:rsidRPr="00000000">
              <w:rPr>
                <w:sz w:val="20"/>
                <w:szCs w:val="20"/>
                <w:rtl w:val="0"/>
              </w:rPr>
              <w:t xml:space="preserve">interpret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76" w:lineRule="auto"/>
              <w:rPr>
                <w:sz w:val="20"/>
                <w:szCs w:val="20"/>
              </w:rPr>
            </w:pPr>
            <w:r w:rsidDel="00000000" w:rsidR="00000000" w:rsidRPr="00000000">
              <w:rPr>
                <w:sz w:val="20"/>
                <w:szCs w:val="20"/>
                <w:rtl w:val="0"/>
              </w:rPr>
              <w:t xml:space="preserve">diễn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76"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76"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76" w:lineRule="auto"/>
              <w:rPr>
                <w:sz w:val="20"/>
                <w:szCs w:val="20"/>
              </w:rPr>
            </w:pPr>
            <w:r w:rsidDel="00000000" w:rsidR="00000000" w:rsidRPr="00000000">
              <w:rPr>
                <w:sz w:val="20"/>
                <w:szCs w:val="20"/>
                <w:rtl w:val="0"/>
              </w:rPr>
              <w:t xml:space="preserve">aid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76"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76" w:lineRule="auto"/>
              <w:rPr>
                <w:sz w:val="20"/>
                <w:szCs w:val="20"/>
              </w:rPr>
            </w:pPr>
            <w:r w:rsidDel="00000000" w:rsidR="00000000" w:rsidRPr="00000000">
              <w:rPr>
                <w:sz w:val="20"/>
                <w:szCs w:val="20"/>
                <w:rtl w:val="0"/>
              </w:rPr>
              <w:t xml:space="preserve">simplify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76" w:lineRule="auto"/>
              <w:rPr>
                <w:sz w:val="20"/>
                <w:szCs w:val="20"/>
              </w:rPr>
            </w:pPr>
            <w:r w:rsidDel="00000000" w:rsidR="00000000" w:rsidRPr="00000000">
              <w:rPr>
                <w:sz w:val="20"/>
                <w:szCs w:val="20"/>
                <w:rtl w:val="0"/>
              </w:rPr>
              <w:t xml:space="preserve">đơn giản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76" w:lineRule="auto"/>
              <w:rPr>
                <w:sz w:val="20"/>
                <w:szCs w:val="20"/>
              </w:rPr>
            </w:pPr>
            <w:r w:rsidDel="00000000" w:rsidR="00000000" w:rsidRPr="00000000">
              <w:rPr>
                <w:sz w:val="20"/>
                <w:szCs w:val="20"/>
                <w:rtl w:val="0"/>
              </w:rPr>
              <w:t xml:space="preserve">interviewer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76" w:lineRule="auto"/>
              <w:rPr>
                <w:sz w:val="20"/>
                <w:szCs w:val="20"/>
              </w:rPr>
            </w:pPr>
            <w:r w:rsidDel="00000000" w:rsidR="00000000" w:rsidRPr="00000000">
              <w:rPr>
                <w:sz w:val="20"/>
                <w:szCs w:val="20"/>
                <w:rtl w:val="0"/>
              </w:rPr>
              <w:t xml:space="preserve">người phỏng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76" w:lineRule="auto"/>
              <w:rPr>
                <w:sz w:val="20"/>
                <w:szCs w:val="20"/>
              </w:rPr>
            </w:pPr>
            <w:r w:rsidDel="00000000" w:rsidR="00000000" w:rsidRPr="00000000">
              <w:rPr>
                <w:sz w:val="20"/>
                <w:szCs w:val="20"/>
                <w:rtl w:val="0"/>
              </w:rPr>
              <w:t xml:space="preserve">carry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76" w:lineRule="auto"/>
              <w:rPr>
                <w:sz w:val="20"/>
                <w:szCs w:val="20"/>
              </w:rPr>
            </w:pPr>
            <w:r w:rsidDel="00000000" w:rsidR="00000000" w:rsidRPr="00000000">
              <w:rPr>
                <w:sz w:val="20"/>
                <w:szCs w:val="20"/>
                <w:rtl w:val="0"/>
              </w:rPr>
              <w:t xml:space="preserve">tiếp tục / 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76" w:lineRule="auto"/>
              <w:rPr>
                <w:sz w:val="20"/>
                <w:szCs w:val="20"/>
              </w:rPr>
            </w:pPr>
            <w:r w:rsidDel="00000000" w:rsidR="00000000" w:rsidRPr="00000000">
              <w:rPr>
                <w:sz w:val="20"/>
                <w:szCs w:val="20"/>
                <w:rtl w:val="0"/>
              </w:rPr>
              <w:t xml:space="preserve">simultaneously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76" w:lineRule="auto"/>
              <w:rPr>
                <w:sz w:val="20"/>
                <w:szCs w:val="20"/>
              </w:rPr>
            </w:pPr>
            <w:r w:rsidDel="00000000" w:rsidR="00000000" w:rsidRPr="00000000">
              <w:rPr>
                <w:sz w:val="20"/>
                <w:szCs w:val="20"/>
                <w:rtl w:val="0"/>
              </w:rPr>
              <w:t xml:space="preserve">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76" w:lineRule="auto"/>
              <w:rPr>
                <w:sz w:val="20"/>
                <w:szCs w:val="20"/>
              </w:rPr>
            </w:pPr>
            <w:r w:rsidDel="00000000" w:rsidR="00000000" w:rsidRPr="00000000">
              <w:rPr>
                <w:sz w:val="20"/>
                <w:szCs w:val="20"/>
                <w:rtl w:val="0"/>
              </w:rPr>
              <w:t xml:space="preserve">ghi chú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76" w:lineRule="auto"/>
              <w:rPr>
                <w:sz w:val="20"/>
                <w:szCs w:val="20"/>
              </w:rPr>
            </w:pPr>
            <w:r w:rsidDel="00000000" w:rsidR="00000000" w:rsidRPr="00000000">
              <w:rPr>
                <w:sz w:val="20"/>
                <w:szCs w:val="20"/>
                <w:rtl w:val="0"/>
              </w:rPr>
              <w:t xml:space="preserve">setting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76" w:lineRule="auto"/>
              <w:rPr>
                <w:sz w:val="20"/>
                <w:szCs w:val="20"/>
              </w:rPr>
            </w:pPr>
            <w:r w:rsidDel="00000000" w:rsidR="00000000" w:rsidRPr="00000000">
              <w:rPr>
                <w:sz w:val="20"/>
                <w:szCs w:val="20"/>
                <w:rtl w:val="0"/>
              </w:rPr>
              <w:t xml:space="preserve">bối cảnh /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76" w:lineRule="auto"/>
              <w:rPr>
                <w:sz w:val="20"/>
                <w:szCs w:val="20"/>
              </w:rPr>
            </w:pPr>
            <w:r w:rsidDel="00000000" w:rsidR="00000000" w:rsidRPr="00000000">
              <w:rPr>
                <w:sz w:val="20"/>
                <w:szCs w:val="20"/>
                <w:rtl w:val="0"/>
              </w:rPr>
              <w:t xml:space="preserve">unspoken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76" w:lineRule="auto"/>
              <w:rPr>
                <w:sz w:val="20"/>
                <w:szCs w:val="20"/>
              </w:rPr>
            </w:pPr>
            <w:r w:rsidDel="00000000" w:rsidR="00000000" w:rsidRPr="00000000">
              <w:rPr>
                <w:sz w:val="20"/>
                <w:szCs w:val="20"/>
                <w:rtl w:val="0"/>
              </w:rPr>
              <w:t xml:space="preserve">không được nói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76" w:lineRule="auto"/>
              <w:rPr>
                <w:sz w:val="20"/>
                <w:szCs w:val="20"/>
              </w:rPr>
            </w:pPr>
            <w:r w:rsidDel="00000000" w:rsidR="00000000" w:rsidRPr="00000000">
              <w:rPr>
                <w:sz w:val="20"/>
                <w:szCs w:val="20"/>
                <w:rtl w:val="0"/>
              </w:rPr>
              <w:t xml:space="preserve">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76" w:lineRule="auto"/>
              <w:rPr>
                <w:sz w:val="20"/>
                <w:szCs w:val="20"/>
              </w:rPr>
            </w:pPr>
            <w:r w:rsidDel="00000000" w:rsidR="00000000" w:rsidRPr="00000000">
              <w:rPr>
                <w:sz w:val="20"/>
                <w:szCs w:val="20"/>
                <w:rtl w:val="0"/>
              </w:rPr>
              <w:t xml:space="preserve">dữ liệu /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76" w:lineRule="auto"/>
              <w:rPr>
                <w:sz w:val="20"/>
                <w:szCs w:val="20"/>
              </w:rPr>
            </w:pPr>
            <w:r w:rsidDel="00000000" w:rsidR="00000000" w:rsidRPr="00000000">
              <w:rPr>
                <w:sz w:val="20"/>
                <w:szCs w:val="20"/>
                <w:rtl w:val="0"/>
              </w:rPr>
              <w:t xml:space="preserve">concentrate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76" w:lineRule="auto"/>
              <w:rPr>
                <w:sz w:val="20"/>
                <w:szCs w:val="20"/>
              </w:rPr>
            </w:pPr>
            <w:r w:rsidDel="00000000" w:rsidR="00000000" w:rsidRPr="00000000">
              <w:rPr>
                <w:sz w:val="20"/>
                <w:szCs w:val="20"/>
                <w:rtl w:val="0"/>
              </w:rPr>
              <w:t xml:space="preserve">interview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76" w:lineRule="auto"/>
              <w:rPr>
                <w:sz w:val="20"/>
                <w:szCs w:val="20"/>
              </w:rPr>
            </w:pPr>
            <w:r w:rsidDel="00000000" w:rsidR="00000000" w:rsidRPr="00000000">
              <w:rPr>
                <w:sz w:val="20"/>
                <w:szCs w:val="20"/>
                <w:rtl w:val="0"/>
              </w:rPr>
              <w:t xml:space="preserve">cuộc phỏng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76" w:lineRule="auto"/>
              <w:rPr>
                <w:sz w:val="20"/>
                <w:szCs w:val="20"/>
              </w:rPr>
            </w:pPr>
            <w:r w:rsidDel="00000000" w:rsidR="00000000" w:rsidRPr="00000000">
              <w:rPr>
                <w:sz w:val="20"/>
                <w:szCs w:val="20"/>
                <w:rtl w:val="0"/>
              </w:rPr>
              <w:t xml:space="preserve">nghiên cứu /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76"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76" w:lineRule="auto"/>
              <w:rPr>
                <w:sz w:val="20"/>
                <w:szCs w:val="20"/>
              </w:rPr>
            </w:pPr>
            <w:r w:rsidDel="00000000" w:rsidR="00000000" w:rsidRPr="00000000">
              <w:rPr>
                <w:sz w:val="20"/>
                <w:szCs w:val="20"/>
                <w:rtl w:val="0"/>
              </w:rPr>
              <w:t xml:space="preserve">historical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76" w:lineRule="auto"/>
              <w:rPr>
                <w:sz w:val="20"/>
                <w:szCs w:val="20"/>
              </w:rPr>
            </w:pPr>
            <w:r w:rsidDel="00000000" w:rsidR="00000000" w:rsidRPr="00000000">
              <w:rPr>
                <w:sz w:val="20"/>
                <w:szCs w:val="20"/>
                <w:rtl w:val="0"/>
              </w:rPr>
              <w:t xml:space="preserve">bằng chứng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76" w:lineRule="auto"/>
              <w:rPr>
                <w:sz w:val="20"/>
                <w:szCs w:val="20"/>
              </w:rPr>
            </w:pPr>
            <w:r w:rsidDel="00000000" w:rsidR="00000000" w:rsidRPr="00000000">
              <w:rPr>
                <w:sz w:val="20"/>
                <w:szCs w:val="20"/>
                <w:rtl w:val="0"/>
              </w:rPr>
              <w:t xml:space="preserve">outweigh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76" w:lineRule="auto"/>
              <w:rPr>
                <w:sz w:val="20"/>
                <w:szCs w:val="20"/>
              </w:rPr>
            </w:pPr>
            <w:r w:rsidDel="00000000" w:rsidR="00000000" w:rsidRPr="00000000">
              <w:rPr>
                <w:sz w:val="20"/>
                <w:szCs w:val="20"/>
                <w:rtl w:val="0"/>
              </w:rPr>
              <w:t xml:space="preserve">lớn hơn / vượt trội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76" w:lineRule="auto"/>
              <w:rPr>
                <w:sz w:val="20"/>
                <w:szCs w:val="20"/>
              </w:rPr>
            </w:pPr>
            <w:r w:rsidDel="00000000" w:rsidR="00000000" w:rsidRPr="00000000">
              <w:rPr>
                <w:sz w:val="20"/>
                <w:szCs w:val="20"/>
                <w:rtl w:val="0"/>
              </w:rPr>
              <w:t xml:space="preserve">worry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76" w:lineRule="auto"/>
              <w:rPr>
                <w:sz w:val="20"/>
                <w:szCs w:val="20"/>
              </w:rPr>
            </w:pPr>
            <w:r w:rsidDel="00000000" w:rsidR="00000000" w:rsidRPr="00000000">
              <w:rPr>
                <w:sz w:val="20"/>
                <w:szCs w:val="20"/>
                <w:rtl w:val="0"/>
              </w:rPr>
              <w:t xml:space="preserve">mối lo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76" w:lineRule="auto"/>
              <w:rPr>
                <w:sz w:val="20"/>
                <w:szCs w:val="20"/>
              </w:rPr>
            </w:pPr>
            <w:r w:rsidDel="00000000" w:rsidR="00000000" w:rsidRPr="00000000">
              <w:rPr>
                <w:sz w:val="20"/>
                <w:szCs w:val="20"/>
                <w:rtl w:val="0"/>
              </w:rPr>
              <w:t xml:space="preserve">technical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76" w:lineRule="auto"/>
              <w:rPr>
                <w:sz w:val="20"/>
                <w:szCs w:val="20"/>
              </w:rPr>
            </w:pPr>
            <w:r w:rsidDel="00000000" w:rsidR="00000000" w:rsidRPr="00000000">
              <w:rPr>
                <w:sz w:val="20"/>
                <w:szCs w:val="20"/>
                <w:rtl w:val="0"/>
              </w:rPr>
              <w:t xml:space="preserve">kỹ năng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76"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76" w:lineRule="auto"/>
              <w:rPr>
                <w:sz w:val="20"/>
                <w:szCs w:val="20"/>
              </w:rPr>
            </w:pPr>
            <w:r w:rsidDel="00000000" w:rsidR="00000000" w:rsidRPr="00000000">
              <w:rPr>
                <w:sz w:val="20"/>
                <w:szCs w:val="20"/>
                <w:rtl w:val="0"/>
              </w:rPr>
              <w:t xml:space="preserve">nâng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76"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76" w:lineRule="auto"/>
              <w:rPr>
                <w:sz w:val="20"/>
                <w:szCs w:val="20"/>
              </w:rPr>
            </w:pPr>
            <w:r w:rsidDel="00000000" w:rsidR="00000000" w:rsidRPr="00000000">
              <w:rPr>
                <w:sz w:val="20"/>
                <w:szCs w:val="20"/>
                <w:rtl w:val="0"/>
              </w:rPr>
              <w:t xml:space="preserve">gợi ý /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76"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76" w:lineRule="auto"/>
              <w:rPr>
                <w:sz w:val="20"/>
                <w:szCs w:val="20"/>
              </w:rPr>
            </w:pPr>
            <w:r w:rsidDel="00000000" w:rsidR="00000000" w:rsidRPr="00000000">
              <w:rPr>
                <w:sz w:val="20"/>
                <w:szCs w:val="20"/>
                <w:rtl w:val="0"/>
              </w:rPr>
              <w:t xml:space="preserve">hướng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76" w:lineRule="auto"/>
              <w:rPr>
                <w:sz w:val="20"/>
                <w:szCs w:val="20"/>
              </w:rPr>
            </w:pPr>
            <w:r w:rsidDel="00000000" w:rsidR="00000000" w:rsidRPr="00000000">
              <w:rPr>
                <w:sz w:val="20"/>
                <w:szCs w:val="20"/>
                <w:rtl w:val="0"/>
              </w:rPr>
              <w:t xml:space="preserve">khám phá / nghiên cứu sâu</w:t>
            </w:r>
          </w:p>
        </w:tc>
      </w:tr>
    </w:tbl>
    <w:p w:rsidR="00000000" w:rsidDel="00000000" w:rsidP="00000000" w:rsidRDefault="00000000" w:rsidRPr="00000000" w14:paraId="00000560">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