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28"/>
        </w:rPr>
        <w:t>BẢNG 2: CHI TIẾT THEO 10 NHÓM KỊCH BẢN KIỂM THỬ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86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Mã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Mô tả kịch bản nghiệp vụ</w:t>
            </w:r>
          </w:p>
        </w:tc>
        <w:tc>
          <w:tcPr>
            <w:tcW w:type="dxa" w:w="86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Số đơn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Đơn có chứng từ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Thời gian Thủ công (s)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Thời gian Pipeline (s)</w:t>
            </w:r>
          </w:p>
        </w:tc>
        <w:tc>
          <w:tcPr>
            <w:tcW w:type="dxa" w:w="1008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Tốc độ Tăng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Độ khớp Chính sách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VAL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hợp lệ tiêu chuẩn (1–2 ngày tự duyệt)</w:t>
            </w:r>
          </w:p>
        </w:tc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705,8s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0,388s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1.821,1x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100,0%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BAL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kiểm tra giới hạn số dư phép năm</w:t>
            </w:r>
          </w:p>
        </w:tc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377,9s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0,207s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1.828,5x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100,0%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NOT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kiểm tra quy tắc thời hạn báo trước</w:t>
            </w:r>
          </w:p>
        </w:tc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289,8s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0,199s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1.457,4x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80,0%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QUO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vượt hạn mức vắng mặt của phòng ban</w:t>
            </w:r>
          </w:p>
        </w:tc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246,6s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0,188s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1.313,2x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0,0%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EXC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thuộc thẩm quyền cấp quản lý / ngoại lệ</w:t>
            </w:r>
          </w:p>
        </w:tc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619,0s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0,306s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2.022,1x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100,0%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PRF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thẩm định chứng từ y tế / luật định</w:t>
            </w:r>
          </w:p>
        </w:tc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680,0s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0,271s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2.505,3x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100,0%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MIS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sai lệch thông tin chứng từ / nghi vấn</w:t>
            </w:r>
          </w:p>
        </w:tc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806,9s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0,286s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2.816,3x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33,3%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DUP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trùng lặp thời gian nghỉ đã duyệt</w:t>
            </w:r>
          </w:p>
        </w:tc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245,1s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0,193s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1.269,8x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0,0%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BND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trường hợp biên (lễ, tết, cuối tuần)</w:t>
            </w:r>
          </w:p>
        </w:tc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392,2s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0,283s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1.387,6x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86,7%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LNG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nộp bằng ngôn ngữ tự nhiên (NLP)</w:t>
            </w:r>
          </w:p>
        </w:tc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588,8s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0,380s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1.549,4x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20,0%</w:t>
            </w:r>
          </w:p>
        </w:tc>
      </w:tr>
    </w:tbl>
    <w:p>
      <w:pPr>
        <w:spacing w:after="2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