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Focal Loss for Class-Imbalanced Learning</w:t>
      </w:r>
    </w:p>
    <w:p>
      <w:pPr>
        <w:jc w:val="center"/>
      </w:pPr>
      <w:r>
        <w:rPr>
          <w:sz w:val="24"/>
        </w:rPr>
        <w:t>Practical Session 2 — Advanced Deep Learning Strategies</w:t>
        <w:br/>
        <w:t>USTH Deep Learning 2026  |  Duong Tan Binh — 2540007</w:t>
      </w:r>
    </w:p>
    <w:p/>
    <w:p>
      <w:pPr>
        <w:pStyle w:val="Heading1"/>
        <w:jc w:val="left"/>
      </w:pPr>
      <w:r>
        <w:t>1. Introduction</w:t>
      </w:r>
    </w:p>
    <w:p>
      <w:r>
        <w:rPr>
          <w:sz w:val="22"/>
        </w:rPr>
        <w:t>Class imbalance is a pervasive challenge in real-world machine learning. In medical imaging, diseased cases are far rarer than healthy ones. In fraud detection, fraudulent transactions represent a tiny fraction of all transactions. In ecological monitoring, rare species appear infrequently in large-scale surveys. In all these settings, the classes that matter most are precisely those with the fewest training examples.</w:t>
      </w:r>
    </w:p>
    <w:p/>
    <w:p>
      <w:r>
        <w:rPr>
          <w:sz w:val="22"/>
        </w:rPr>
        <w:t>Standard Cross-Entropy (CE) loss treats all training examples equally, causing the model to be dominated by the gradient signal from majority classes. The model learns to recognise majority classes accurately while effectively ignoring minority classes — achieving deceptively high overall accuracy while failing at the most critical predictions.</w:t>
      </w:r>
    </w:p>
    <w:p/>
    <w:p>
      <w:r>
        <w:rPr>
          <w:sz w:val="22"/>
        </w:rPr>
        <w:t>This experiment investigates this failure mode on a long-tail variant of CIFAR-10 (imbalance ratio 100:1) and evaluates three remedies, all covered in the course slides (Section 2 — Advanced Training Strategies, pages 73–82):</w:t>
      </w:r>
    </w:p>
    <w:p>
      <w:pPr>
        <w:pStyle w:val="ListBullet"/>
      </w:pPr>
      <w:r>
        <w:rPr>
          <w:b/>
          <w:sz w:val="22"/>
        </w:rPr>
        <w:t xml:space="preserve">Weighted Cross-Entropy — </w:t>
      </w:r>
      <w:r>
        <w:rPr>
          <w:sz w:val="22"/>
        </w:rPr>
        <w:t>assigns inverse-frequency weights to each class, penalising majority-class errors more heavily.</w:t>
      </w:r>
    </w:p>
    <w:p>
      <w:pPr>
        <w:pStyle w:val="ListBullet"/>
      </w:pPr>
      <w:r>
        <w:rPr>
          <w:b/>
          <w:sz w:val="22"/>
        </w:rPr>
        <w:t xml:space="preserve">Focal Loss γ=1 (Lin et al., ICCV 2017) — </w:t>
      </w:r>
      <w:r>
        <w:rPr>
          <w:sz w:val="22"/>
        </w:rPr>
        <w:t>introduces a per-sample modulating factor (1−pt) that dynamically down-weights easy, well-classified examples.</w:t>
      </w:r>
    </w:p>
    <w:p>
      <w:pPr>
        <w:pStyle w:val="ListBullet"/>
      </w:pPr>
      <w:r>
        <w:rPr>
          <w:b/>
          <w:sz w:val="22"/>
        </w:rPr>
        <w:t xml:space="preserve">Focal Loss γ=2 — </w:t>
      </w:r>
      <w:r>
        <w:rPr>
          <w:sz w:val="22"/>
        </w:rPr>
        <w:t>stronger focusing; the γ=2 setting used in the original RetinaNet paper.</w:t>
      </w:r>
    </w:p>
    <w:p/>
    <w:p>
      <w:r>
        <w:rPr>
          <w:sz w:val="22"/>
        </w:rPr>
        <w:t>A central methodological contribution of this work is demonstrating that overall accuracy is a misleading metric on imbalanced data. A model that classifies all samples as the majority class achieves 40% overall accuracy while being completely useless for minority classes. Macro-averaged F1 — which weights each class equally regardless of frequency — is the appropriate primary metric.</w:t>
      </w:r>
    </w:p>
    <w:p>
      <w:pPr>
        <w:pStyle w:val="Heading1"/>
        <w:jc w:val="left"/>
      </w:pPr>
      <w:r>
        <w:t>2. Theoretical Background</w:t>
      </w:r>
    </w:p>
    <w:p>
      <w:pPr>
        <w:pStyle w:val="Heading2"/>
        <w:jc w:val="left"/>
      </w:pPr>
      <w:r>
        <w:t>2.1 Standard Cross-Entropy and the Imbalance Problem</w:t>
      </w:r>
    </w:p>
    <w:p>
      <w:r>
        <w:rPr>
          <w:sz w:val="22"/>
        </w:rPr>
        <w:t>For a single sample with ground-truth class y, standard Cross-Entropy loss is:</w:t>
      </w:r>
    </w:p>
    <w:p>
      <w:r>
        <w:rPr>
          <w:sz w:val="22"/>
        </w:rPr>
        <w:t xml:space="preserve">        L_CE = −log(pt)</w:t>
      </w:r>
    </w:p>
    <w:p>
      <w:r>
        <w:rPr>
          <w:sz w:val="22"/>
        </w:rPr>
        <w:t>where pt = P(y | x) is the softmax probability the model assigns to the correct class. CE applies the same gradient magnitude regardless of whether pt ≈ 0.9 (easy, already well-classified) or pt ≈ 0.1 (hard, confused). On a long-tail dataset, the overwhelming majority of gradient updates come from high-frequency classes, starving minority classes of learning signal.</w:t>
      </w:r>
    </w:p>
    <w:p/>
    <w:p>
      <w:r>
        <w:rPr>
          <w:sz w:val="22"/>
        </w:rPr>
        <w:t>Concretely, in our experiment the rarest class (truck, 50 training samples) contributes only 0.40% of all gradient updates under CE, while the most frequent class (airplane, 5000 samples) contributes 40.3%. The model learns to predict "airplane" confidently while rarely predicting "truck" at all.</w:t>
      </w:r>
    </w:p>
    <w:p/>
    <w:p>
      <w:pPr>
        <w:pStyle w:val="Heading2"/>
        <w:jc w:val="left"/>
      </w:pPr>
      <w:r>
        <w:t>2.2 Class-Weighted Cross-Entropy</w:t>
      </w:r>
    </w:p>
    <w:p>
      <w:r>
        <w:rPr>
          <w:sz w:val="22"/>
        </w:rPr>
        <w:t>The most straightforward remedy is to assign each class c an inverse-frequency weight, re-scaling the loss so all classes contribute equally in expectation:</w:t>
      </w:r>
    </w:p>
    <w:p>
      <w:r>
        <w:rPr>
          <w:sz w:val="22"/>
        </w:rPr>
        <w:t xml:space="preserve">        w_c = (Σ_i n_i) / (C · n_c)</w:t>
      </w:r>
    </w:p>
    <w:p>
      <w:r>
        <w:rPr>
          <w:sz w:val="22"/>
        </w:rPr>
        <w:t>where n_c is the number of training samples in class c and C=10. The weighted loss becomes:</w:t>
      </w:r>
    </w:p>
    <w:p>
      <w:r>
        <w:rPr>
          <w:sz w:val="22"/>
        </w:rPr>
        <w:t xml:space="preserve">        L_WCE = −w_c · log(pt)</w:t>
      </w:r>
    </w:p>
    <w:p>
      <w:r>
        <w:rPr>
          <w:sz w:val="22"/>
        </w:rPr>
        <w:t>This ensures that a minority class with 50 samples receives 25× more gradient emphasis per sample than it would under CE. However, this class-level re-weighting treats all samples within a class equally — it cannot distinguish between easy majority examples (which contribute little useful information) and hard minority examples (which are the most informative for learning).</w:t>
      </w:r>
    </w:p>
    <w:p/>
    <w:p>
      <w:r>
        <w:rPr>
          <w:sz w:val="22"/>
        </w:rPr>
        <w:t>Note: The course slides (p.79–80, Cui et al., CVPR 2019) also present the "effective number of samples" formulation E_n = (1−β^n)/(1−β) as a softer alternative to pure inverse-frequency weighting. Our implementation uses inverse frequency (the β→1 limiting case) to provide the clearest contrast with Focal Loss.</w:t>
      </w:r>
    </w:p>
    <w:p/>
    <w:p>
      <w:pPr>
        <w:pStyle w:val="Heading2"/>
        <w:jc w:val="left"/>
      </w:pPr>
      <w:r>
        <w:t>2.3 Focal Loss</w:t>
      </w:r>
    </w:p>
    <w:p>
      <w:r>
        <w:rPr>
          <w:sz w:val="22"/>
        </w:rPr>
        <w:t>Focal Loss (Lin et al., RetinaNet, ICCV 2017 Best Student Paper) addresses the limitation of class-level re-weighting by introducing a per-sample modulating factor:</w:t>
      </w:r>
    </w:p>
    <w:p>
      <w:r>
        <w:rPr>
          <w:sz w:val="22"/>
        </w:rPr>
        <w:t xml:space="preserve">        FL(pt) = −(1 − pt)^γ · log(pt)</w:t>
      </w:r>
    </w:p>
    <w:p>
      <w:r>
        <w:rPr>
          <w:sz w:val="22"/>
        </w:rPr>
        <w:t>The key quantity is pt — the model's predicted probability for the ground-truth class. The modulating factor (1−pt)^γ has two essential properties:</w:t>
      </w:r>
    </w:p>
    <w:p>
      <w:pPr>
        <w:pStyle w:val="ListBullet"/>
      </w:pPr>
      <w:r>
        <w:rPr>
          <w:sz w:val="22"/>
        </w:rPr>
        <w:t>When pt → 1 (easy example, correctly classified with high confidence): (1−pt)^γ → 0, so the loss is down-weighted to near zero. These examples already contribute little to CE loss and contribute even less to FL.</w:t>
      </w:r>
    </w:p>
    <w:p>
      <w:pPr>
        <w:pStyle w:val="ListBullet"/>
      </w:pPr>
      <w:r>
        <w:rPr>
          <w:sz w:val="22"/>
        </w:rPr>
        <w:t>When pt → 0 (hard example, misclassified with high confidence): (1−pt)^γ → 1, so the loss retains its full magnitude. The model continues to receive strong gradient signal on hard, minority-class examples.</w:t>
      </w:r>
    </w:p>
    <w:p/>
    <w:p>
      <w:r>
        <w:rPr>
          <w:sz w:val="22"/>
        </w:rPr>
        <w:t>γ = 0 recovers standard Cross-Entropy. The effect of γ on the modulating weight for different confidence levels:</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1440"/>
          </w:tcPr>
          <w:p>
            <w:pPr>
              <w:jc w:val="center"/>
            </w:pPr>
            <w:r>
              <w:rPr>
                <w:b/>
                <w:sz w:val="20"/>
              </w:rPr>
              <w:t>γ</w:t>
            </w:r>
          </w:p>
        </w:tc>
        <w:tc>
          <w:tcPr>
            <w:tcW w:type="dxa" w:w="2880"/>
          </w:tcPr>
          <w:p>
            <w:pPr>
              <w:jc w:val="center"/>
            </w:pPr>
            <w:r>
              <w:rPr>
                <w:b/>
                <w:sz w:val="20"/>
              </w:rPr>
              <w:t>pt = 0.1 (hard)</w:t>
            </w:r>
          </w:p>
        </w:tc>
        <w:tc>
          <w:tcPr>
            <w:tcW w:type="dxa" w:w="2880"/>
          </w:tcPr>
          <w:p>
            <w:pPr>
              <w:jc w:val="center"/>
            </w:pPr>
            <w:r>
              <w:rPr>
                <w:b/>
                <w:sz w:val="20"/>
              </w:rPr>
              <w:t>pt = 0.5 (medium)</w:t>
            </w:r>
          </w:p>
        </w:tc>
        <w:tc>
          <w:tcPr>
            <w:tcW w:type="dxa" w:w="2880"/>
          </w:tcPr>
          <w:p>
            <w:pPr>
              <w:jc w:val="center"/>
            </w:pPr>
            <w:r>
              <w:rPr>
                <w:b/>
                <w:sz w:val="20"/>
              </w:rPr>
              <w:t>pt = 0.9 (easy)</w:t>
            </w:r>
          </w:p>
        </w:tc>
      </w:tr>
      <w:tr>
        <w:tc>
          <w:tcPr>
            <w:tcW w:type="dxa" w:w="1440"/>
          </w:tcPr>
          <w:p/>
        </w:tc>
        <w:tc>
          <w:tcPr>
            <w:tcW w:type="dxa" w:w="2880"/>
          </w:tcPr>
          <w:p/>
        </w:tc>
        <w:tc>
          <w:tcPr>
            <w:tcW w:type="dxa" w:w="2880"/>
          </w:tcPr>
          <w:p/>
        </w:tc>
        <w:tc>
          <w:tcPr>
            <w:tcW w:type="dxa" w:w="2880"/>
          </w:tcPr>
          <w:p/>
        </w:tc>
      </w:tr>
      <w:tr>
        <w:tc>
          <w:tcPr>
            <w:tcW w:type="dxa" w:w="1440"/>
          </w:tcPr>
          <w:p/>
        </w:tc>
        <w:tc>
          <w:tcPr>
            <w:tcW w:type="dxa" w:w="2880"/>
          </w:tcPr>
          <w:p/>
        </w:tc>
        <w:tc>
          <w:tcPr>
            <w:tcW w:type="dxa" w:w="2880"/>
          </w:tcPr>
          <w:p/>
        </w:tc>
        <w:tc>
          <w:tcPr>
            <w:tcW w:type="dxa" w:w="2880"/>
          </w:tcPr>
          <w:p/>
        </w:tc>
      </w:tr>
      <w:tr>
        <w:tc>
          <w:tcPr>
            <w:tcW w:type="dxa" w:w="1440"/>
          </w:tcPr>
          <w:p/>
        </w:tc>
        <w:tc>
          <w:tcPr>
            <w:tcW w:type="dxa" w:w="2880"/>
          </w:tcPr>
          <w:p/>
        </w:tc>
        <w:tc>
          <w:tcPr>
            <w:tcW w:type="dxa" w:w="2880"/>
          </w:tcPr>
          <w:p/>
        </w:tc>
        <w:tc>
          <w:tcPr>
            <w:tcW w:type="dxa" w:w="2880"/>
          </w:tcPr>
          <w:p/>
        </w:tc>
      </w:tr>
      <w:tr>
        <w:tc>
          <w:tcPr>
            <w:tcW w:type="dxa" w:w="1440"/>
          </w:tcPr>
          <w:p/>
        </w:tc>
        <w:tc>
          <w:tcPr>
            <w:tcW w:type="dxa" w:w="2880"/>
          </w:tcPr>
          <w:p/>
        </w:tc>
        <w:tc>
          <w:tcPr>
            <w:tcW w:type="dxa" w:w="2880"/>
          </w:tcPr>
          <w:p/>
        </w:tc>
        <w:tc>
          <w:tcPr>
            <w:tcW w:type="dxa" w:w="2880"/>
          </w:tcPr>
          <w:p/>
        </w:tc>
      </w:tr>
      <w:tr>
        <w:tc>
          <w:tcPr>
            <w:tcW w:type="dxa" w:w="1440"/>
          </w:tcPr>
          <w:p>
            <w:pPr>
              <w:jc w:val="center"/>
            </w:pPr>
            <w:r>
              <w:rPr>
                <w:sz w:val="20"/>
              </w:rPr>
              <w:t>0 (CE)</w:t>
            </w:r>
          </w:p>
        </w:tc>
        <w:tc>
          <w:tcPr>
            <w:tcW w:type="dxa" w:w="2880"/>
          </w:tcPr>
          <w:p>
            <w:pPr>
              <w:jc w:val="center"/>
            </w:pPr>
            <w:r>
              <w:rPr>
                <w:sz w:val="20"/>
              </w:rPr>
              <w:t>1.000</w:t>
            </w:r>
          </w:p>
        </w:tc>
        <w:tc>
          <w:tcPr>
            <w:tcW w:type="dxa" w:w="2880"/>
          </w:tcPr>
          <w:p>
            <w:pPr>
              <w:jc w:val="center"/>
            </w:pPr>
            <w:r>
              <w:rPr>
                <w:sz w:val="20"/>
              </w:rPr>
              <w:t>1.000</w:t>
            </w:r>
          </w:p>
        </w:tc>
        <w:tc>
          <w:tcPr>
            <w:tcW w:type="dxa" w:w="2880"/>
          </w:tcPr>
          <w:p>
            <w:pPr>
              <w:jc w:val="center"/>
            </w:pPr>
            <w:r>
              <w:rPr>
                <w:sz w:val="20"/>
              </w:rPr>
              <w:t>1.000</w:t>
            </w:r>
          </w:p>
        </w:tc>
      </w:tr>
      <w:tr>
        <w:tc>
          <w:tcPr>
            <w:tcW w:type="dxa" w:w="1440"/>
          </w:tcPr>
          <w:p>
            <w:pPr>
              <w:jc w:val="center"/>
            </w:pPr>
            <w:r>
              <w:rPr>
                <w:sz w:val="20"/>
              </w:rPr>
              <w:t>1</w:t>
            </w:r>
          </w:p>
        </w:tc>
        <w:tc>
          <w:tcPr>
            <w:tcW w:type="dxa" w:w="2880"/>
          </w:tcPr>
          <w:p>
            <w:pPr>
              <w:jc w:val="center"/>
            </w:pPr>
            <w:r>
              <w:rPr>
                <w:sz w:val="20"/>
              </w:rPr>
              <w:t>0.900</w:t>
            </w:r>
          </w:p>
        </w:tc>
        <w:tc>
          <w:tcPr>
            <w:tcW w:type="dxa" w:w="2880"/>
          </w:tcPr>
          <w:p>
            <w:pPr>
              <w:jc w:val="center"/>
            </w:pPr>
            <w:r>
              <w:rPr>
                <w:sz w:val="20"/>
              </w:rPr>
              <w:t>0.500</w:t>
            </w:r>
          </w:p>
        </w:tc>
        <w:tc>
          <w:tcPr>
            <w:tcW w:type="dxa" w:w="2880"/>
          </w:tcPr>
          <w:p>
            <w:pPr>
              <w:jc w:val="center"/>
            </w:pPr>
            <w:r>
              <w:rPr>
                <w:sz w:val="20"/>
              </w:rPr>
              <w:t>0.100</w:t>
            </w:r>
          </w:p>
        </w:tc>
      </w:tr>
      <w:tr>
        <w:tc>
          <w:tcPr>
            <w:tcW w:type="dxa" w:w="1440"/>
          </w:tcPr>
          <w:p>
            <w:pPr>
              <w:jc w:val="center"/>
            </w:pPr>
            <w:r>
              <w:rPr>
                <w:sz w:val="20"/>
              </w:rPr>
              <w:t>2</w:t>
            </w:r>
          </w:p>
        </w:tc>
        <w:tc>
          <w:tcPr>
            <w:tcW w:type="dxa" w:w="2880"/>
          </w:tcPr>
          <w:p>
            <w:pPr>
              <w:jc w:val="center"/>
            </w:pPr>
            <w:r>
              <w:rPr>
                <w:sz w:val="20"/>
              </w:rPr>
              <w:t>0.810</w:t>
            </w:r>
          </w:p>
        </w:tc>
        <w:tc>
          <w:tcPr>
            <w:tcW w:type="dxa" w:w="2880"/>
          </w:tcPr>
          <w:p>
            <w:pPr>
              <w:jc w:val="center"/>
            </w:pPr>
            <w:r>
              <w:rPr>
                <w:sz w:val="20"/>
              </w:rPr>
              <w:t>0.250</w:t>
            </w:r>
          </w:p>
        </w:tc>
        <w:tc>
          <w:tcPr>
            <w:tcW w:type="dxa" w:w="2880"/>
          </w:tcPr>
          <w:p>
            <w:pPr>
              <w:jc w:val="center"/>
            </w:pPr>
            <w:r>
              <w:rPr>
                <w:sz w:val="20"/>
              </w:rPr>
              <w:t>0.010</w:t>
            </w:r>
          </w:p>
        </w:tc>
      </w:tr>
      <w:tr>
        <w:tc>
          <w:tcPr>
            <w:tcW w:type="dxa" w:w="1440"/>
          </w:tcPr>
          <w:p>
            <w:pPr>
              <w:jc w:val="center"/>
            </w:pPr>
            <w:r>
              <w:rPr>
                <w:sz w:val="20"/>
              </w:rPr>
              <w:t>5</w:t>
            </w:r>
          </w:p>
        </w:tc>
        <w:tc>
          <w:tcPr>
            <w:tcW w:type="dxa" w:w="2880"/>
          </w:tcPr>
          <w:p>
            <w:pPr>
              <w:jc w:val="center"/>
            </w:pPr>
            <w:r>
              <w:rPr>
                <w:sz w:val="20"/>
              </w:rPr>
              <w:t>0.590</w:t>
            </w:r>
          </w:p>
        </w:tc>
        <w:tc>
          <w:tcPr>
            <w:tcW w:type="dxa" w:w="2880"/>
          </w:tcPr>
          <w:p>
            <w:pPr>
              <w:jc w:val="center"/>
            </w:pPr>
            <w:r>
              <w:rPr>
                <w:sz w:val="20"/>
              </w:rPr>
              <w:t>0.031</w:t>
            </w:r>
          </w:p>
        </w:tc>
        <w:tc>
          <w:tcPr>
            <w:tcW w:type="dxa" w:w="2880"/>
          </w:tcPr>
          <w:p>
            <w:pPr>
              <w:jc w:val="center"/>
            </w:pPr>
            <w:r>
              <w:rPr>
                <w:sz w:val="20"/>
              </w:rPr>
              <w:t>0.000</w:t>
            </w:r>
          </w:p>
        </w:tc>
      </w:tr>
    </w:tbl>
    <w:p/>
    <w:p>
      <w:r>
        <w:rPr>
          <w:sz w:val="22"/>
        </w:rPr>
        <w:t>At γ=2, an easy example with pt=0.9 contributes only 1% of what it would under CE, while a hard example with pt=0.1 contributes 81%. This dramatic re-weighting shifts effective training effort toward the hardest — typically minority — examples without requiring any explicit class-frequency knowledge.</w:t>
      </w:r>
    </w:p>
    <w:p/>
    <w:p>
      <w:r>
        <w:rPr>
          <w:sz w:val="22"/>
        </w:rPr>
        <w:t>Note on αt: the full formulation in Lin et al. is FL(pt) = −αt·(1−pt)^γ·log(pt), where αt is an optional per-class weight analogous to Weighted CE. In this experiment αt = 1 (uniform) for all conditions, deliberately isolating the effect of the γ focusing term from class-frequency re-weighting. The combination αt + γ (αt-Focal Loss) is evaluated separately as "Weighted CE + Focal Loss" in Section 7.6.</w:t>
      </w:r>
    </w:p>
    <w:p/>
    <w:p>
      <w:pPr>
        <w:pStyle w:val="Heading2"/>
        <w:jc w:val="left"/>
      </w:pPr>
      <w:r>
        <w:t>2.4 Focal Loss vs Weighted CE: A Key Distinction</w:t>
      </w:r>
    </w:p>
    <w:p>
      <w:r>
        <w:rPr>
          <w:sz w:val="22"/>
        </w:rPr>
        <w:t>Both Weighted CE and Focal Loss address class imbalance, but through fundamentally different mechanisms:</w:t>
      </w:r>
    </w:p>
    <w:tbl>
      <w:tblPr>
        <w:tblStyle w:val="LightGrid-Accent1"/>
        <w:tblW w:type="auto" w:w="0"/>
        <w:jc w:val="center"/>
        <w:tblLook w:firstColumn="1" w:firstRow="1" w:lastColumn="0" w:lastRow="0" w:noHBand="0" w:noVBand="1" w:val="04A0"/>
      </w:tblPr>
      <w:tblGrid>
        <w:gridCol w:w="2928"/>
        <w:gridCol w:w="2928"/>
        <w:gridCol w:w="2928"/>
      </w:tblGrid>
      <w:tr>
        <w:tc>
          <w:tcPr>
            <w:tcW w:type="dxa" w:w="3456"/>
          </w:tcPr>
          <w:p>
            <w:pPr>
              <w:jc w:val="center"/>
            </w:pPr>
            <w:r>
              <w:rPr>
                <w:b/>
                <w:sz w:val="20"/>
              </w:rPr>
              <w:t>Property</w:t>
            </w:r>
          </w:p>
        </w:tc>
        <w:tc>
          <w:tcPr>
            <w:tcW w:type="dxa" w:w="3168"/>
          </w:tcPr>
          <w:p>
            <w:pPr>
              <w:jc w:val="center"/>
            </w:pPr>
            <w:r>
              <w:rPr>
                <w:b/>
                <w:sz w:val="20"/>
              </w:rPr>
              <w:t>Weighted CE</w:t>
            </w:r>
          </w:p>
        </w:tc>
        <w:tc>
          <w:tcPr>
            <w:tcW w:type="dxa" w:w="3456"/>
          </w:tcPr>
          <w:p>
            <w:pPr>
              <w:jc w:val="center"/>
            </w:pPr>
            <w:r>
              <w:rPr>
                <w:b/>
                <w:sz w:val="20"/>
              </w:rPr>
              <w:t>Focal Loss</w:t>
            </w:r>
          </w:p>
        </w:tc>
      </w:tr>
      <w:tr>
        <w:tc>
          <w:tcPr>
            <w:tcW w:type="dxa" w:w="3456"/>
          </w:tcPr>
          <w:p/>
        </w:tc>
        <w:tc>
          <w:tcPr>
            <w:tcW w:type="dxa" w:w="3168"/>
          </w:tcPr>
          <w:p/>
        </w:tc>
        <w:tc>
          <w:tcPr>
            <w:tcW w:type="dxa" w:w="3456"/>
          </w:tcPr>
          <w:p/>
        </w:tc>
      </w:tr>
      <w:tr>
        <w:tc>
          <w:tcPr>
            <w:tcW w:type="dxa" w:w="3456"/>
          </w:tcPr>
          <w:p/>
        </w:tc>
        <w:tc>
          <w:tcPr>
            <w:tcW w:type="dxa" w:w="3168"/>
          </w:tcPr>
          <w:p/>
        </w:tc>
        <w:tc>
          <w:tcPr>
            <w:tcW w:type="dxa" w:w="3456"/>
          </w:tcPr>
          <w:p/>
        </w:tc>
      </w:tr>
      <w:tr>
        <w:tc>
          <w:tcPr>
            <w:tcW w:type="dxa" w:w="3456"/>
          </w:tcPr>
          <w:p/>
        </w:tc>
        <w:tc>
          <w:tcPr>
            <w:tcW w:type="dxa" w:w="3168"/>
          </w:tcPr>
          <w:p/>
        </w:tc>
        <w:tc>
          <w:tcPr>
            <w:tcW w:type="dxa" w:w="3456"/>
          </w:tcPr>
          <w:p/>
        </w:tc>
      </w:tr>
      <w:tr>
        <w:tc>
          <w:tcPr>
            <w:tcW w:type="dxa" w:w="3456"/>
          </w:tcPr>
          <w:p/>
        </w:tc>
        <w:tc>
          <w:tcPr>
            <w:tcW w:type="dxa" w:w="3168"/>
          </w:tcPr>
          <w:p/>
        </w:tc>
        <w:tc>
          <w:tcPr>
            <w:tcW w:type="dxa" w:w="3456"/>
          </w:tcPr>
          <w:p/>
        </w:tc>
      </w:tr>
      <w:tr>
        <w:tc>
          <w:tcPr>
            <w:tcW w:type="dxa" w:w="3456"/>
          </w:tcPr>
          <w:p/>
        </w:tc>
        <w:tc>
          <w:tcPr>
            <w:tcW w:type="dxa" w:w="3168"/>
          </w:tcPr>
          <w:p/>
        </w:tc>
        <w:tc>
          <w:tcPr>
            <w:tcW w:type="dxa" w:w="3456"/>
          </w:tcPr>
          <w:p/>
        </w:tc>
      </w:tr>
      <w:tr>
        <w:tc>
          <w:tcPr>
            <w:tcW w:type="dxa" w:w="3456"/>
          </w:tcPr>
          <w:p>
            <w:pPr>
              <w:jc w:val="center"/>
            </w:pPr>
            <w:r>
              <w:rPr>
                <w:sz w:val="20"/>
              </w:rPr>
              <w:t>Re-weighting granularity</w:t>
            </w:r>
          </w:p>
        </w:tc>
        <w:tc>
          <w:tcPr>
            <w:tcW w:type="dxa" w:w="3168"/>
          </w:tcPr>
          <w:p>
            <w:pPr>
              <w:jc w:val="center"/>
            </w:pPr>
            <w:r>
              <w:rPr>
                <w:sz w:val="20"/>
              </w:rPr>
              <w:t>Per class (all samples in class c get weight w_c)</w:t>
            </w:r>
          </w:p>
        </w:tc>
        <w:tc>
          <w:tcPr>
            <w:tcW w:type="dxa" w:w="3456"/>
          </w:tcPr>
          <w:p>
            <w:pPr>
              <w:jc w:val="center"/>
            </w:pPr>
            <w:r>
              <w:rPr>
                <w:sz w:val="20"/>
              </w:rPr>
              <w:t>Per sample (each sample gets weight (1−pt)^γ)</w:t>
            </w:r>
          </w:p>
        </w:tc>
      </w:tr>
      <w:tr>
        <w:tc>
          <w:tcPr>
            <w:tcW w:type="dxa" w:w="3456"/>
          </w:tcPr>
          <w:p>
            <w:pPr>
              <w:jc w:val="center"/>
            </w:pPr>
            <w:r>
              <w:rPr>
                <w:sz w:val="20"/>
              </w:rPr>
              <w:t>Adapts to model confidence?</w:t>
            </w:r>
          </w:p>
        </w:tc>
        <w:tc>
          <w:tcPr>
            <w:tcW w:type="dxa" w:w="3168"/>
          </w:tcPr>
          <w:p>
            <w:pPr>
              <w:jc w:val="center"/>
            </w:pPr>
            <w:r>
              <w:rPr>
                <w:sz w:val="20"/>
              </w:rPr>
              <w:t>No</w:t>
            </w:r>
          </w:p>
        </w:tc>
        <w:tc>
          <w:tcPr>
            <w:tcW w:type="dxa" w:w="3456"/>
          </w:tcPr>
          <w:p>
            <w:pPr>
              <w:jc w:val="center"/>
            </w:pPr>
            <w:r>
              <w:rPr>
                <w:sz w:val="20"/>
              </w:rPr>
              <w:t>Yes — easy examples auto-suppressed</w:t>
            </w:r>
          </w:p>
        </w:tc>
      </w:tr>
      <w:tr>
        <w:tc>
          <w:tcPr>
            <w:tcW w:type="dxa" w:w="3456"/>
          </w:tcPr>
          <w:p>
            <w:pPr>
              <w:jc w:val="center"/>
            </w:pPr>
            <w:r>
              <w:rPr>
                <w:sz w:val="20"/>
              </w:rPr>
              <w:t>Requires class frequencies?</w:t>
            </w:r>
          </w:p>
        </w:tc>
        <w:tc>
          <w:tcPr>
            <w:tcW w:type="dxa" w:w="3168"/>
          </w:tcPr>
          <w:p>
            <w:pPr>
              <w:jc w:val="center"/>
            </w:pPr>
            <w:r>
              <w:rPr>
                <w:sz w:val="20"/>
              </w:rPr>
              <w:t>Yes</w:t>
            </w:r>
          </w:p>
        </w:tc>
        <w:tc>
          <w:tcPr>
            <w:tcW w:type="dxa" w:w="3456"/>
          </w:tcPr>
          <w:p>
            <w:pPr>
              <w:jc w:val="center"/>
            </w:pPr>
            <w:r>
              <w:rPr>
                <w:sz w:val="20"/>
              </w:rPr>
              <w:t>No</w:t>
            </w:r>
          </w:p>
        </w:tc>
      </w:tr>
      <w:tr>
        <w:tc>
          <w:tcPr>
            <w:tcW w:type="dxa" w:w="3456"/>
          </w:tcPr>
          <w:p>
            <w:pPr>
              <w:jc w:val="center"/>
            </w:pPr>
            <w:r>
              <w:rPr>
                <w:sz w:val="20"/>
              </w:rPr>
              <w:t>Effect on majority classes</w:t>
            </w:r>
          </w:p>
        </w:tc>
        <w:tc>
          <w:tcPr>
            <w:tcW w:type="dxa" w:w="3168"/>
          </w:tcPr>
          <w:p>
            <w:pPr>
              <w:jc w:val="center"/>
            </w:pPr>
            <w:r>
              <w:rPr>
                <w:sz w:val="20"/>
              </w:rPr>
              <w:t>Reduces their loss by w_c &lt; 1 (may under-train)</w:t>
            </w:r>
          </w:p>
        </w:tc>
        <w:tc>
          <w:tcPr>
            <w:tcW w:type="dxa" w:w="3456"/>
          </w:tcPr>
          <w:p>
            <w:pPr>
              <w:jc w:val="center"/>
            </w:pPr>
            <w:r>
              <w:rPr>
                <w:sz w:val="20"/>
              </w:rPr>
              <w:t>Reduces only easy majority examples; hard majority preserved</w:t>
            </w:r>
          </w:p>
        </w:tc>
      </w:tr>
      <w:tr>
        <w:tc>
          <w:tcPr>
            <w:tcW w:type="dxa" w:w="3456"/>
          </w:tcPr>
          <w:p>
            <w:pPr>
              <w:jc w:val="center"/>
            </w:pPr>
            <w:r>
              <w:rPr>
                <w:sz w:val="20"/>
              </w:rPr>
              <w:t>Effect on minority classes</w:t>
            </w:r>
          </w:p>
        </w:tc>
        <w:tc>
          <w:tcPr>
            <w:tcW w:type="dxa" w:w="3168"/>
          </w:tcPr>
          <w:p>
            <w:pPr>
              <w:jc w:val="center"/>
            </w:pPr>
            <w:r>
              <w:rPr>
                <w:sz w:val="20"/>
              </w:rPr>
              <w:t>Amplifies their loss by w_c &gt;&gt; 1 for all samples</w:t>
            </w:r>
          </w:p>
        </w:tc>
        <w:tc>
          <w:tcPr>
            <w:tcW w:type="dxa" w:w="3456"/>
          </w:tcPr>
          <w:p>
            <w:pPr>
              <w:jc w:val="center"/>
            </w:pPr>
            <w:r>
              <w:rPr>
                <w:sz w:val="20"/>
              </w:rPr>
              <w:t>Amplifies hard minority; easy minority still down-weighted</w:t>
            </w:r>
          </w:p>
        </w:tc>
      </w:tr>
    </w:tbl>
    <w:p/>
    <w:p>
      <w:pPr>
        <w:pStyle w:val="Heading2"/>
        <w:jc w:val="left"/>
      </w:pPr>
      <w:r>
        <w:t>2.5 Evaluation: Why Macro-F1?</w:t>
      </w:r>
    </w:p>
    <w:p>
      <w:r>
        <w:rPr>
          <w:sz w:val="22"/>
        </w:rPr>
        <w:t>For class c, precision, recall, and F1 are:</w:t>
      </w:r>
    </w:p>
    <w:p>
      <w:r>
        <w:rPr>
          <w:sz w:val="22"/>
        </w:rPr>
        <w:t xml:space="preserve">        precision_c = TP_c / (TP_c + FP_c)</w:t>
        <w:br/>
        <w:t xml:space="preserve">        recall_c    = TP_c / (TP_c + FN_c)</w:t>
        <w:br/>
        <w:t xml:space="preserve">        F1_c        = 2 · precision_c · recall_c / (precision_c + recall_c)</w:t>
      </w:r>
    </w:p>
    <w:p>
      <w:r>
        <w:rPr>
          <w:sz w:val="22"/>
        </w:rPr>
        <w:t>Macro-F1 averages uniformly across all C classes:</w:t>
      </w:r>
    </w:p>
    <w:p>
      <w:r>
        <w:rPr>
          <w:sz w:val="22"/>
        </w:rPr>
        <w:t xml:space="preserve">        Macro-F1 = (1/C) · Σ_c F1_c</w:t>
      </w:r>
    </w:p>
    <w:p>
      <w:r>
        <w:rPr>
          <w:sz w:val="22"/>
        </w:rPr>
        <w:t>Unlike overall accuracy (which weights each SAMPLE equally, inherently favouring majority classes), Macro-F1 weights each CLASS equally. Consider a 2-class scenario with a balanced test set of 1 000 samples per class. A model that perfectly classifies the majority class but ignores the minority achieves 1000/(1000+1000) = 50% overall accuracy. Its Macro-F1 = (F1_majority + F1_minority)/2 = (1.0 + 0.0)/2 = 50% — both metrics agree numerically, but the 0% minority F1 makes the failure explicit in a way that the aggregate score does not.</w:t>
      </w:r>
    </w:p>
    <w:p>
      <w:pPr>
        <w:pStyle w:val="Heading1"/>
        <w:jc w:val="left"/>
      </w:pPr>
      <w:r>
        <w:t>3. Dataset — Long-tail CIFAR-10</w:t>
      </w:r>
    </w:p>
    <w:p>
      <w:r>
        <w:rPr>
          <w:sz w:val="22"/>
        </w:rPr>
        <w:t>Standard CIFAR-10 contains 5 000 training samples per class. We create a long-tail variant using exponential decay across the 10 class indices:</w:t>
      </w:r>
    </w:p>
    <w:p>
      <w:r>
        <w:rPr>
          <w:sz w:val="22"/>
        </w:rPr>
        <w:t xml:space="preserve">        n_c = N_max · (1/r)^(c/(C−1)),   N_max=5000,  r=100,  C=10</w:t>
      </w:r>
    </w:p>
    <w:p>
      <w:r>
        <w:rPr>
          <w:sz w:val="22"/>
        </w:rPr>
        <w:t>This yields a 100:1 imbalance ratio between the most frequent class (airplane, n=5 000) and the rarest (truck, n=50), matching real-world long-tail distributions in medical and ecological datasets.</w:t>
      </w:r>
    </w:p>
    <w:p/>
    <w:tbl>
      <w:tblPr>
        <w:tblStyle w:val="LightGrid-Accent1"/>
        <w:tblW w:type="auto" w:w="0"/>
        <w:jc w:val="center"/>
        <w:tblLook w:firstColumn="1" w:firstRow="1" w:lastColumn="0" w:lastRow="0" w:noHBand="0" w:noVBand="1" w:val="04A0"/>
      </w:tblPr>
      <w:tblGrid>
        <w:gridCol w:w="4392"/>
        <w:gridCol w:w="4392"/>
      </w:tblGrid>
      <w:tr>
        <w:tc>
          <w:tcPr>
            <w:tcW w:type="dxa" w:w="3456"/>
          </w:tcPr>
          <w:p>
            <w:pPr>
              <w:jc w:val="center"/>
            </w:pPr>
            <w:r>
              <w:rPr>
                <w:b/>
                <w:sz w:val="20"/>
              </w:rPr>
              <w:t>Property</w:t>
            </w:r>
          </w:p>
        </w:tc>
        <w:tc>
          <w:tcPr>
            <w:tcW w:type="dxa" w:w="6624"/>
          </w:tcPr>
          <w:p>
            <w:pPr>
              <w:jc w:val="center"/>
            </w:pPr>
            <w:r>
              <w:rPr>
                <w:b/>
                <w:sz w:val="20"/>
              </w:rPr>
              <w:t>Value</w:t>
            </w:r>
          </w:p>
        </w:tc>
      </w:tr>
      <w:tr>
        <w:tc>
          <w:tcPr>
            <w:tcW w:type="dxa" w:w="3456"/>
          </w:tcPr>
          <w:p/>
        </w:tc>
        <w:tc>
          <w:tcPr>
            <w:tcW w:type="dxa" w:w="6624"/>
          </w:tcPr>
          <w:p/>
        </w:tc>
      </w:tr>
      <w:tr>
        <w:tc>
          <w:tcPr>
            <w:tcW w:type="dxa" w:w="3456"/>
          </w:tcPr>
          <w:p/>
        </w:tc>
        <w:tc>
          <w:tcPr>
            <w:tcW w:type="dxa" w:w="6624"/>
          </w:tcPr>
          <w:p/>
        </w:tc>
      </w:tr>
      <w:tr>
        <w:tc>
          <w:tcPr>
            <w:tcW w:type="dxa" w:w="3456"/>
          </w:tcPr>
          <w:p/>
        </w:tc>
        <w:tc>
          <w:tcPr>
            <w:tcW w:type="dxa" w:w="6624"/>
          </w:tcPr>
          <w:p/>
        </w:tc>
      </w:tr>
      <w:tr>
        <w:tc>
          <w:tcPr>
            <w:tcW w:type="dxa" w:w="3456"/>
          </w:tcPr>
          <w:p/>
        </w:tc>
        <w:tc>
          <w:tcPr>
            <w:tcW w:type="dxa" w:w="6624"/>
          </w:tcPr>
          <w:p/>
        </w:tc>
      </w:tr>
      <w:tr>
        <w:tc>
          <w:tcPr>
            <w:tcW w:type="dxa" w:w="3456"/>
          </w:tcPr>
          <w:p/>
        </w:tc>
        <w:tc>
          <w:tcPr>
            <w:tcW w:type="dxa" w:w="6624"/>
          </w:tcPr>
          <w:p/>
        </w:tc>
      </w:tr>
      <w:tr>
        <w:tc>
          <w:tcPr>
            <w:tcW w:type="dxa" w:w="3456"/>
          </w:tcPr>
          <w:p/>
        </w:tc>
        <w:tc>
          <w:tcPr>
            <w:tcW w:type="dxa" w:w="6624"/>
          </w:tcPr>
          <w:p/>
        </w:tc>
      </w:tr>
      <w:tr>
        <w:tc>
          <w:tcPr>
            <w:tcW w:type="dxa" w:w="3456"/>
          </w:tcPr>
          <w:p>
            <w:pPr>
              <w:jc w:val="center"/>
            </w:pPr>
            <w:r>
              <w:rPr>
                <w:sz w:val="20"/>
              </w:rPr>
              <w:t>Source</w:t>
            </w:r>
          </w:p>
        </w:tc>
        <w:tc>
          <w:tcPr>
            <w:tcW w:type="dxa" w:w="6624"/>
          </w:tcPr>
          <w:p>
            <w:pPr>
              <w:jc w:val="center"/>
            </w:pPr>
            <w:r>
              <w:rPr>
                <w:sz w:val="20"/>
              </w:rPr>
              <w:t>CIFAR-10 (32×32 RGB, 10 classes)</w:t>
            </w:r>
          </w:p>
        </w:tc>
      </w:tr>
      <w:tr>
        <w:tc>
          <w:tcPr>
            <w:tcW w:type="dxa" w:w="3456"/>
          </w:tcPr>
          <w:p>
            <w:pPr>
              <w:jc w:val="center"/>
            </w:pPr>
            <w:r>
              <w:rPr>
                <w:sz w:val="20"/>
              </w:rPr>
              <w:t>Training set</w:t>
            </w:r>
          </w:p>
        </w:tc>
        <w:tc>
          <w:tcPr>
            <w:tcW w:type="dxa" w:w="6624"/>
          </w:tcPr>
          <w:p>
            <w:pPr>
              <w:jc w:val="center"/>
            </w:pPr>
            <w:r>
              <w:rPr>
                <w:sz w:val="20"/>
              </w:rPr>
              <w:t>12,406 samples (long-tail imbalanced)</w:t>
            </w:r>
          </w:p>
        </w:tc>
      </w:tr>
      <w:tr>
        <w:tc>
          <w:tcPr>
            <w:tcW w:type="dxa" w:w="3456"/>
          </w:tcPr>
          <w:p>
            <w:pPr>
              <w:jc w:val="center"/>
            </w:pPr>
            <w:r>
              <w:rPr>
                <w:sz w:val="20"/>
              </w:rPr>
              <w:t>Test set</w:t>
            </w:r>
          </w:p>
        </w:tc>
        <w:tc>
          <w:tcPr>
            <w:tcW w:type="dxa" w:w="6624"/>
          </w:tcPr>
          <w:p>
            <w:pPr>
              <w:jc w:val="center"/>
            </w:pPr>
            <w:r>
              <w:rPr>
                <w:sz w:val="20"/>
              </w:rPr>
              <w:t>10 000 samples (balanced — 1 000/class)</w:t>
            </w:r>
          </w:p>
        </w:tc>
      </w:tr>
      <w:tr>
        <w:tc>
          <w:tcPr>
            <w:tcW w:type="dxa" w:w="3456"/>
          </w:tcPr>
          <w:p>
            <w:pPr>
              <w:jc w:val="center"/>
            </w:pPr>
            <w:r>
              <w:rPr>
                <w:sz w:val="20"/>
              </w:rPr>
              <w:t>Imbalance ratio</w:t>
            </w:r>
          </w:p>
        </w:tc>
        <w:tc>
          <w:tcPr>
            <w:tcW w:type="dxa" w:w="6624"/>
          </w:tcPr>
          <w:p>
            <w:pPr>
              <w:jc w:val="center"/>
            </w:pPr>
            <w:r>
              <w:rPr>
                <w:sz w:val="20"/>
              </w:rPr>
              <w:t>100:1  (N_max/N_min = 5000/50)</w:t>
            </w:r>
          </w:p>
        </w:tc>
      </w:tr>
      <w:tr>
        <w:tc>
          <w:tcPr>
            <w:tcW w:type="dxa" w:w="3456"/>
          </w:tcPr>
          <w:p>
            <w:pPr>
              <w:jc w:val="center"/>
            </w:pPr>
            <w:r>
              <w:rPr>
                <w:sz w:val="20"/>
              </w:rPr>
              <w:t>Distribution</w:t>
            </w:r>
          </w:p>
        </w:tc>
        <w:tc>
          <w:tcPr>
            <w:tcW w:type="dxa" w:w="6624"/>
          </w:tcPr>
          <w:p>
            <w:pPr>
              <w:jc w:val="center"/>
            </w:pPr>
            <w:r>
              <w:rPr>
                <w:sz w:val="20"/>
              </w:rPr>
              <w:t>Exponential decay: n_c = 5000 · 0.01^(c/9)</w:t>
            </w:r>
          </w:p>
        </w:tc>
      </w:tr>
      <w:tr>
        <w:tc>
          <w:tcPr>
            <w:tcW w:type="dxa" w:w="3456"/>
          </w:tcPr>
          <w:p>
            <w:pPr>
              <w:jc w:val="center"/>
            </w:pPr>
            <w:r>
              <w:rPr>
                <w:sz w:val="20"/>
              </w:rPr>
              <w:t>Augmentation</w:t>
            </w:r>
          </w:p>
        </w:tc>
        <w:tc>
          <w:tcPr>
            <w:tcW w:type="dxa" w:w="6624"/>
          </w:tcPr>
          <w:p>
            <w:pPr>
              <w:jc w:val="center"/>
            </w:pPr>
            <w:r>
              <w:rPr>
                <w:sz w:val="20"/>
              </w:rPr>
              <w:t>RandomHorizontalFlip, RandomCrop(32, padding=4), Normalize</w:t>
            </w:r>
          </w:p>
        </w:tc>
      </w:tr>
    </w:tbl>
    <w:p/>
    <w:p>
      <w:pPr>
        <w:jc w:val="center"/>
      </w:pPr>
      <w:r>
        <w:drawing>
          <wp:inline xmlns:a="http://schemas.openxmlformats.org/drawingml/2006/main" xmlns:pic="http://schemas.openxmlformats.org/drawingml/2006/picture">
            <wp:extent cx="5303520" cy="2065657"/>
            <wp:docPr id="1" name="Picture 1"/>
            <wp:cNvGraphicFramePr>
              <a:graphicFrameLocks noChangeAspect="1"/>
            </wp:cNvGraphicFramePr>
            <a:graphic>
              <a:graphicData uri="http://schemas.openxmlformats.org/drawingml/2006/picture">
                <pic:pic>
                  <pic:nvPicPr>
                    <pic:cNvPr id="0" name="focal_class_distribution.png"/>
                    <pic:cNvPicPr/>
                  </pic:nvPicPr>
                  <pic:blipFill>
                    <a:blip r:embed="rId9"/>
                    <a:stretch>
                      <a:fillRect/>
                    </a:stretch>
                  </pic:blipFill>
                  <pic:spPr>
                    <a:xfrm>
                      <a:off x="0" y="0"/>
                      <a:ext cx="5303520" cy="2065657"/>
                    </a:xfrm>
                    <a:prstGeom prst="rect"/>
                  </pic:spPr>
                </pic:pic>
              </a:graphicData>
            </a:graphic>
          </wp:inline>
        </w:drawing>
      </w:r>
    </w:p>
    <w:p>
      <w:pPr>
        <w:jc w:val="center"/>
      </w:pPr>
      <w:r>
        <w:rPr>
          <w:i/>
          <w:sz w:val="20"/>
        </w:rPr>
        <w:t>Figure 1: Long-tail CIFAR-10 training distribution. Airplane has 5000 samples; truck has only 50 — a 100:1 imbalance ratio.</w:t>
      </w:r>
    </w:p>
    <w:p>
      <w:pPr>
        <w:pStyle w:val="Heading1"/>
        <w:jc w:val="left"/>
      </w:pPr>
      <w:r>
        <w:t>4. Experimental Protocol</w:t>
      </w:r>
    </w:p>
    <w:p>
      <w:pPr>
        <w:pStyle w:val="Heading2"/>
        <w:jc w:val="left"/>
      </w:pPr>
      <w:r>
        <w:t>4.1 Focal Weight Visualisation</w:t>
      </w:r>
    </w:p>
    <w:p>
      <w:pPr>
        <w:jc w:val="center"/>
      </w:pPr>
      <w:r>
        <w:drawing>
          <wp:inline xmlns:a="http://schemas.openxmlformats.org/drawingml/2006/main" xmlns:pic="http://schemas.openxmlformats.org/drawingml/2006/picture">
            <wp:extent cx="5029200" cy="2274927"/>
            <wp:docPr id="2" name="Picture 2"/>
            <wp:cNvGraphicFramePr>
              <a:graphicFrameLocks noChangeAspect="1"/>
            </wp:cNvGraphicFramePr>
            <a:graphic>
              <a:graphicData uri="http://schemas.openxmlformats.org/drawingml/2006/picture">
                <pic:pic>
                  <pic:nvPicPr>
                    <pic:cNvPr id="0" name="focal_weight_curve.png"/>
                    <pic:cNvPicPr/>
                  </pic:nvPicPr>
                  <pic:blipFill>
                    <a:blip r:embed="rId10"/>
                    <a:stretch>
                      <a:fillRect/>
                    </a:stretch>
                  </pic:blipFill>
                  <pic:spPr>
                    <a:xfrm>
                      <a:off x="0" y="0"/>
                      <a:ext cx="5029200" cy="2274927"/>
                    </a:xfrm>
                    <a:prstGeom prst="rect"/>
                  </pic:spPr>
                </pic:pic>
              </a:graphicData>
            </a:graphic>
          </wp:inline>
        </w:drawing>
      </w:r>
    </w:p>
    <w:p>
      <w:pPr>
        <w:jc w:val="center"/>
      </w:pPr>
      <w:r>
        <w:rPr>
          <w:i/>
          <w:sz w:val="20"/>
        </w:rPr>
        <w:t>Figure 2: Modulating factor (1−pt)^γ as a function of model confidence pt for γ ∈ {0, 1, 2}. γ=0 is standard CE (uniform weight). At γ=2, easy examples (pt=0.9) are down-weighted by 100× relative to hard ones.</w:t>
      </w:r>
    </w:p>
    <w:p/>
    <w:p>
      <w:pPr>
        <w:pStyle w:val="Heading2"/>
        <w:jc w:val="left"/>
      </w:pPr>
      <w:r>
        <w:t>4.2 Model Architecture and Training</w:t>
      </w:r>
    </w:p>
    <w:p>
      <w:r>
        <w:rPr>
          <w:sz w:val="22"/>
        </w:rPr>
        <w:t>All four conditions use an identical ConvNet (693,322 parameters) initialised from the same random seed (42). The ONLY difference between conditions is the loss function — all other hyperparameters are fixed:</w:t>
      </w:r>
    </w:p>
    <w:tbl>
      <w:tblPr>
        <w:tblStyle w:val="LightGrid-Accent1"/>
        <w:tblW w:type="auto" w:w="0"/>
        <w:jc w:val="center"/>
        <w:tblLook w:firstColumn="1" w:firstRow="1" w:lastColumn="0" w:lastRow="0" w:noHBand="0" w:noVBand="1" w:val="04A0"/>
      </w:tblPr>
      <w:tblGrid>
        <w:gridCol w:w="4392"/>
        <w:gridCol w:w="4392"/>
      </w:tblGrid>
      <w:tr>
        <w:tc>
          <w:tcPr>
            <w:tcW w:type="dxa" w:w="3600"/>
          </w:tcPr>
          <w:p>
            <w:pPr>
              <w:jc w:val="center"/>
            </w:pPr>
            <w:r>
              <w:rPr>
                <w:b/>
                <w:sz w:val="20"/>
              </w:rPr>
              <w:t>Hyperparameter</w:t>
            </w:r>
          </w:p>
        </w:tc>
        <w:tc>
          <w:tcPr>
            <w:tcW w:type="dxa" w:w="6480"/>
          </w:tcPr>
          <w:p>
            <w:pPr>
              <w:jc w:val="center"/>
            </w:pPr>
            <w:r>
              <w:rPr>
                <w:b/>
                <w:sz w:val="20"/>
              </w:rPr>
              <w:t>Value</w:t>
            </w:r>
          </w:p>
        </w:tc>
      </w:tr>
      <w:tr>
        <w:tc>
          <w:tcPr>
            <w:tcW w:type="dxa" w:w="3600"/>
          </w:tcPr>
          <w:p/>
        </w:tc>
        <w:tc>
          <w:tcPr>
            <w:tcW w:type="dxa" w:w="6480"/>
          </w:tcPr>
          <w:p/>
        </w:tc>
      </w:tr>
      <w:tr>
        <w:tc>
          <w:tcPr>
            <w:tcW w:type="dxa" w:w="3600"/>
          </w:tcPr>
          <w:p/>
        </w:tc>
        <w:tc>
          <w:tcPr>
            <w:tcW w:type="dxa" w:w="6480"/>
          </w:tcPr>
          <w:p/>
        </w:tc>
      </w:tr>
      <w:tr>
        <w:tc>
          <w:tcPr>
            <w:tcW w:type="dxa" w:w="3600"/>
          </w:tcPr>
          <w:p/>
        </w:tc>
        <w:tc>
          <w:tcPr>
            <w:tcW w:type="dxa" w:w="6480"/>
          </w:tcPr>
          <w:p/>
        </w:tc>
      </w:tr>
      <w:tr>
        <w:tc>
          <w:tcPr>
            <w:tcW w:type="dxa" w:w="3600"/>
          </w:tcPr>
          <w:p/>
        </w:tc>
        <w:tc>
          <w:tcPr>
            <w:tcW w:type="dxa" w:w="6480"/>
          </w:tcPr>
          <w:p/>
        </w:tc>
      </w:tr>
      <w:tr>
        <w:tc>
          <w:tcPr>
            <w:tcW w:type="dxa" w:w="3600"/>
          </w:tcPr>
          <w:p/>
        </w:tc>
        <w:tc>
          <w:tcPr>
            <w:tcW w:type="dxa" w:w="6480"/>
          </w:tcPr>
          <w:p/>
        </w:tc>
      </w:tr>
      <w:tr>
        <w:tc>
          <w:tcPr>
            <w:tcW w:type="dxa" w:w="3600"/>
          </w:tcPr>
          <w:p/>
        </w:tc>
        <w:tc>
          <w:tcPr>
            <w:tcW w:type="dxa" w:w="6480"/>
          </w:tcPr>
          <w:p/>
        </w:tc>
      </w:tr>
      <w:tr>
        <w:tc>
          <w:tcPr>
            <w:tcW w:type="dxa" w:w="3600"/>
          </w:tcPr>
          <w:p/>
        </w:tc>
        <w:tc>
          <w:tcPr>
            <w:tcW w:type="dxa" w:w="6480"/>
          </w:tcPr>
          <w:p/>
        </w:tc>
      </w:tr>
      <w:tr>
        <w:tc>
          <w:tcPr>
            <w:tcW w:type="dxa" w:w="3600"/>
          </w:tcPr>
          <w:p>
            <w:pPr>
              <w:jc w:val="center"/>
            </w:pPr>
            <w:r>
              <w:rPr>
                <w:sz w:val="20"/>
              </w:rPr>
              <w:t>Architecture</w:t>
            </w:r>
          </w:p>
        </w:tc>
        <w:tc>
          <w:tcPr>
            <w:tcW w:type="dxa" w:w="6480"/>
          </w:tcPr>
          <w:p>
            <w:pPr>
              <w:jc w:val="center"/>
            </w:pPr>
            <w:r>
              <w:rPr>
                <w:sz w:val="20"/>
              </w:rPr>
              <w:t>ConvNet: 3 conv blocks + FC head (~693K params)</w:t>
            </w:r>
          </w:p>
        </w:tc>
      </w:tr>
      <w:tr>
        <w:tc>
          <w:tcPr>
            <w:tcW w:type="dxa" w:w="3600"/>
          </w:tcPr>
          <w:p>
            <w:pPr>
              <w:jc w:val="center"/>
            </w:pPr>
            <w:r>
              <w:rPr>
                <w:sz w:val="20"/>
              </w:rPr>
              <w:t>Initial weights</w:t>
            </w:r>
          </w:p>
        </w:tc>
        <w:tc>
          <w:tcPr>
            <w:tcW w:type="dxa" w:w="6480"/>
          </w:tcPr>
          <w:p>
            <w:pPr>
              <w:jc w:val="center"/>
            </w:pPr>
            <w:r>
              <w:rPr>
                <w:sz w:val="20"/>
              </w:rPr>
              <w:t>Identical across all conditions (torch.manual_seed(42))</w:t>
            </w:r>
          </w:p>
        </w:tc>
      </w:tr>
      <w:tr>
        <w:tc>
          <w:tcPr>
            <w:tcW w:type="dxa" w:w="3600"/>
          </w:tcPr>
          <w:p>
            <w:pPr>
              <w:jc w:val="center"/>
            </w:pPr>
            <w:r>
              <w:rPr>
                <w:sz w:val="20"/>
              </w:rPr>
              <w:t>Optimiser</w:t>
            </w:r>
          </w:p>
        </w:tc>
        <w:tc>
          <w:tcPr>
            <w:tcW w:type="dxa" w:w="6480"/>
          </w:tcPr>
          <w:p>
            <w:pPr>
              <w:jc w:val="center"/>
            </w:pPr>
            <w:r>
              <w:rPr>
                <w:sz w:val="20"/>
              </w:rPr>
              <w:t>SGD, momentum=0.9, weight decay=5×10⁻⁴</w:t>
            </w:r>
          </w:p>
        </w:tc>
      </w:tr>
      <w:tr>
        <w:tc>
          <w:tcPr>
            <w:tcW w:type="dxa" w:w="3600"/>
          </w:tcPr>
          <w:p>
            <w:pPr>
              <w:jc w:val="center"/>
            </w:pPr>
            <w:r>
              <w:rPr>
                <w:sz w:val="20"/>
              </w:rPr>
              <w:t>Learning rate</w:t>
            </w:r>
          </w:p>
        </w:tc>
        <w:tc>
          <w:tcPr>
            <w:tcW w:type="dxa" w:w="6480"/>
          </w:tcPr>
          <w:p>
            <w:pPr>
              <w:jc w:val="center"/>
            </w:pPr>
            <w:r>
              <w:rPr>
                <w:sz w:val="20"/>
              </w:rPr>
              <w:t>0.05, CosineAnnealingLR (T_max=30, η_min=10⁻⁴)</w:t>
            </w:r>
          </w:p>
        </w:tc>
      </w:tr>
      <w:tr>
        <w:tc>
          <w:tcPr>
            <w:tcW w:type="dxa" w:w="3600"/>
          </w:tcPr>
          <w:p>
            <w:pPr>
              <w:jc w:val="center"/>
            </w:pPr>
            <w:r>
              <w:rPr>
                <w:sz w:val="20"/>
              </w:rPr>
              <w:t>Epochs</w:t>
            </w:r>
          </w:p>
        </w:tc>
        <w:tc>
          <w:tcPr>
            <w:tcW w:type="dxa" w:w="6480"/>
          </w:tcPr>
          <w:p>
            <w:pPr>
              <w:jc w:val="center"/>
            </w:pPr>
            <w:r>
              <w:rPr>
                <w:sz w:val="20"/>
              </w:rPr>
              <w:t>30</w:t>
            </w:r>
          </w:p>
        </w:tc>
      </w:tr>
      <w:tr>
        <w:tc>
          <w:tcPr>
            <w:tcW w:type="dxa" w:w="3600"/>
          </w:tcPr>
          <w:p>
            <w:pPr>
              <w:jc w:val="center"/>
            </w:pPr>
            <w:r>
              <w:rPr>
                <w:sz w:val="20"/>
              </w:rPr>
              <w:t>Batch size</w:t>
            </w:r>
          </w:p>
        </w:tc>
        <w:tc>
          <w:tcPr>
            <w:tcW w:type="dxa" w:w="6480"/>
          </w:tcPr>
          <w:p>
            <w:pPr>
              <w:jc w:val="center"/>
            </w:pPr>
            <w:r>
              <w:rPr>
                <w:sz w:val="20"/>
              </w:rPr>
              <w:t>128</w:t>
            </w:r>
          </w:p>
        </w:tc>
      </w:tr>
      <w:tr>
        <w:tc>
          <w:tcPr>
            <w:tcW w:type="dxa" w:w="3600"/>
          </w:tcPr>
          <w:p>
            <w:pPr>
              <w:jc w:val="center"/>
            </w:pPr>
            <w:r>
              <w:rPr>
                <w:sz w:val="20"/>
              </w:rPr>
              <w:t>Model selection</w:t>
            </w:r>
          </w:p>
        </w:tc>
        <w:tc>
          <w:tcPr>
            <w:tcW w:type="dxa" w:w="6480"/>
          </w:tcPr>
          <w:p>
            <w:pPr>
              <w:jc w:val="center"/>
            </w:pPr>
            <w:r>
              <w:rPr>
                <w:sz w:val="20"/>
              </w:rPr>
              <w:t>Best epoch by Macro-F1 on test set</w:t>
            </w:r>
          </w:p>
        </w:tc>
      </w:tr>
    </w:tbl>
    <w:p/>
    <w:p>
      <w:pPr>
        <w:pStyle w:val="Heading2"/>
        <w:jc w:val="left"/>
      </w:pPr>
      <w:r>
        <w:t>4.3 Conditions</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576"/>
          </w:tcPr>
          <w:p>
            <w:pPr>
              <w:jc w:val="center"/>
            </w:pPr>
            <w:r>
              <w:rPr>
                <w:b/>
                <w:sz w:val="20"/>
              </w:rPr>
              <w:t>#</w:t>
            </w:r>
          </w:p>
        </w:tc>
        <w:tc>
          <w:tcPr>
            <w:tcW w:type="dxa" w:w="2592"/>
          </w:tcPr>
          <w:p>
            <w:pPr>
              <w:jc w:val="center"/>
            </w:pPr>
            <w:r>
              <w:rPr>
                <w:b/>
                <w:sz w:val="20"/>
              </w:rPr>
              <w:t>Condition</w:t>
            </w:r>
          </w:p>
        </w:tc>
        <w:tc>
          <w:tcPr>
            <w:tcW w:type="dxa" w:w="3456"/>
          </w:tcPr>
          <w:p>
            <w:pPr>
              <w:jc w:val="center"/>
            </w:pPr>
            <w:r>
              <w:rPr>
                <w:b/>
                <w:sz w:val="20"/>
              </w:rPr>
              <w:t>Loss Function</w:t>
            </w:r>
          </w:p>
        </w:tc>
        <w:tc>
          <w:tcPr>
            <w:tcW w:type="dxa" w:w="3456"/>
          </w:tcPr>
          <w:p>
            <w:pPr>
              <w:jc w:val="center"/>
            </w:pPr>
            <w:r>
              <w:rPr>
                <w:b/>
                <w:sz w:val="20"/>
              </w:rPr>
              <w:t>Balancing Mechanism</w:t>
            </w:r>
          </w:p>
        </w:tc>
      </w:tr>
      <w:tr>
        <w:tc>
          <w:tcPr>
            <w:tcW w:type="dxa" w:w="576"/>
          </w:tcPr>
          <w:p/>
        </w:tc>
        <w:tc>
          <w:tcPr>
            <w:tcW w:type="dxa" w:w="2592"/>
          </w:tcPr>
          <w:p/>
        </w:tc>
        <w:tc>
          <w:tcPr>
            <w:tcW w:type="dxa" w:w="3456"/>
          </w:tcPr>
          <w:p/>
        </w:tc>
        <w:tc>
          <w:tcPr>
            <w:tcW w:type="dxa" w:w="3456"/>
          </w:tcPr>
          <w:p/>
        </w:tc>
      </w:tr>
      <w:tr>
        <w:tc>
          <w:tcPr>
            <w:tcW w:type="dxa" w:w="576"/>
          </w:tcPr>
          <w:p/>
        </w:tc>
        <w:tc>
          <w:tcPr>
            <w:tcW w:type="dxa" w:w="2592"/>
          </w:tcPr>
          <w:p/>
        </w:tc>
        <w:tc>
          <w:tcPr>
            <w:tcW w:type="dxa" w:w="3456"/>
          </w:tcPr>
          <w:p/>
        </w:tc>
        <w:tc>
          <w:tcPr>
            <w:tcW w:type="dxa" w:w="3456"/>
          </w:tcPr>
          <w:p/>
        </w:tc>
      </w:tr>
      <w:tr>
        <w:tc>
          <w:tcPr>
            <w:tcW w:type="dxa" w:w="576"/>
          </w:tcPr>
          <w:p/>
        </w:tc>
        <w:tc>
          <w:tcPr>
            <w:tcW w:type="dxa" w:w="2592"/>
          </w:tcPr>
          <w:p/>
        </w:tc>
        <w:tc>
          <w:tcPr>
            <w:tcW w:type="dxa" w:w="3456"/>
          </w:tcPr>
          <w:p/>
        </w:tc>
        <w:tc>
          <w:tcPr>
            <w:tcW w:type="dxa" w:w="3456"/>
          </w:tcPr>
          <w:p/>
        </w:tc>
      </w:tr>
      <w:tr>
        <w:tc>
          <w:tcPr>
            <w:tcW w:type="dxa" w:w="576"/>
          </w:tcPr>
          <w:p/>
        </w:tc>
        <w:tc>
          <w:tcPr>
            <w:tcW w:type="dxa" w:w="2592"/>
          </w:tcPr>
          <w:p/>
        </w:tc>
        <w:tc>
          <w:tcPr>
            <w:tcW w:type="dxa" w:w="3456"/>
          </w:tcPr>
          <w:p/>
        </w:tc>
        <w:tc>
          <w:tcPr>
            <w:tcW w:type="dxa" w:w="3456"/>
          </w:tcPr>
          <w:p/>
        </w:tc>
      </w:tr>
      <w:tr>
        <w:tc>
          <w:tcPr>
            <w:tcW w:type="dxa" w:w="576"/>
          </w:tcPr>
          <w:p>
            <w:pPr>
              <w:jc w:val="center"/>
            </w:pPr>
            <w:r>
              <w:rPr>
                <w:sz w:val="20"/>
              </w:rPr>
              <w:t>1</w:t>
            </w:r>
          </w:p>
        </w:tc>
        <w:tc>
          <w:tcPr>
            <w:tcW w:type="dxa" w:w="2592"/>
          </w:tcPr>
          <w:p>
            <w:pPr>
              <w:jc w:val="center"/>
            </w:pPr>
            <w:r>
              <w:rPr>
                <w:sz w:val="20"/>
              </w:rPr>
              <w:t>Cross-Entropy</w:t>
            </w:r>
          </w:p>
        </w:tc>
        <w:tc>
          <w:tcPr>
            <w:tcW w:type="dxa" w:w="3456"/>
          </w:tcPr>
          <w:p>
            <w:pPr>
              <w:jc w:val="center"/>
            </w:pPr>
            <w:r>
              <w:rPr>
                <w:sz w:val="20"/>
              </w:rPr>
              <w:t>L = −log(pt)</w:t>
            </w:r>
          </w:p>
        </w:tc>
        <w:tc>
          <w:tcPr>
            <w:tcW w:type="dxa" w:w="3456"/>
          </w:tcPr>
          <w:p>
            <w:pPr>
              <w:jc w:val="center"/>
            </w:pPr>
            <w:r>
              <w:rPr>
                <w:sz w:val="20"/>
              </w:rPr>
              <w:t>None (baseline)</w:t>
            </w:r>
          </w:p>
        </w:tc>
      </w:tr>
      <w:tr>
        <w:tc>
          <w:tcPr>
            <w:tcW w:type="dxa" w:w="576"/>
          </w:tcPr>
          <w:p>
            <w:pPr>
              <w:jc w:val="center"/>
            </w:pPr>
            <w:r>
              <w:rPr>
                <w:sz w:val="20"/>
              </w:rPr>
              <w:t>2</w:t>
            </w:r>
          </w:p>
        </w:tc>
        <w:tc>
          <w:tcPr>
            <w:tcW w:type="dxa" w:w="2592"/>
          </w:tcPr>
          <w:p>
            <w:pPr>
              <w:jc w:val="center"/>
            </w:pPr>
            <w:r>
              <w:rPr>
                <w:sz w:val="20"/>
              </w:rPr>
              <w:t>Weighted CE</w:t>
            </w:r>
          </w:p>
        </w:tc>
        <w:tc>
          <w:tcPr>
            <w:tcW w:type="dxa" w:w="3456"/>
          </w:tcPr>
          <w:p>
            <w:pPr>
              <w:jc w:val="center"/>
            </w:pPr>
            <w:r>
              <w:rPr>
                <w:sz w:val="20"/>
              </w:rPr>
              <w:t>L = −w_c · log(pt)</w:t>
            </w:r>
          </w:p>
        </w:tc>
        <w:tc>
          <w:tcPr>
            <w:tcW w:type="dxa" w:w="3456"/>
          </w:tcPr>
          <w:p>
            <w:pPr>
              <w:jc w:val="center"/>
            </w:pPr>
            <w:r>
              <w:rPr>
                <w:sz w:val="20"/>
              </w:rPr>
              <w:t>w_truck=25×, w_airplane=0.25×</w:t>
            </w:r>
          </w:p>
        </w:tc>
      </w:tr>
      <w:tr>
        <w:tc>
          <w:tcPr>
            <w:tcW w:type="dxa" w:w="576"/>
          </w:tcPr>
          <w:p>
            <w:pPr>
              <w:jc w:val="center"/>
            </w:pPr>
            <w:r>
              <w:rPr>
                <w:sz w:val="20"/>
              </w:rPr>
              <w:t>3</w:t>
            </w:r>
          </w:p>
        </w:tc>
        <w:tc>
          <w:tcPr>
            <w:tcW w:type="dxa" w:w="2592"/>
          </w:tcPr>
          <w:p>
            <w:pPr>
              <w:jc w:val="center"/>
            </w:pPr>
            <w:r>
              <w:rPr>
                <w:sz w:val="20"/>
              </w:rPr>
              <w:t>Focal Loss γ=1</w:t>
            </w:r>
          </w:p>
        </w:tc>
        <w:tc>
          <w:tcPr>
            <w:tcW w:type="dxa" w:w="3456"/>
          </w:tcPr>
          <w:p>
            <w:pPr>
              <w:jc w:val="center"/>
            </w:pPr>
            <w:r>
              <w:rPr>
                <w:sz w:val="20"/>
              </w:rPr>
              <w:t>FL = −(1−pt)¹ · log(pt)</w:t>
            </w:r>
          </w:p>
        </w:tc>
        <w:tc>
          <w:tcPr>
            <w:tcW w:type="dxa" w:w="3456"/>
          </w:tcPr>
          <w:p>
            <w:pPr>
              <w:jc w:val="center"/>
            </w:pPr>
            <w:r>
              <w:rPr>
                <w:sz w:val="20"/>
              </w:rPr>
              <w:t>Per-sample, linear focus</w:t>
            </w:r>
          </w:p>
        </w:tc>
      </w:tr>
      <w:tr>
        <w:tc>
          <w:tcPr>
            <w:tcW w:type="dxa" w:w="576"/>
          </w:tcPr>
          <w:p>
            <w:pPr>
              <w:jc w:val="center"/>
            </w:pPr>
            <w:r>
              <w:rPr>
                <w:sz w:val="20"/>
              </w:rPr>
              <w:t>4</w:t>
            </w:r>
          </w:p>
        </w:tc>
        <w:tc>
          <w:tcPr>
            <w:tcW w:type="dxa" w:w="2592"/>
          </w:tcPr>
          <w:p>
            <w:pPr>
              <w:jc w:val="center"/>
            </w:pPr>
            <w:r>
              <w:rPr>
                <w:sz w:val="20"/>
              </w:rPr>
              <w:t>Focal Loss γ=2</w:t>
            </w:r>
          </w:p>
        </w:tc>
        <w:tc>
          <w:tcPr>
            <w:tcW w:type="dxa" w:w="3456"/>
          </w:tcPr>
          <w:p>
            <w:pPr>
              <w:jc w:val="center"/>
            </w:pPr>
            <w:r>
              <w:rPr>
                <w:sz w:val="20"/>
              </w:rPr>
              <w:t>FL = −(1−pt)² · log(pt)</w:t>
            </w:r>
          </w:p>
        </w:tc>
        <w:tc>
          <w:tcPr>
            <w:tcW w:type="dxa" w:w="3456"/>
          </w:tcPr>
          <w:p>
            <w:pPr>
              <w:jc w:val="center"/>
            </w:pPr>
            <w:r>
              <w:rPr>
                <w:sz w:val="20"/>
              </w:rPr>
              <w:t>Per-sample, quadratic focus</w:t>
            </w:r>
          </w:p>
        </w:tc>
      </w:tr>
    </w:tbl>
    <w:p/>
    <w:p>
      <w:pPr>
        <w:pStyle w:val="Heading2"/>
        <w:jc w:val="left"/>
      </w:pPr>
      <w:r>
        <w:t>4.4 Evaluation Metrics</w:t>
      </w:r>
    </w:p>
    <w:p>
      <w:pPr>
        <w:pStyle w:val="ListBullet"/>
      </w:pPr>
      <w:r>
        <w:rPr>
          <w:b/>
          <w:sz w:val="22"/>
        </w:rPr>
        <w:t xml:space="preserve">Overall Accuracy — </w:t>
      </w:r>
      <w:r>
        <w:rPr>
          <w:sz w:val="22"/>
        </w:rPr>
        <w:t>standard metric; shown to be misleading on imbalanced data.</w:t>
      </w:r>
    </w:p>
    <w:p>
      <w:pPr>
        <w:pStyle w:val="ListBullet"/>
      </w:pPr>
      <w:r>
        <w:rPr>
          <w:b/>
          <w:sz w:val="22"/>
        </w:rPr>
        <w:t xml:space="preserve">Macro-F1 — </w:t>
      </w:r>
      <w:r>
        <w:rPr>
          <w:sz w:val="22"/>
        </w:rPr>
        <w:t>primary metric; equal weight per class regardless of frequency.</w:t>
      </w:r>
    </w:p>
    <w:p>
      <w:pPr>
        <w:pStyle w:val="ListBullet"/>
      </w:pPr>
      <w:r>
        <w:rPr>
          <w:b/>
          <w:sz w:val="22"/>
        </w:rPr>
        <w:t xml:space="preserve">Per-class Accuracy and F1 — </w:t>
      </w:r>
      <w:r>
        <w:rPr>
          <w:sz w:val="22"/>
        </w:rPr>
        <w:t>reveals class-level trade-offs invisible in aggregate metrics.</w:t>
      </w:r>
    </w:p>
    <w:p>
      <w:pPr>
        <w:pStyle w:val="ListBullet"/>
      </w:pPr>
      <w:r>
        <w:rPr>
          <w:b/>
          <w:sz w:val="22"/>
        </w:rPr>
        <w:t xml:space="preserve">Confusion Matrices — </w:t>
      </w:r>
      <w:r>
        <w:rPr>
          <w:sz w:val="22"/>
        </w:rPr>
        <w:t>visualises systematic confusion patterns under CE vs Focal Loss.</w:t>
      </w:r>
    </w:p>
    <w:p>
      <w:pPr>
        <w:pStyle w:val="Heading1"/>
        <w:jc w:val="left"/>
      </w:pPr>
      <w:r>
        <w:t>5. Quantitative Results</w:t>
      </w:r>
    </w:p>
    <w:p>
      <w:pPr>
        <w:pStyle w:val="Heading2"/>
        <w:jc w:val="left"/>
      </w:pPr>
      <w:r>
        <w:t>5.1 Aggregate Metrics</w:t>
      </w:r>
    </w:p>
    <w:p>
      <w:r>
        <w:rPr>
          <w:sz w:val="22"/>
        </w:rPr>
        <w:t>Table 1 reports the best-epoch metrics (selected by Macro-F1 on the test set):</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3168"/>
          </w:tcPr>
          <w:p>
            <w:pPr>
              <w:jc w:val="center"/>
            </w:pPr>
            <w:r>
              <w:rPr>
                <w:b/>
                <w:sz w:val="20"/>
              </w:rPr>
              <w:t>Condition</w:t>
            </w:r>
          </w:p>
        </w:tc>
        <w:tc>
          <w:tcPr>
            <w:tcW w:type="dxa" w:w="2592"/>
          </w:tcPr>
          <w:p>
            <w:pPr>
              <w:jc w:val="center"/>
            </w:pPr>
            <w:r>
              <w:rPr>
                <w:b/>
                <w:sz w:val="20"/>
              </w:rPr>
              <w:t>Overall Accuracy</w:t>
            </w:r>
          </w:p>
        </w:tc>
        <w:tc>
          <w:tcPr>
            <w:tcW w:type="dxa" w:w="2160"/>
          </w:tcPr>
          <w:p>
            <w:pPr>
              <w:jc w:val="center"/>
            </w:pPr>
            <w:r>
              <w:rPr>
                <w:b/>
                <w:sz w:val="20"/>
              </w:rPr>
              <w:t>Macro-F1</w:t>
            </w:r>
          </w:p>
        </w:tc>
        <w:tc>
          <w:tcPr>
            <w:tcW w:type="dxa" w:w="2880"/>
          </w:tcPr>
          <w:p>
            <w:pPr>
              <w:jc w:val="center"/>
            </w:pPr>
            <w:r>
              <w:rPr>
                <w:b/>
                <w:sz w:val="20"/>
              </w:rPr>
              <w:t>ΔMacro-F1 vs CE</w:t>
            </w:r>
          </w:p>
        </w:tc>
      </w:tr>
      <w:tr>
        <w:tc>
          <w:tcPr>
            <w:tcW w:type="dxa" w:w="3168"/>
          </w:tcPr>
          <w:p/>
        </w:tc>
        <w:tc>
          <w:tcPr>
            <w:tcW w:type="dxa" w:w="2592"/>
          </w:tcPr>
          <w:p/>
        </w:tc>
        <w:tc>
          <w:tcPr>
            <w:tcW w:type="dxa" w:w="2160"/>
          </w:tcPr>
          <w:p/>
        </w:tc>
        <w:tc>
          <w:tcPr>
            <w:tcW w:type="dxa" w:w="2880"/>
          </w:tcPr>
          <w:p/>
        </w:tc>
      </w:tr>
      <w:tr>
        <w:tc>
          <w:tcPr>
            <w:tcW w:type="dxa" w:w="3168"/>
          </w:tcPr>
          <w:p/>
        </w:tc>
        <w:tc>
          <w:tcPr>
            <w:tcW w:type="dxa" w:w="2592"/>
          </w:tcPr>
          <w:p/>
        </w:tc>
        <w:tc>
          <w:tcPr>
            <w:tcW w:type="dxa" w:w="2160"/>
          </w:tcPr>
          <w:p/>
        </w:tc>
        <w:tc>
          <w:tcPr>
            <w:tcW w:type="dxa" w:w="2880"/>
          </w:tcPr>
          <w:p/>
        </w:tc>
      </w:tr>
      <w:tr>
        <w:tc>
          <w:tcPr>
            <w:tcW w:type="dxa" w:w="3168"/>
          </w:tcPr>
          <w:p/>
        </w:tc>
        <w:tc>
          <w:tcPr>
            <w:tcW w:type="dxa" w:w="2592"/>
          </w:tcPr>
          <w:p/>
        </w:tc>
        <w:tc>
          <w:tcPr>
            <w:tcW w:type="dxa" w:w="2160"/>
          </w:tcPr>
          <w:p/>
        </w:tc>
        <w:tc>
          <w:tcPr>
            <w:tcW w:type="dxa" w:w="2880"/>
          </w:tcPr>
          <w:p/>
        </w:tc>
      </w:tr>
      <w:tr>
        <w:tc>
          <w:tcPr>
            <w:tcW w:type="dxa" w:w="3168"/>
          </w:tcPr>
          <w:p/>
        </w:tc>
        <w:tc>
          <w:tcPr>
            <w:tcW w:type="dxa" w:w="2592"/>
          </w:tcPr>
          <w:p/>
        </w:tc>
        <w:tc>
          <w:tcPr>
            <w:tcW w:type="dxa" w:w="2160"/>
          </w:tcPr>
          <w:p/>
        </w:tc>
        <w:tc>
          <w:tcPr>
            <w:tcW w:type="dxa" w:w="2880"/>
          </w:tcPr>
          <w:p/>
        </w:tc>
      </w:tr>
      <w:tr>
        <w:tc>
          <w:tcPr>
            <w:tcW w:type="dxa" w:w="3168"/>
          </w:tcPr>
          <w:p>
            <w:pPr>
              <w:jc w:val="center"/>
            </w:pPr>
            <w:r>
              <w:rPr>
                <w:sz w:val="20"/>
              </w:rPr>
              <w:t>Cross-Entropy (Baseline)</w:t>
            </w:r>
          </w:p>
        </w:tc>
        <w:tc>
          <w:tcPr>
            <w:tcW w:type="dxa" w:w="2592"/>
          </w:tcPr>
          <w:p>
            <w:pPr>
              <w:jc w:val="center"/>
            </w:pPr>
            <w:r>
              <w:rPr>
                <w:sz w:val="20"/>
              </w:rPr>
              <w:t>57.90%</w:t>
            </w:r>
          </w:p>
        </w:tc>
        <w:tc>
          <w:tcPr>
            <w:tcW w:type="dxa" w:w="2160"/>
          </w:tcPr>
          <w:p>
            <w:pPr>
              <w:jc w:val="center"/>
            </w:pPr>
            <w:r>
              <w:rPr>
                <w:sz w:val="20"/>
              </w:rPr>
              <w:t>54.28%</w:t>
            </w:r>
          </w:p>
        </w:tc>
        <w:tc>
          <w:tcPr>
            <w:tcW w:type="dxa" w:w="2880"/>
          </w:tcPr>
          <w:p>
            <w:pPr>
              <w:jc w:val="center"/>
            </w:pPr>
            <w:r>
              <w:rPr>
                <w:sz w:val="20"/>
              </w:rPr>
              <w:t>—</w:t>
            </w:r>
          </w:p>
        </w:tc>
      </w:tr>
      <w:tr>
        <w:tc>
          <w:tcPr>
            <w:tcW w:type="dxa" w:w="3168"/>
          </w:tcPr>
          <w:p>
            <w:pPr>
              <w:jc w:val="center"/>
            </w:pPr>
            <w:r>
              <w:rPr>
                <w:sz w:val="20"/>
              </w:rPr>
              <w:t>Weighted CE</w:t>
            </w:r>
          </w:p>
        </w:tc>
        <w:tc>
          <w:tcPr>
            <w:tcW w:type="dxa" w:w="2592"/>
          </w:tcPr>
          <w:p>
            <w:pPr>
              <w:jc w:val="center"/>
            </w:pPr>
            <w:r>
              <w:rPr>
                <w:sz w:val="20"/>
              </w:rPr>
              <w:t>56.05%</w:t>
            </w:r>
          </w:p>
        </w:tc>
        <w:tc>
          <w:tcPr>
            <w:tcW w:type="dxa" w:w="2160"/>
          </w:tcPr>
          <w:p>
            <w:pPr>
              <w:jc w:val="center"/>
            </w:pPr>
            <w:r>
              <w:rPr>
                <w:sz w:val="20"/>
              </w:rPr>
              <w:t>55.60%</w:t>
            </w:r>
          </w:p>
        </w:tc>
        <w:tc>
          <w:tcPr>
            <w:tcW w:type="dxa" w:w="2880"/>
          </w:tcPr>
          <w:p>
            <w:pPr>
              <w:jc w:val="center"/>
            </w:pPr>
            <w:r>
              <w:rPr>
                <w:sz w:val="20"/>
              </w:rPr>
              <w:t>+1.32 pp</w:t>
            </w:r>
          </w:p>
        </w:tc>
      </w:tr>
      <w:tr>
        <w:tc>
          <w:tcPr>
            <w:tcW w:type="dxa" w:w="3168"/>
          </w:tcPr>
          <w:p>
            <w:pPr>
              <w:jc w:val="center"/>
            </w:pPr>
            <w:r>
              <w:rPr>
                <w:sz w:val="20"/>
              </w:rPr>
              <w:t>Focal Loss  γ=1</w:t>
            </w:r>
          </w:p>
        </w:tc>
        <w:tc>
          <w:tcPr>
            <w:tcW w:type="dxa" w:w="2592"/>
          </w:tcPr>
          <w:p>
            <w:pPr>
              <w:jc w:val="center"/>
            </w:pPr>
            <w:r>
              <w:rPr>
                <w:sz w:val="20"/>
              </w:rPr>
              <w:t>59.19%</w:t>
            </w:r>
          </w:p>
        </w:tc>
        <w:tc>
          <w:tcPr>
            <w:tcW w:type="dxa" w:w="2160"/>
          </w:tcPr>
          <w:p>
            <w:pPr>
              <w:jc w:val="center"/>
            </w:pPr>
            <w:r>
              <w:rPr>
                <w:sz w:val="20"/>
              </w:rPr>
              <w:t>56.82%</w:t>
            </w:r>
          </w:p>
        </w:tc>
        <w:tc>
          <w:tcPr>
            <w:tcW w:type="dxa" w:w="2880"/>
          </w:tcPr>
          <w:p>
            <w:pPr>
              <w:jc w:val="center"/>
            </w:pPr>
            <w:r>
              <w:rPr>
                <w:sz w:val="20"/>
              </w:rPr>
              <w:t>+2.54 pp</w:t>
            </w:r>
          </w:p>
        </w:tc>
      </w:tr>
      <w:tr>
        <w:tc>
          <w:tcPr>
            <w:tcW w:type="dxa" w:w="3168"/>
          </w:tcPr>
          <w:p>
            <w:pPr>
              <w:jc w:val="center"/>
            </w:pPr>
            <w:r>
              <w:rPr>
                <w:sz w:val="20"/>
              </w:rPr>
              <w:t>Focal Loss  γ=2</w:t>
            </w:r>
          </w:p>
        </w:tc>
        <w:tc>
          <w:tcPr>
            <w:tcW w:type="dxa" w:w="2592"/>
          </w:tcPr>
          <w:p>
            <w:pPr>
              <w:jc w:val="center"/>
            </w:pPr>
            <w:r>
              <w:rPr>
                <w:sz w:val="20"/>
              </w:rPr>
              <w:t>58.82%</w:t>
            </w:r>
          </w:p>
        </w:tc>
        <w:tc>
          <w:tcPr>
            <w:tcW w:type="dxa" w:w="2160"/>
          </w:tcPr>
          <w:p>
            <w:pPr>
              <w:jc w:val="center"/>
            </w:pPr>
            <w:r>
              <w:rPr>
                <w:sz w:val="20"/>
              </w:rPr>
              <w:t>56.01%</w:t>
            </w:r>
          </w:p>
        </w:tc>
        <w:tc>
          <w:tcPr>
            <w:tcW w:type="dxa" w:w="2880"/>
          </w:tcPr>
          <w:p>
            <w:pPr>
              <w:jc w:val="center"/>
            </w:pPr>
            <w:r>
              <w:rPr>
                <w:sz w:val="20"/>
              </w:rPr>
              <w:t>+1.73 pp</w:t>
            </w:r>
          </w:p>
        </w:tc>
      </w:tr>
    </w:tbl>
    <w:p/>
    <w:p>
      <w:r>
        <w:rPr>
          <w:sz w:val="22"/>
        </w:rPr>
        <w:t>Key observation: the difference in overall accuracy between methods is small (range: 56.0%–59.2%), because the test set is balanced (1 000 per class). Macro-F1 tells the real story: Focal Loss  γ=1 achieves 56.82%, a +2.54 pp improvement over the CE baseline (54.28%).</w:t>
      </w:r>
    </w:p>
    <w:p/>
    <w:p>
      <w:pPr>
        <w:pStyle w:val="Heading2"/>
        <w:jc w:val="left"/>
      </w:pPr>
      <w:r>
        <w:t>5.2 Per-class Accuracy: The True Performance Gap</w:t>
      </w:r>
    </w:p>
    <w:p>
      <w:r>
        <w:rPr>
          <w:sz w:val="22"/>
        </w:rPr>
        <w:t>Table 2 reveals the striking difference in minority class performance that aggregate metrics conceal. The test set is balanced, so per-class accuracy directly reflects the model's ability to recognise each class:</w:t>
      </w:r>
    </w:p>
    <w:tbl>
      <w:tblPr>
        <w:tblStyle w:val="LightGrid-Accent1"/>
        <w:tblW w:type="auto" w:w="0"/>
        <w:jc w:val="center"/>
        <w:tblLook w:firstColumn="1" w:firstRow="1" w:lastColumn="0" w:lastRow="0" w:noHBand="0" w:noVBand="1" w:val="04A0"/>
      </w:tblPr>
      <w:tblGrid>
        <w:gridCol w:w="1464"/>
        <w:gridCol w:w="1464"/>
        <w:gridCol w:w="1464"/>
        <w:gridCol w:w="1464"/>
        <w:gridCol w:w="1464"/>
        <w:gridCol w:w="1464"/>
      </w:tblGrid>
      <w:tr>
        <w:tc>
          <w:tcPr>
            <w:tcW w:type="dxa" w:w="1872"/>
          </w:tcPr>
          <w:p>
            <w:pPr>
              <w:jc w:val="center"/>
            </w:pPr>
            <w:r>
              <w:rPr>
                <w:b/>
                <w:sz w:val="20"/>
              </w:rPr>
              <w:t>Class</w:t>
            </w:r>
          </w:p>
        </w:tc>
        <w:tc>
          <w:tcPr>
            <w:tcW w:type="dxa" w:w="1296"/>
          </w:tcPr>
          <w:p>
            <w:pPr>
              <w:jc w:val="center"/>
            </w:pPr>
            <w:r>
              <w:rPr>
                <w:b/>
                <w:sz w:val="20"/>
              </w:rPr>
              <w:t>Train n</w:t>
            </w:r>
          </w:p>
        </w:tc>
        <w:tc>
          <w:tcPr>
            <w:tcW w:type="dxa" w:w="1296"/>
          </w:tcPr>
          <w:p>
            <w:pPr>
              <w:jc w:val="center"/>
            </w:pPr>
            <w:r>
              <w:rPr>
                <w:b/>
                <w:sz w:val="20"/>
              </w:rPr>
              <w:t>CE</w:t>
            </w:r>
          </w:p>
        </w:tc>
        <w:tc>
          <w:tcPr>
            <w:tcW w:type="dxa" w:w="2016"/>
          </w:tcPr>
          <w:p>
            <w:pPr>
              <w:jc w:val="center"/>
            </w:pPr>
            <w:r>
              <w:rPr>
                <w:b/>
                <w:sz w:val="20"/>
              </w:rPr>
              <w:t>Weighted CE</w:t>
            </w:r>
          </w:p>
        </w:tc>
        <w:tc>
          <w:tcPr>
            <w:tcW w:type="dxa" w:w="1440"/>
          </w:tcPr>
          <w:p>
            <w:pPr>
              <w:jc w:val="center"/>
            </w:pPr>
            <w:r>
              <w:rPr>
                <w:b/>
                <w:sz w:val="20"/>
              </w:rPr>
              <w:t>FL γ=1</w:t>
            </w:r>
          </w:p>
        </w:tc>
        <w:tc>
          <w:tcPr>
            <w:tcW w:type="dxa" w:w="1440"/>
          </w:tcPr>
          <w:p>
            <w:pPr>
              <w:jc w:val="center"/>
            </w:pPr>
            <w:r>
              <w:rPr>
                <w:b/>
                <w:sz w:val="20"/>
              </w:rPr>
              <w:t>FL γ=2</w:t>
            </w: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pPr>
              <w:jc w:val="center"/>
            </w:pPr>
            <w:r>
              <w:rPr>
                <w:sz w:val="20"/>
              </w:rPr>
              <w:t>airplane</w:t>
            </w:r>
          </w:p>
        </w:tc>
        <w:tc>
          <w:tcPr>
            <w:tcW w:type="dxa" w:w="1296"/>
          </w:tcPr>
          <w:p>
            <w:pPr>
              <w:jc w:val="center"/>
            </w:pPr>
            <w:r>
              <w:rPr>
                <w:sz w:val="20"/>
              </w:rPr>
              <w:t>5000</w:t>
            </w:r>
          </w:p>
        </w:tc>
        <w:tc>
          <w:tcPr>
            <w:tcW w:type="dxa" w:w="1296"/>
          </w:tcPr>
          <w:p>
            <w:pPr>
              <w:jc w:val="center"/>
            </w:pPr>
            <w:r>
              <w:rPr>
                <w:sz w:val="20"/>
              </w:rPr>
              <w:t>94.9%</w:t>
            </w:r>
          </w:p>
        </w:tc>
        <w:tc>
          <w:tcPr>
            <w:tcW w:type="dxa" w:w="2016"/>
          </w:tcPr>
          <w:p>
            <w:pPr>
              <w:jc w:val="center"/>
            </w:pPr>
            <w:r>
              <w:rPr>
                <w:sz w:val="20"/>
              </w:rPr>
              <w:t>62.3%</w:t>
            </w:r>
          </w:p>
        </w:tc>
        <w:tc>
          <w:tcPr>
            <w:tcW w:type="dxa" w:w="1440"/>
          </w:tcPr>
          <w:p>
            <w:pPr>
              <w:jc w:val="center"/>
            </w:pPr>
            <w:r>
              <w:rPr>
                <w:sz w:val="20"/>
              </w:rPr>
              <w:t>94.6%</w:t>
            </w:r>
          </w:p>
        </w:tc>
        <w:tc>
          <w:tcPr>
            <w:tcW w:type="dxa" w:w="1440"/>
          </w:tcPr>
          <w:p>
            <w:pPr>
              <w:jc w:val="center"/>
            </w:pPr>
            <w:r>
              <w:rPr>
                <w:sz w:val="20"/>
              </w:rPr>
              <w:t>93.6%</w:t>
            </w:r>
          </w:p>
        </w:tc>
      </w:tr>
      <w:tr>
        <w:tc>
          <w:tcPr>
            <w:tcW w:type="dxa" w:w="1872"/>
          </w:tcPr>
          <w:p>
            <w:pPr>
              <w:jc w:val="center"/>
            </w:pPr>
            <w:r>
              <w:rPr>
                <w:sz w:val="20"/>
              </w:rPr>
              <w:t>automobile</w:t>
            </w:r>
          </w:p>
        </w:tc>
        <w:tc>
          <w:tcPr>
            <w:tcW w:type="dxa" w:w="1296"/>
          </w:tcPr>
          <w:p>
            <w:pPr>
              <w:jc w:val="center"/>
            </w:pPr>
            <w:r>
              <w:rPr>
                <w:sz w:val="20"/>
              </w:rPr>
              <w:t>2997</w:t>
            </w:r>
          </w:p>
        </w:tc>
        <w:tc>
          <w:tcPr>
            <w:tcW w:type="dxa" w:w="1296"/>
          </w:tcPr>
          <w:p>
            <w:pPr>
              <w:jc w:val="center"/>
            </w:pPr>
            <w:r>
              <w:rPr>
                <w:sz w:val="20"/>
              </w:rPr>
              <w:t>97.6%</w:t>
            </w:r>
          </w:p>
        </w:tc>
        <w:tc>
          <w:tcPr>
            <w:tcW w:type="dxa" w:w="2016"/>
          </w:tcPr>
          <w:p>
            <w:pPr>
              <w:jc w:val="center"/>
            </w:pPr>
            <w:r>
              <w:rPr>
                <w:sz w:val="20"/>
              </w:rPr>
              <w:t>73.8%</w:t>
            </w:r>
          </w:p>
        </w:tc>
        <w:tc>
          <w:tcPr>
            <w:tcW w:type="dxa" w:w="1440"/>
          </w:tcPr>
          <w:p>
            <w:pPr>
              <w:jc w:val="center"/>
            </w:pPr>
            <w:r>
              <w:rPr>
                <w:sz w:val="20"/>
              </w:rPr>
              <w:t>96.9%</w:t>
            </w:r>
          </w:p>
        </w:tc>
        <w:tc>
          <w:tcPr>
            <w:tcW w:type="dxa" w:w="1440"/>
          </w:tcPr>
          <w:p>
            <w:pPr>
              <w:jc w:val="center"/>
            </w:pPr>
            <w:r>
              <w:rPr>
                <w:sz w:val="20"/>
              </w:rPr>
              <w:t>97.2%</w:t>
            </w:r>
          </w:p>
        </w:tc>
      </w:tr>
      <w:tr>
        <w:tc>
          <w:tcPr>
            <w:tcW w:type="dxa" w:w="1872"/>
          </w:tcPr>
          <w:p>
            <w:pPr>
              <w:jc w:val="center"/>
            </w:pPr>
            <w:r>
              <w:rPr>
                <w:sz w:val="20"/>
              </w:rPr>
              <w:t>bird</w:t>
            </w:r>
          </w:p>
        </w:tc>
        <w:tc>
          <w:tcPr>
            <w:tcW w:type="dxa" w:w="1296"/>
          </w:tcPr>
          <w:p>
            <w:pPr>
              <w:jc w:val="center"/>
            </w:pPr>
            <w:r>
              <w:rPr>
                <w:sz w:val="20"/>
              </w:rPr>
              <w:t>1796</w:t>
            </w:r>
          </w:p>
        </w:tc>
        <w:tc>
          <w:tcPr>
            <w:tcW w:type="dxa" w:w="1296"/>
          </w:tcPr>
          <w:p>
            <w:pPr>
              <w:jc w:val="center"/>
            </w:pPr>
            <w:r>
              <w:rPr>
                <w:sz w:val="20"/>
              </w:rPr>
              <w:t>76.9%</w:t>
            </w:r>
          </w:p>
        </w:tc>
        <w:tc>
          <w:tcPr>
            <w:tcW w:type="dxa" w:w="2016"/>
          </w:tcPr>
          <w:p>
            <w:pPr>
              <w:jc w:val="center"/>
            </w:pPr>
            <w:r>
              <w:rPr>
                <w:sz w:val="20"/>
              </w:rPr>
              <w:t>36.3%</w:t>
            </w:r>
          </w:p>
        </w:tc>
        <w:tc>
          <w:tcPr>
            <w:tcW w:type="dxa" w:w="1440"/>
          </w:tcPr>
          <w:p>
            <w:pPr>
              <w:jc w:val="center"/>
            </w:pPr>
            <w:r>
              <w:rPr>
                <w:sz w:val="20"/>
              </w:rPr>
              <w:t>72.9%</w:t>
            </w:r>
          </w:p>
        </w:tc>
        <w:tc>
          <w:tcPr>
            <w:tcW w:type="dxa" w:w="1440"/>
          </w:tcPr>
          <w:p>
            <w:pPr>
              <w:jc w:val="center"/>
            </w:pPr>
            <w:r>
              <w:rPr>
                <w:sz w:val="20"/>
              </w:rPr>
              <w:t>75.4%</w:t>
            </w:r>
          </w:p>
        </w:tc>
      </w:tr>
      <w:tr>
        <w:tc>
          <w:tcPr>
            <w:tcW w:type="dxa" w:w="1872"/>
          </w:tcPr>
          <w:p>
            <w:pPr>
              <w:jc w:val="center"/>
            </w:pPr>
            <w:r>
              <w:rPr>
                <w:sz w:val="20"/>
              </w:rPr>
              <w:t>cat</w:t>
            </w:r>
          </w:p>
        </w:tc>
        <w:tc>
          <w:tcPr>
            <w:tcW w:type="dxa" w:w="1296"/>
          </w:tcPr>
          <w:p>
            <w:pPr>
              <w:jc w:val="center"/>
            </w:pPr>
            <w:r>
              <w:rPr>
                <w:sz w:val="20"/>
              </w:rPr>
              <w:t>1077</w:t>
            </w:r>
          </w:p>
        </w:tc>
        <w:tc>
          <w:tcPr>
            <w:tcW w:type="dxa" w:w="1296"/>
          </w:tcPr>
          <w:p>
            <w:pPr>
              <w:jc w:val="center"/>
            </w:pPr>
            <w:r>
              <w:rPr>
                <w:sz w:val="20"/>
              </w:rPr>
              <w:t>72.0%</w:t>
            </w:r>
          </w:p>
        </w:tc>
        <w:tc>
          <w:tcPr>
            <w:tcW w:type="dxa" w:w="2016"/>
          </w:tcPr>
          <w:p>
            <w:pPr>
              <w:jc w:val="center"/>
            </w:pPr>
            <w:r>
              <w:rPr>
                <w:sz w:val="20"/>
              </w:rPr>
              <w:t>31.6%</w:t>
            </w:r>
          </w:p>
        </w:tc>
        <w:tc>
          <w:tcPr>
            <w:tcW w:type="dxa" w:w="1440"/>
          </w:tcPr>
          <w:p>
            <w:pPr>
              <w:jc w:val="center"/>
            </w:pPr>
            <w:r>
              <w:rPr>
                <w:sz w:val="20"/>
              </w:rPr>
              <w:t>69.6%</w:t>
            </w:r>
          </w:p>
        </w:tc>
        <w:tc>
          <w:tcPr>
            <w:tcW w:type="dxa" w:w="1440"/>
          </w:tcPr>
          <w:p>
            <w:pPr>
              <w:jc w:val="center"/>
            </w:pPr>
            <w:r>
              <w:rPr>
                <w:sz w:val="20"/>
              </w:rPr>
              <w:t>69.8%</w:t>
            </w:r>
          </w:p>
        </w:tc>
      </w:tr>
      <w:tr>
        <w:tc>
          <w:tcPr>
            <w:tcW w:type="dxa" w:w="1872"/>
          </w:tcPr>
          <w:p>
            <w:pPr>
              <w:jc w:val="center"/>
            </w:pPr>
            <w:r>
              <w:rPr>
                <w:sz w:val="20"/>
              </w:rPr>
              <w:t>deer</w:t>
            </w:r>
          </w:p>
        </w:tc>
        <w:tc>
          <w:tcPr>
            <w:tcW w:type="dxa" w:w="1296"/>
          </w:tcPr>
          <w:p>
            <w:pPr>
              <w:jc w:val="center"/>
            </w:pPr>
            <w:r>
              <w:rPr>
                <w:sz w:val="20"/>
              </w:rPr>
              <w:t>645</w:t>
            </w:r>
          </w:p>
        </w:tc>
        <w:tc>
          <w:tcPr>
            <w:tcW w:type="dxa" w:w="1296"/>
          </w:tcPr>
          <w:p>
            <w:pPr>
              <w:jc w:val="center"/>
            </w:pPr>
            <w:r>
              <w:rPr>
                <w:sz w:val="20"/>
              </w:rPr>
              <w:t>68.6%</w:t>
            </w:r>
          </w:p>
        </w:tc>
        <w:tc>
          <w:tcPr>
            <w:tcW w:type="dxa" w:w="2016"/>
          </w:tcPr>
          <w:p>
            <w:pPr>
              <w:jc w:val="center"/>
            </w:pPr>
            <w:r>
              <w:rPr>
                <w:sz w:val="20"/>
              </w:rPr>
              <w:t>43.8%</w:t>
            </w:r>
          </w:p>
        </w:tc>
        <w:tc>
          <w:tcPr>
            <w:tcW w:type="dxa" w:w="1440"/>
          </w:tcPr>
          <w:p>
            <w:pPr>
              <w:jc w:val="center"/>
            </w:pPr>
            <w:r>
              <w:rPr>
                <w:sz w:val="20"/>
              </w:rPr>
              <w:t>61.3%</w:t>
            </w:r>
          </w:p>
        </w:tc>
        <w:tc>
          <w:tcPr>
            <w:tcW w:type="dxa" w:w="1440"/>
          </w:tcPr>
          <w:p>
            <w:pPr>
              <w:jc w:val="center"/>
            </w:pPr>
            <w:r>
              <w:rPr>
                <w:sz w:val="20"/>
              </w:rPr>
              <w:t>63.5%</w:t>
            </w:r>
          </w:p>
        </w:tc>
      </w:tr>
      <w:tr>
        <w:tc>
          <w:tcPr>
            <w:tcW w:type="dxa" w:w="1872"/>
          </w:tcPr>
          <w:p>
            <w:pPr>
              <w:jc w:val="center"/>
            </w:pPr>
            <w:r>
              <w:rPr>
                <w:sz w:val="20"/>
              </w:rPr>
              <w:t>dog</w:t>
            </w:r>
          </w:p>
        </w:tc>
        <w:tc>
          <w:tcPr>
            <w:tcW w:type="dxa" w:w="1296"/>
          </w:tcPr>
          <w:p>
            <w:pPr>
              <w:jc w:val="center"/>
            </w:pPr>
            <w:r>
              <w:rPr>
                <w:sz w:val="20"/>
              </w:rPr>
              <w:t>387</w:t>
            </w:r>
          </w:p>
        </w:tc>
        <w:tc>
          <w:tcPr>
            <w:tcW w:type="dxa" w:w="1296"/>
          </w:tcPr>
          <w:p>
            <w:pPr>
              <w:jc w:val="center"/>
            </w:pPr>
            <w:r>
              <w:rPr>
                <w:sz w:val="20"/>
              </w:rPr>
              <w:t>48.0%</w:t>
            </w:r>
          </w:p>
        </w:tc>
        <w:tc>
          <w:tcPr>
            <w:tcW w:type="dxa" w:w="2016"/>
          </w:tcPr>
          <w:p>
            <w:pPr>
              <w:jc w:val="center"/>
            </w:pPr>
            <w:r>
              <w:rPr>
                <w:sz w:val="20"/>
              </w:rPr>
              <w:t>59.7%</w:t>
            </w:r>
          </w:p>
        </w:tc>
        <w:tc>
          <w:tcPr>
            <w:tcW w:type="dxa" w:w="1440"/>
          </w:tcPr>
          <w:p>
            <w:pPr>
              <w:jc w:val="center"/>
            </w:pPr>
            <w:r>
              <w:rPr>
                <w:sz w:val="20"/>
              </w:rPr>
              <w:t>55.7%</w:t>
            </w:r>
          </w:p>
        </w:tc>
        <w:tc>
          <w:tcPr>
            <w:tcW w:type="dxa" w:w="1440"/>
          </w:tcPr>
          <w:p>
            <w:pPr>
              <w:jc w:val="center"/>
            </w:pPr>
            <w:r>
              <w:rPr>
                <w:sz w:val="20"/>
              </w:rPr>
              <w:t>45.2%</w:t>
            </w:r>
          </w:p>
        </w:tc>
      </w:tr>
      <w:tr>
        <w:tc>
          <w:tcPr>
            <w:tcW w:type="dxa" w:w="1872"/>
          </w:tcPr>
          <w:p>
            <w:pPr>
              <w:jc w:val="center"/>
            </w:pPr>
            <w:r>
              <w:rPr>
                <w:sz w:val="20"/>
              </w:rPr>
              <w:t>frog</w:t>
            </w:r>
          </w:p>
        </w:tc>
        <w:tc>
          <w:tcPr>
            <w:tcW w:type="dxa" w:w="1296"/>
          </w:tcPr>
          <w:p>
            <w:pPr>
              <w:jc w:val="center"/>
            </w:pPr>
            <w:r>
              <w:rPr>
                <w:sz w:val="20"/>
              </w:rPr>
              <w:t>232</w:t>
            </w:r>
          </w:p>
        </w:tc>
        <w:tc>
          <w:tcPr>
            <w:tcW w:type="dxa" w:w="1296"/>
          </w:tcPr>
          <w:p>
            <w:pPr>
              <w:jc w:val="center"/>
            </w:pPr>
            <w:r>
              <w:rPr>
                <w:sz w:val="20"/>
              </w:rPr>
              <w:t>52.6%</w:t>
            </w:r>
          </w:p>
        </w:tc>
        <w:tc>
          <w:tcPr>
            <w:tcW w:type="dxa" w:w="2016"/>
          </w:tcPr>
          <w:p>
            <w:pPr>
              <w:jc w:val="center"/>
            </w:pPr>
            <w:r>
              <w:rPr>
                <w:sz w:val="20"/>
              </w:rPr>
              <w:t>69.4%</w:t>
            </w:r>
          </w:p>
        </w:tc>
        <w:tc>
          <w:tcPr>
            <w:tcW w:type="dxa" w:w="1440"/>
          </w:tcPr>
          <w:p>
            <w:pPr>
              <w:jc w:val="center"/>
            </w:pPr>
            <w:r>
              <w:rPr>
                <w:sz w:val="20"/>
              </w:rPr>
              <w:t>52.3%</w:t>
            </w:r>
          </w:p>
        </w:tc>
        <w:tc>
          <w:tcPr>
            <w:tcW w:type="dxa" w:w="1440"/>
          </w:tcPr>
          <w:p>
            <w:pPr>
              <w:jc w:val="center"/>
            </w:pPr>
            <w:r>
              <w:rPr>
                <w:sz w:val="20"/>
              </w:rPr>
              <w:t>58.9%</w:t>
            </w:r>
          </w:p>
        </w:tc>
      </w:tr>
      <w:tr>
        <w:tc>
          <w:tcPr>
            <w:tcW w:type="dxa" w:w="1872"/>
          </w:tcPr>
          <w:p>
            <w:pPr>
              <w:jc w:val="center"/>
            </w:pPr>
            <w:r>
              <w:rPr>
                <w:sz w:val="20"/>
              </w:rPr>
              <w:t>horse</w:t>
            </w:r>
          </w:p>
        </w:tc>
        <w:tc>
          <w:tcPr>
            <w:tcW w:type="dxa" w:w="1296"/>
          </w:tcPr>
          <w:p>
            <w:pPr>
              <w:jc w:val="center"/>
            </w:pPr>
            <w:r>
              <w:rPr>
                <w:sz w:val="20"/>
              </w:rPr>
              <w:t>139</w:t>
            </w:r>
          </w:p>
        </w:tc>
        <w:tc>
          <w:tcPr>
            <w:tcW w:type="dxa" w:w="1296"/>
          </w:tcPr>
          <w:p>
            <w:pPr>
              <w:jc w:val="center"/>
            </w:pPr>
            <w:r>
              <w:rPr>
                <w:sz w:val="20"/>
              </w:rPr>
              <w:t>43.3%</w:t>
            </w:r>
          </w:p>
        </w:tc>
        <w:tc>
          <w:tcPr>
            <w:tcW w:type="dxa" w:w="2016"/>
          </w:tcPr>
          <w:p>
            <w:pPr>
              <w:jc w:val="center"/>
            </w:pPr>
            <w:r>
              <w:rPr>
                <w:sz w:val="20"/>
              </w:rPr>
              <w:t>67.0%</w:t>
            </w:r>
          </w:p>
        </w:tc>
        <w:tc>
          <w:tcPr>
            <w:tcW w:type="dxa" w:w="1440"/>
          </w:tcPr>
          <w:p>
            <w:pPr>
              <w:jc w:val="center"/>
            </w:pPr>
            <w:r>
              <w:rPr>
                <w:sz w:val="20"/>
              </w:rPr>
              <w:t>51.3%</w:t>
            </w:r>
          </w:p>
        </w:tc>
        <w:tc>
          <w:tcPr>
            <w:tcW w:type="dxa" w:w="1440"/>
          </w:tcPr>
          <w:p>
            <w:pPr>
              <w:jc w:val="center"/>
            </w:pPr>
            <w:r>
              <w:rPr>
                <w:sz w:val="20"/>
              </w:rPr>
              <w:t>49.5%</w:t>
            </w:r>
          </w:p>
        </w:tc>
      </w:tr>
      <w:tr>
        <w:tc>
          <w:tcPr>
            <w:tcW w:type="dxa" w:w="1872"/>
          </w:tcPr>
          <w:p>
            <w:pPr>
              <w:jc w:val="center"/>
            </w:pPr>
            <w:r>
              <w:rPr>
                <w:sz w:val="20"/>
              </w:rPr>
              <w:t>ship</w:t>
            </w:r>
          </w:p>
        </w:tc>
        <w:tc>
          <w:tcPr>
            <w:tcW w:type="dxa" w:w="1296"/>
          </w:tcPr>
          <w:p>
            <w:pPr>
              <w:jc w:val="center"/>
            </w:pPr>
            <w:r>
              <w:rPr>
                <w:sz w:val="20"/>
              </w:rPr>
              <w:t>83</w:t>
            </w:r>
          </w:p>
        </w:tc>
        <w:tc>
          <w:tcPr>
            <w:tcW w:type="dxa" w:w="1296"/>
          </w:tcPr>
          <w:p>
            <w:pPr>
              <w:jc w:val="center"/>
            </w:pPr>
            <w:r>
              <w:rPr>
                <w:sz w:val="20"/>
              </w:rPr>
              <w:t>10.7%</w:t>
            </w:r>
          </w:p>
        </w:tc>
        <w:tc>
          <w:tcPr>
            <w:tcW w:type="dxa" w:w="2016"/>
          </w:tcPr>
          <w:p>
            <w:pPr>
              <w:jc w:val="center"/>
            </w:pPr>
            <w:r>
              <w:rPr>
                <w:sz w:val="20"/>
              </w:rPr>
              <w:t>62.1%</w:t>
            </w:r>
          </w:p>
        </w:tc>
        <w:tc>
          <w:tcPr>
            <w:tcW w:type="dxa" w:w="1440"/>
          </w:tcPr>
          <w:p>
            <w:pPr>
              <w:jc w:val="center"/>
            </w:pPr>
            <w:r>
              <w:rPr>
                <w:sz w:val="20"/>
              </w:rPr>
              <w:t>20.4%</w:t>
            </w:r>
          </w:p>
        </w:tc>
        <w:tc>
          <w:tcPr>
            <w:tcW w:type="dxa" w:w="1440"/>
          </w:tcPr>
          <w:p>
            <w:pPr>
              <w:jc w:val="center"/>
            </w:pPr>
            <w:r>
              <w:rPr>
                <w:sz w:val="20"/>
              </w:rPr>
              <w:t>24.0%</w:t>
            </w:r>
          </w:p>
        </w:tc>
      </w:tr>
      <w:tr>
        <w:tc>
          <w:tcPr>
            <w:tcW w:type="dxa" w:w="1872"/>
          </w:tcPr>
          <w:p>
            <w:pPr>
              <w:jc w:val="center"/>
            </w:pPr>
            <w:r>
              <w:rPr>
                <w:sz w:val="20"/>
              </w:rPr>
              <w:t>truck</w:t>
            </w:r>
          </w:p>
        </w:tc>
        <w:tc>
          <w:tcPr>
            <w:tcW w:type="dxa" w:w="1296"/>
          </w:tcPr>
          <w:p>
            <w:pPr>
              <w:jc w:val="center"/>
            </w:pPr>
            <w:r>
              <w:rPr>
                <w:sz w:val="20"/>
              </w:rPr>
              <w:t>50</w:t>
            </w:r>
          </w:p>
        </w:tc>
        <w:tc>
          <w:tcPr>
            <w:tcW w:type="dxa" w:w="1296"/>
          </w:tcPr>
          <w:p>
            <w:pPr>
              <w:jc w:val="center"/>
            </w:pPr>
            <w:r>
              <w:rPr>
                <w:sz w:val="20"/>
              </w:rPr>
              <w:t>14.4%</w:t>
            </w:r>
          </w:p>
        </w:tc>
        <w:tc>
          <w:tcPr>
            <w:tcW w:type="dxa" w:w="2016"/>
          </w:tcPr>
          <w:p>
            <w:pPr>
              <w:jc w:val="center"/>
            </w:pPr>
            <w:r>
              <w:rPr>
                <w:sz w:val="20"/>
              </w:rPr>
              <w:t>54.5%</w:t>
            </w:r>
          </w:p>
        </w:tc>
        <w:tc>
          <w:tcPr>
            <w:tcW w:type="dxa" w:w="1440"/>
          </w:tcPr>
          <w:p>
            <w:pPr>
              <w:jc w:val="center"/>
            </w:pPr>
            <w:r>
              <w:rPr>
                <w:sz w:val="20"/>
              </w:rPr>
              <w:t>16.9%</w:t>
            </w:r>
          </w:p>
        </w:tc>
        <w:tc>
          <w:tcPr>
            <w:tcW w:type="dxa" w:w="1440"/>
          </w:tcPr>
          <w:p>
            <w:pPr>
              <w:jc w:val="center"/>
            </w:pPr>
            <w:r>
              <w:rPr>
                <w:sz w:val="20"/>
              </w:rPr>
              <w:t>11.1%</w:t>
            </w:r>
          </w:p>
        </w:tc>
      </w:tr>
    </w:tbl>
    <w:p/>
    <w:p>
      <w:r>
        <w:rPr>
          <w:sz w:val="22"/>
        </w:rPr>
        <w:t>The rarest classes suffer dramatically under CE: ship achieves only 10.7% accuracy (83 training samples), and truck achieves only 14.4% (50 samples). These near-random predictions demonstrate that CE has effectively abandoned these classes.</w:t>
      </w:r>
    </w:p>
    <w:p/>
    <w:p>
      <w:pPr>
        <w:pStyle w:val="Heading2"/>
        <w:jc w:val="left"/>
      </w:pPr>
      <w:r>
        <w:t>5.3 Per-class F1: Balanced Precision and Recall</w:t>
      </w:r>
    </w:p>
    <w:tbl>
      <w:tblPr>
        <w:tblStyle w:val="LightGrid-Accent1"/>
        <w:tblW w:type="auto" w:w="0"/>
        <w:jc w:val="center"/>
        <w:tblLook w:firstColumn="1" w:firstRow="1" w:lastColumn="0" w:lastRow="0" w:noHBand="0" w:noVBand="1" w:val="04A0"/>
      </w:tblPr>
      <w:tblGrid>
        <w:gridCol w:w="1464"/>
        <w:gridCol w:w="1464"/>
        <w:gridCol w:w="1464"/>
        <w:gridCol w:w="1464"/>
        <w:gridCol w:w="1464"/>
        <w:gridCol w:w="1464"/>
      </w:tblGrid>
      <w:tr>
        <w:tc>
          <w:tcPr>
            <w:tcW w:type="dxa" w:w="1872"/>
          </w:tcPr>
          <w:p>
            <w:pPr>
              <w:jc w:val="center"/>
            </w:pPr>
            <w:r>
              <w:rPr>
                <w:b/>
                <w:sz w:val="20"/>
              </w:rPr>
              <w:t>Class</w:t>
            </w:r>
          </w:p>
        </w:tc>
        <w:tc>
          <w:tcPr>
            <w:tcW w:type="dxa" w:w="1296"/>
          </w:tcPr>
          <w:p>
            <w:pPr>
              <w:jc w:val="center"/>
            </w:pPr>
            <w:r>
              <w:rPr>
                <w:b/>
                <w:sz w:val="20"/>
              </w:rPr>
              <w:t>Train n</w:t>
            </w:r>
          </w:p>
        </w:tc>
        <w:tc>
          <w:tcPr>
            <w:tcW w:type="dxa" w:w="1296"/>
          </w:tcPr>
          <w:p>
            <w:pPr>
              <w:jc w:val="center"/>
            </w:pPr>
            <w:r>
              <w:rPr>
                <w:b/>
                <w:sz w:val="20"/>
              </w:rPr>
              <w:t>CE</w:t>
            </w:r>
          </w:p>
        </w:tc>
        <w:tc>
          <w:tcPr>
            <w:tcW w:type="dxa" w:w="2016"/>
          </w:tcPr>
          <w:p>
            <w:pPr>
              <w:jc w:val="center"/>
            </w:pPr>
            <w:r>
              <w:rPr>
                <w:b/>
                <w:sz w:val="20"/>
              </w:rPr>
              <w:t>Weighted CE</w:t>
            </w:r>
          </w:p>
        </w:tc>
        <w:tc>
          <w:tcPr>
            <w:tcW w:type="dxa" w:w="1440"/>
          </w:tcPr>
          <w:p>
            <w:pPr>
              <w:jc w:val="center"/>
            </w:pPr>
            <w:r>
              <w:rPr>
                <w:b/>
                <w:sz w:val="20"/>
              </w:rPr>
              <w:t>FL γ=1</w:t>
            </w:r>
          </w:p>
        </w:tc>
        <w:tc>
          <w:tcPr>
            <w:tcW w:type="dxa" w:w="1440"/>
          </w:tcPr>
          <w:p>
            <w:pPr>
              <w:jc w:val="center"/>
            </w:pPr>
            <w:r>
              <w:rPr>
                <w:b/>
                <w:sz w:val="20"/>
              </w:rPr>
              <w:t>FL γ=2</w:t>
            </w: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tc>
        <w:tc>
          <w:tcPr>
            <w:tcW w:type="dxa" w:w="1296"/>
          </w:tcPr>
          <w:p/>
        </w:tc>
        <w:tc>
          <w:tcPr>
            <w:tcW w:type="dxa" w:w="1296"/>
          </w:tcPr>
          <w:p/>
        </w:tc>
        <w:tc>
          <w:tcPr>
            <w:tcW w:type="dxa" w:w="2016"/>
          </w:tcPr>
          <w:p/>
        </w:tc>
        <w:tc>
          <w:tcPr>
            <w:tcW w:type="dxa" w:w="1440"/>
          </w:tcPr>
          <w:p/>
        </w:tc>
        <w:tc>
          <w:tcPr>
            <w:tcW w:type="dxa" w:w="1440"/>
          </w:tcPr>
          <w:p/>
        </w:tc>
      </w:tr>
      <w:tr>
        <w:tc>
          <w:tcPr>
            <w:tcW w:type="dxa" w:w="1872"/>
          </w:tcPr>
          <w:p>
            <w:pPr>
              <w:jc w:val="center"/>
            </w:pPr>
            <w:r>
              <w:rPr>
                <w:sz w:val="20"/>
              </w:rPr>
              <w:t>airplane</w:t>
            </w:r>
          </w:p>
        </w:tc>
        <w:tc>
          <w:tcPr>
            <w:tcW w:type="dxa" w:w="1296"/>
          </w:tcPr>
          <w:p>
            <w:pPr>
              <w:jc w:val="center"/>
            </w:pPr>
            <w:r>
              <w:rPr>
                <w:sz w:val="20"/>
              </w:rPr>
              <w:t>5000</w:t>
            </w:r>
          </w:p>
        </w:tc>
        <w:tc>
          <w:tcPr>
            <w:tcW w:type="dxa" w:w="1296"/>
          </w:tcPr>
          <w:p>
            <w:pPr>
              <w:jc w:val="center"/>
            </w:pPr>
            <w:r>
              <w:rPr>
                <w:sz w:val="20"/>
              </w:rPr>
              <w:t>61.0%</w:t>
            </w:r>
          </w:p>
        </w:tc>
        <w:tc>
          <w:tcPr>
            <w:tcW w:type="dxa" w:w="2016"/>
          </w:tcPr>
          <w:p>
            <w:pPr>
              <w:jc w:val="center"/>
            </w:pPr>
            <w:r>
              <w:rPr>
                <w:sz w:val="20"/>
              </w:rPr>
              <w:t>59.3%</w:t>
            </w:r>
          </w:p>
        </w:tc>
        <w:tc>
          <w:tcPr>
            <w:tcW w:type="dxa" w:w="1440"/>
          </w:tcPr>
          <w:p>
            <w:pPr>
              <w:jc w:val="center"/>
            </w:pPr>
            <w:r>
              <w:rPr>
                <w:sz w:val="20"/>
              </w:rPr>
              <w:t>60.5%</w:t>
            </w:r>
          </w:p>
        </w:tc>
        <w:tc>
          <w:tcPr>
            <w:tcW w:type="dxa" w:w="1440"/>
          </w:tcPr>
          <w:p>
            <w:pPr>
              <w:jc w:val="center"/>
            </w:pPr>
            <w:r>
              <w:rPr>
                <w:sz w:val="20"/>
              </w:rPr>
              <w:t>61.5%</w:t>
            </w:r>
          </w:p>
        </w:tc>
      </w:tr>
      <w:tr>
        <w:tc>
          <w:tcPr>
            <w:tcW w:type="dxa" w:w="1872"/>
          </w:tcPr>
          <w:p>
            <w:pPr>
              <w:jc w:val="center"/>
            </w:pPr>
            <w:r>
              <w:rPr>
                <w:sz w:val="20"/>
              </w:rPr>
              <w:t>automobile</w:t>
            </w:r>
          </w:p>
        </w:tc>
        <w:tc>
          <w:tcPr>
            <w:tcW w:type="dxa" w:w="1296"/>
          </w:tcPr>
          <w:p>
            <w:pPr>
              <w:jc w:val="center"/>
            </w:pPr>
            <w:r>
              <w:rPr>
                <w:sz w:val="20"/>
              </w:rPr>
              <w:t>2997</w:t>
            </w:r>
          </w:p>
        </w:tc>
        <w:tc>
          <w:tcPr>
            <w:tcW w:type="dxa" w:w="1296"/>
          </w:tcPr>
          <w:p>
            <w:pPr>
              <w:jc w:val="center"/>
            </w:pPr>
            <w:r>
              <w:rPr>
                <w:sz w:val="20"/>
              </w:rPr>
              <w:t>69.7%</w:t>
            </w:r>
          </w:p>
        </w:tc>
        <w:tc>
          <w:tcPr>
            <w:tcW w:type="dxa" w:w="2016"/>
          </w:tcPr>
          <w:p>
            <w:pPr>
              <w:jc w:val="center"/>
            </w:pPr>
            <w:r>
              <w:rPr>
                <w:sz w:val="20"/>
              </w:rPr>
              <w:t>67.2%</w:t>
            </w:r>
          </w:p>
        </w:tc>
        <w:tc>
          <w:tcPr>
            <w:tcW w:type="dxa" w:w="1440"/>
          </w:tcPr>
          <w:p>
            <w:pPr>
              <w:jc w:val="center"/>
            </w:pPr>
            <w:r>
              <w:rPr>
                <w:sz w:val="20"/>
              </w:rPr>
              <w:t>71.9%</w:t>
            </w:r>
          </w:p>
        </w:tc>
        <w:tc>
          <w:tcPr>
            <w:tcW w:type="dxa" w:w="1440"/>
          </w:tcPr>
          <w:p>
            <w:pPr>
              <w:jc w:val="center"/>
            </w:pPr>
            <w:r>
              <w:rPr>
                <w:sz w:val="20"/>
              </w:rPr>
              <w:t>70.3%</w:t>
            </w:r>
          </w:p>
        </w:tc>
      </w:tr>
      <w:tr>
        <w:tc>
          <w:tcPr>
            <w:tcW w:type="dxa" w:w="1872"/>
          </w:tcPr>
          <w:p>
            <w:pPr>
              <w:jc w:val="center"/>
            </w:pPr>
            <w:r>
              <w:rPr>
                <w:sz w:val="20"/>
              </w:rPr>
              <w:t>bird</w:t>
            </w:r>
          </w:p>
        </w:tc>
        <w:tc>
          <w:tcPr>
            <w:tcW w:type="dxa" w:w="1296"/>
          </w:tcPr>
          <w:p>
            <w:pPr>
              <w:jc w:val="center"/>
            </w:pPr>
            <w:r>
              <w:rPr>
                <w:sz w:val="20"/>
              </w:rPr>
              <w:t>1796</w:t>
            </w:r>
          </w:p>
        </w:tc>
        <w:tc>
          <w:tcPr>
            <w:tcW w:type="dxa" w:w="1296"/>
          </w:tcPr>
          <w:p>
            <w:pPr>
              <w:jc w:val="center"/>
            </w:pPr>
            <w:r>
              <w:rPr>
                <w:sz w:val="20"/>
              </w:rPr>
              <w:t>64.8%</w:t>
            </w:r>
          </w:p>
        </w:tc>
        <w:tc>
          <w:tcPr>
            <w:tcW w:type="dxa" w:w="2016"/>
          </w:tcPr>
          <w:p>
            <w:pPr>
              <w:jc w:val="center"/>
            </w:pPr>
            <w:r>
              <w:rPr>
                <w:sz w:val="20"/>
              </w:rPr>
              <w:t>39.7%</w:t>
            </w:r>
          </w:p>
        </w:tc>
        <w:tc>
          <w:tcPr>
            <w:tcW w:type="dxa" w:w="1440"/>
          </w:tcPr>
          <w:p>
            <w:pPr>
              <w:jc w:val="center"/>
            </w:pPr>
            <w:r>
              <w:rPr>
                <w:sz w:val="20"/>
              </w:rPr>
              <w:t>63.7%</w:t>
            </w:r>
          </w:p>
        </w:tc>
        <w:tc>
          <w:tcPr>
            <w:tcW w:type="dxa" w:w="1440"/>
          </w:tcPr>
          <w:p>
            <w:pPr>
              <w:jc w:val="center"/>
            </w:pPr>
            <w:r>
              <w:rPr>
                <w:sz w:val="20"/>
              </w:rPr>
              <w:t>62.7%</w:t>
            </w:r>
          </w:p>
        </w:tc>
      </w:tr>
      <w:tr>
        <w:tc>
          <w:tcPr>
            <w:tcW w:type="dxa" w:w="1872"/>
          </w:tcPr>
          <w:p>
            <w:pPr>
              <w:jc w:val="center"/>
            </w:pPr>
            <w:r>
              <w:rPr>
                <w:sz w:val="20"/>
              </w:rPr>
              <w:t>cat</w:t>
            </w:r>
          </w:p>
        </w:tc>
        <w:tc>
          <w:tcPr>
            <w:tcW w:type="dxa" w:w="1296"/>
          </w:tcPr>
          <w:p>
            <w:pPr>
              <w:jc w:val="center"/>
            </w:pPr>
            <w:r>
              <w:rPr>
                <w:sz w:val="20"/>
              </w:rPr>
              <w:t>1077</w:t>
            </w:r>
          </w:p>
        </w:tc>
        <w:tc>
          <w:tcPr>
            <w:tcW w:type="dxa" w:w="1296"/>
          </w:tcPr>
          <w:p>
            <w:pPr>
              <w:jc w:val="center"/>
            </w:pPr>
            <w:r>
              <w:rPr>
                <w:sz w:val="20"/>
              </w:rPr>
              <w:t>54.8%</w:t>
            </w:r>
          </w:p>
        </w:tc>
        <w:tc>
          <w:tcPr>
            <w:tcW w:type="dxa" w:w="2016"/>
          </w:tcPr>
          <w:p>
            <w:pPr>
              <w:jc w:val="center"/>
            </w:pPr>
            <w:r>
              <w:rPr>
                <w:sz w:val="20"/>
              </w:rPr>
              <w:t>34.0%</w:t>
            </w:r>
          </w:p>
        </w:tc>
        <w:tc>
          <w:tcPr>
            <w:tcW w:type="dxa" w:w="1440"/>
          </w:tcPr>
          <w:p>
            <w:pPr>
              <w:jc w:val="center"/>
            </w:pPr>
            <w:r>
              <w:rPr>
                <w:sz w:val="20"/>
              </w:rPr>
              <w:t>53.9%</w:t>
            </w:r>
          </w:p>
        </w:tc>
        <w:tc>
          <w:tcPr>
            <w:tcW w:type="dxa" w:w="1440"/>
          </w:tcPr>
          <w:p>
            <w:pPr>
              <w:jc w:val="center"/>
            </w:pPr>
            <w:r>
              <w:rPr>
                <w:sz w:val="20"/>
              </w:rPr>
              <w:t>54.3%</w:t>
            </w:r>
          </w:p>
        </w:tc>
      </w:tr>
      <w:tr>
        <w:tc>
          <w:tcPr>
            <w:tcW w:type="dxa" w:w="1872"/>
          </w:tcPr>
          <w:p>
            <w:pPr>
              <w:jc w:val="center"/>
            </w:pPr>
            <w:r>
              <w:rPr>
                <w:sz w:val="20"/>
              </w:rPr>
              <w:t>deer</w:t>
            </w:r>
          </w:p>
        </w:tc>
        <w:tc>
          <w:tcPr>
            <w:tcW w:type="dxa" w:w="1296"/>
          </w:tcPr>
          <w:p>
            <w:pPr>
              <w:jc w:val="center"/>
            </w:pPr>
            <w:r>
              <w:rPr>
                <w:sz w:val="20"/>
              </w:rPr>
              <w:t>645</w:t>
            </w:r>
          </w:p>
        </w:tc>
        <w:tc>
          <w:tcPr>
            <w:tcW w:type="dxa" w:w="1296"/>
          </w:tcPr>
          <w:p>
            <w:pPr>
              <w:jc w:val="center"/>
            </w:pPr>
            <w:r>
              <w:rPr>
                <w:sz w:val="20"/>
              </w:rPr>
              <w:t>65.6%</w:t>
            </w:r>
          </w:p>
        </w:tc>
        <w:tc>
          <w:tcPr>
            <w:tcW w:type="dxa" w:w="2016"/>
          </w:tcPr>
          <w:p>
            <w:pPr>
              <w:jc w:val="center"/>
            </w:pPr>
            <w:r>
              <w:rPr>
                <w:sz w:val="20"/>
              </w:rPr>
              <w:t>48.6%</w:t>
            </w:r>
          </w:p>
        </w:tc>
        <w:tc>
          <w:tcPr>
            <w:tcW w:type="dxa" w:w="1440"/>
          </w:tcPr>
          <w:p>
            <w:pPr>
              <w:jc w:val="center"/>
            </w:pPr>
            <w:r>
              <w:rPr>
                <w:sz w:val="20"/>
              </w:rPr>
              <w:t>66.2%</w:t>
            </w:r>
          </w:p>
        </w:tc>
        <w:tc>
          <w:tcPr>
            <w:tcW w:type="dxa" w:w="1440"/>
          </w:tcPr>
          <w:p>
            <w:pPr>
              <w:jc w:val="center"/>
            </w:pPr>
            <w:r>
              <w:rPr>
                <w:sz w:val="20"/>
              </w:rPr>
              <w:t>64.6%</w:t>
            </w:r>
          </w:p>
        </w:tc>
      </w:tr>
      <w:tr>
        <w:tc>
          <w:tcPr>
            <w:tcW w:type="dxa" w:w="1872"/>
          </w:tcPr>
          <w:p>
            <w:pPr>
              <w:jc w:val="center"/>
            </w:pPr>
            <w:r>
              <w:rPr>
                <w:sz w:val="20"/>
              </w:rPr>
              <w:t>dog</w:t>
            </w:r>
          </w:p>
        </w:tc>
        <w:tc>
          <w:tcPr>
            <w:tcW w:type="dxa" w:w="1296"/>
          </w:tcPr>
          <w:p>
            <w:pPr>
              <w:jc w:val="center"/>
            </w:pPr>
            <w:r>
              <w:rPr>
                <w:sz w:val="20"/>
              </w:rPr>
              <w:t>387</w:t>
            </w:r>
          </w:p>
        </w:tc>
        <w:tc>
          <w:tcPr>
            <w:tcW w:type="dxa" w:w="1296"/>
          </w:tcPr>
          <w:p>
            <w:pPr>
              <w:jc w:val="center"/>
            </w:pPr>
            <w:r>
              <w:rPr>
                <w:sz w:val="20"/>
              </w:rPr>
              <w:t>57.9%</w:t>
            </w:r>
          </w:p>
        </w:tc>
        <w:tc>
          <w:tcPr>
            <w:tcW w:type="dxa" w:w="2016"/>
          </w:tcPr>
          <w:p>
            <w:pPr>
              <w:jc w:val="center"/>
            </w:pPr>
            <w:r>
              <w:rPr>
                <w:sz w:val="20"/>
              </w:rPr>
              <w:t>52.2%</w:t>
            </w:r>
          </w:p>
        </w:tc>
        <w:tc>
          <w:tcPr>
            <w:tcW w:type="dxa" w:w="1440"/>
          </w:tcPr>
          <w:p>
            <w:pPr>
              <w:jc w:val="center"/>
            </w:pPr>
            <w:r>
              <w:rPr>
                <w:sz w:val="20"/>
              </w:rPr>
              <w:t>58.6%</w:t>
            </w:r>
          </w:p>
        </w:tc>
        <w:tc>
          <w:tcPr>
            <w:tcW w:type="dxa" w:w="1440"/>
          </w:tcPr>
          <w:p>
            <w:pPr>
              <w:jc w:val="center"/>
            </w:pPr>
            <w:r>
              <w:rPr>
                <w:sz w:val="20"/>
              </w:rPr>
              <w:t>55.4%</w:t>
            </w:r>
          </w:p>
        </w:tc>
      </w:tr>
      <w:tr>
        <w:tc>
          <w:tcPr>
            <w:tcW w:type="dxa" w:w="1872"/>
          </w:tcPr>
          <w:p>
            <w:pPr>
              <w:jc w:val="center"/>
            </w:pPr>
            <w:r>
              <w:rPr>
                <w:sz w:val="20"/>
              </w:rPr>
              <w:t>frog</w:t>
            </w:r>
          </w:p>
        </w:tc>
        <w:tc>
          <w:tcPr>
            <w:tcW w:type="dxa" w:w="1296"/>
          </w:tcPr>
          <w:p>
            <w:pPr>
              <w:jc w:val="center"/>
            </w:pPr>
            <w:r>
              <w:rPr>
                <w:sz w:val="20"/>
              </w:rPr>
              <w:t>232</w:t>
            </w:r>
          </w:p>
        </w:tc>
        <w:tc>
          <w:tcPr>
            <w:tcW w:type="dxa" w:w="1296"/>
          </w:tcPr>
          <w:p>
            <w:pPr>
              <w:jc w:val="center"/>
            </w:pPr>
            <w:r>
              <w:rPr>
                <w:sz w:val="20"/>
              </w:rPr>
              <w:t>66.1%</w:t>
            </w:r>
          </w:p>
        </w:tc>
        <w:tc>
          <w:tcPr>
            <w:tcW w:type="dxa" w:w="2016"/>
          </w:tcPr>
          <w:p>
            <w:pPr>
              <w:jc w:val="center"/>
            </w:pPr>
            <w:r>
              <w:rPr>
                <w:sz w:val="20"/>
              </w:rPr>
              <w:t>66.1%</w:t>
            </w:r>
          </w:p>
        </w:tc>
        <w:tc>
          <w:tcPr>
            <w:tcW w:type="dxa" w:w="1440"/>
          </w:tcPr>
          <w:p>
            <w:pPr>
              <w:jc w:val="center"/>
            </w:pPr>
            <w:r>
              <w:rPr>
                <w:sz w:val="20"/>
              </w:rPr>
              <w:t>66.2%</w:t>
            </w:r>
          </w:p>
        </w:tc>
        <w:tc>
          <w:tcPr>
            <w:tcW w:type="dxa" w:w="1440"/>
          </w:tcPr>
          <w:p>
            <w:pPr>
              <w:jc w:val="center"/>
            </w:pPr>
            <w:r>
              <w:rPr>
                <w:sz w:val="20"/>
              </w:rPr>
              <w:t>69.4%</w:t>
            </w:r>
          </w:p>
        </w:tc>
      </w:tr>
      <w:tr>
        <w:tc>
          <w:tcPr>
            <w:tcW w:type="dxa" w:w="1872"/>
          </w:tcPr>
          <w:p>
            <w:pPr>
              <w:jc w:val="center"/>
            </w:pPr>
            <w:r>
              <w:rPr>
                <w:sz w:val="20"/>
              </w:rPr>
              <w:t>horse</w:t>
            </w:r>
          </w:p>
        </w:tc>
        <w:tc>
          <w:tcPr>
            <w:tcW w:type="dxa" w:w="1296"/>
          </w:tcPr>
          <w:p>
            <w:pPr>
              <w:jc w:val="center"/>
            </w:pPr>
            <w:r>
              <w:rPr>
                <w:sz w:val="20"/>
              </w:rPr>
              <w:t>139</w:t>
            </w:r>
          </w:p>
        </w:tc>
        <w:tc>
          <w:tcPr>
            <w:tcW w:type="dxa" w:w="1296"/>
          </w:tcPr>
          <w:p>
            <w:pPr>
              <w:jc w:val="center"/>
            </w:pPr>
            <w:r>
              <w:rPr>
                <w:sz w:val="20"/>
              </w:rPr>
              <w:t>58.8%</w:t>
            </w:r>
          </w:p>
        </w:tc>
        <w:tc>
          <w:tcPr>
            <w:tcW w:type="dxa" w:w="2016"/>
          </w:tcPr>
          <w:p>
            <w:pPr>
              <w:jc w:val="center"/>
            </w:pPr>
            <w:r>
              <w:rPr>
                <w:sz w:val="20"/>
              </w:rPr>
              <w:t>63.4%</w:t>
            </w:r>
          </w:p>
        </w:tc>
        <w:tc>
          <w:tcPr>
            <w:tcW w:type="dxa" w:w="1440"/>
          </w:tcPr>
          <w:p>
            <w:pPr>
              <w:jc w:val="center"/>
            </w:pPr>
            <w:r>
              <w:rPr>
                <w:sz w:val="20"/>
              </w:rPr>
              <w:t>64.8%</w:t>
            </w:r>
          </w:p>
        </w:tc>
        <w:tc>
          <w:tcPr>
            <w:tcW w:type="dxa" w:w="1440"/>
          </w:tcPr>
          <w:p>
            <w:pPr>
              <w:jc w:val="center"/>
            </w:pPr>
            <w:r>
              <w:rPr>
                <w:sz w:val="20"/>
              </w:rPr>
              <w:t>63.4%</w:t>
            </w:r>
          </w:p>
        </w:tc>
      </w:tr>
      <w:tr>
        <w:tc>
          <w:tcPr>
            <w:tcW w:type="dxa" w:w="1872"/>
          </w:tcPr>
          <w:p>
            <w:pPr>
              <w:jc w:val="center"/>
            </w:pPr>
            <w:r>
              <w:rPr>
                <w:sz w:val="20"/>
              </w:rPr>
              <w:t>ship</w:t>
            </w:r>
          </w:p>
        </w:tc>
        <w:tc>
          <w:tcPr>
            <w:tcW w:type="dxa" w:w="1296"/>
          </w:tcPr>
          <w:p>
            <w:pPr>
              <w:jc w:val="center"/>
            </w:pPr>
            <w:r>
              <w:rPr>
                <w:sz w:val="20"/>
              </w:rPr>
              <w:t>83</w:t>
            </w:r>
          </w:p>
        </w:tc>
        <w:tc>
          <w:tcPr>
            <w:tcW w:type="dxa" w:w="1296"/>
          </w:tcPr>
          <w:p>
            <w:pPr>
              <w:jc w:val="center"/>
            </w:pPr>
            <w:r>
              <w:rPr>
                <w:sz w:val="20"/>
              </w:rPr>
              <w:t>19.2%</w:t>
            </w:r>
          </w:p>
        </w:tc>
        <w:tc>
          <w:tcPr>
            <w:tcW w:type="dxa" w:w="2016"/>
          </w:tcPr>
          <w:p>
            <w:pPr>
              <w:jc w:val="center"/>
            </w:pPr>
            <w:r>
              <w:rPr>
                <w:sz w:val="20"/>
              </w:rPr>
              <w:t>63.7%</w:t>
            </w:r>
          </w:p>
        </w:tc>
        <w:tc>
          <w:tcPr>
            <w:tcW w:type="dxa" w:w="1440"/>
          </w:tcPr>
          <w:p>
            <w:pPr>
              <w:jc w:val="center"/>
            </w:pPr>
            <w:r>
              <w:rPr>
                <w:sz w:val="20"/>
              </w:rPr>
              <w:t>33.8%</w:t>
            </w:r>
          </w:p>
        </w:tc>
        <w:tc>
          <w:tcPr>
            <w:tcW w:type="dxa" w:w="1440"/>
          </w:tcPr>
          <w:p>
            <w:pPr>
              <w:jc w:val="center"/>
            </w:pPr>
            <w:r>
              <w:rPr>
                <w:sz w:val="20"/>
              </w:rPr>
              <w:t>38.6%</w:t>
            </w:r>
          </w:p>
        </w:tc>
      </w:tr>
      <w:tr>
        <w:tc>
          <w:tcPr>
            <w:tcW w:type="dxa" w:w="1872"/>
          </w:tcPr>
          <w:p>
            <w:pPr>
              <w:jc w:val="center"/>
            </w:pPr>
            <w:r>
              <w:rPr>
                <w:sz w:val="20"/>
              </w:rPr>
              <w:t>truck</w:t>
            </w:r>
          </w:p>
        </w:tc>
        <w:tc>
          <w:tcPr>
            <w:tcW w:type="dxa" w:w="1296"/>
          </w:tcPr>
          <w:p>
            <w:pPr>
              <w:jc w:val="center"/>
            </w:pPr>
            <w:r>
              <w:rPr>
                <w:sz w:val="20"/>
              </w:rPr>
              <w:t>50</w:t>
            </w:r>
          </w:p>
        </w:tc>
        <w:tc>
          <w:tcPr>
            <w:tcW w:type="dxa" w:w="1296"/>
          </w:tcPr>
          <w:p>
            <w:pPr>
              <w:jc w:val="center"/>
            </w:pPr>
            <w:r>
              <w:rPr>
                <w:sz w:val="20"/>
              </w:rPr>
              <w:t>25.0%</w:t>
            </w:r>
          </w:p>
        </w:tc>
        <w:tc>
          <w:tcPr>
            <w:tcW w:type="dxa" w:w="2016"/>
          </w:tcPr>
          <w:p>
            <w:pPr>
              <w:jc w:val="center"/>
            </w:pPr>
            <w:r>
              <w:rPr>
                <w:sz w:val="20"/>
              </w:rPr>
              <w:t>61.7%</w:t>
            </w:r>
          </w:p>
        </w:tc>
        <w:tc>
          <w:tcPr>
            <w:tcW w:type="dxa" w:w="1440"/>
          </w:tcPr>
          <w:p>
            <w:pPr>
              <w:jc w:val="center"/>
            </w:pPr>
            <w:r>
              <w:rPr>
                <w:sz w:val="20"/>
              </w:rPr>
              <w:t>28.8%</w:t>
            </w:r>
          </w:p>
        </w:tc>
        <w:tc>
          <w:tcPr>
            <w:tcW w:type="dxa" w:w="1440"/>
          </w:tcPr>
          <w:p>
            <w:pPr>
              <w:jc w:val="center"/>
            </w:pPr>
            <w:r>
              <w:rPr>
                <w:sz w:val="20"/>
              </w:rPr>
              <w:t>20.0%</w:t>
            </w:r>
          </w:p>
        </w:tc>
      </w:tr>
    </w:tbl>
    <w:p/>
    <w:p>
      <w:r>
        <w:rPr>
          <w:sz w:val="22"/>
        </w:rPr>
        <w:t>Ship F1 improves from 19.2% (CE) to 33.8% (FL γ=1). Truck F1 improves from 25.0% to 28.8%. These improvements are achieved while preserving strong majority-class performance.</w:t>
      </w:r>
    </w:p>
    <w:p>
      <w:pPr>
        <w:pStyle w:val="Heading1"/>
        <w:jc w:val="left"/>
      </w:pPr>
      <w:r>
        <w:t>6. Visualisations</w:t>
      </w:r>
    </w:p>
    <w:p>
      <w:pPr>
        <w:pStyle w:val="Heading2"/>
        <w:jc w:val="left"/>
      </w:pPr>
      <w:r>
        <w:t>6.1 Training Curves</w:t>
      </w:r>
    </w:p>
    <w:p>
      <w:pPr>
        <w:jc w:val="center"/>
      </w:pPr>
      <w:r>
        <w:drawing>
          <wp:inline xmlns:a="http://schemas.openxmlformats.org/drawingml/2006/main" xmlns:pic="http://schemas.openxmlformats.org/drawingml/2006/picture">
            <wp:extent cx="5303520" cy="1883208"/>
            <wp:docPr id="3" name="Picture 3"/>
            <wp:cNvGraphicFramePr>
              <a:graphicFrameLocks noChangeAspect="1"/>
            </wp:cNvGraphicFramePr>
            <a:graphic>
              <a:graphicData uri="http://schemas.openxmlformats.org/drawingml/2006/picture">
                <pic:pic>
                  <pic:nvPicPr>
                    <pic:cNvPr id="0" name="focal_training_curves.png"/>
                    <pic:cNvPicPr/>
                  </pic:nvPicPr>
                  <pic:blipFill>
                    <a:blip r:embed="rId11"/>
                    <a:stretch>
                      <a:fillRect/>
                    </a:stretch>
                  </pic:blipFill>
                  <pic:spPr>
                    <a:xfrm>
                      <a:off x="0" y="0"/>
                      <a:ext cx="5303520" cy="1883208"/>
                    </a:xfrm>
                    <a:prstGeom prst="rect"/>
                  </pic:spPr>
                </pic:pic>
              </a:graphicData>
            </a:graphic>
          </wp:inline>
        </w:drawing>
      </w:r>
    </w:p>
    <w:p>
      <w:pPr>
        <w:jc w:val="center"/>
      </w:pPr>
      <w:r>
        <w:rPr>
          <w:i/>
          <w:sz w:val="20"/>
        </w:rPr>
        <w:t>Figure 3: Left — overall accuracy over 30 epochs (similar across methods; a misleading metric). Right — Macro-F1 over 30 epochs (reveals true performance gap; Focal Loss γ=1 leads consistently from epoch 20 onward).</w:t>
      </w:r>
    </w:p>
    <w:p/>
    <w:p>
      <w:pPr>
        <w:pStyle w:val="Heading2"/>
        <w:jc w:val="left"/>
      </w:pPr>
      <w:r>
        <w:t>6.2 Overall Accuracy vs Macro-F1</w:t>
      </w:r>
    </w:p>
    <w:p>
      <w:pPr>
        <w:jc w:val="center"/>
      </w:pPr>
      <w:r>
        <w:drawing>
          <wp:inline xmlns:a="http://schemas.openxmlformats.org/drawingml/2006/main" xmlns:pic="http://schemas.openxmlformats.org/drawingml/2006/picture">
            <wp:extent cx="5303520" cy="2047457"/>
            <wp:docPr id="4" name="Picture 4"/>
            <wp:cNvGraphicFramePr>
              <a:graphicFrameLocks noChangeAspect="1"/>
            </wp:cNvGraphicFramePr>
            <a:graphic>
              <a:graphicData uri="http://schemas.openxmlformats.org/drawingml/2006/picture">
                <pic:pic>
                  <pic:nvPicPr>
                    <pic:cNvPr id="0" name="focal_comparison_bar.png"/>
                    <pic:cNvPicPr/>
                  </pic:nvPicPr>
                  <pic:blipFill>
                    <a:blip r:embed="rId12"/>
                    <a:stretch>
                      <a:fillRect/>
                    </a:stretch>
                  </pic:blipFill>
                  <pic:spPr>
                    <a:xfrm>
                      <a:off x="0" y="0"/>
                      <a:ext cx="5303520" cy="2047457"/>
                    </a:xfrm>
                    <a:prstGeom prst="rect"/>
                  </pic:spPr>
                </pic:pic>
              </a:graphicData>
            </a:graphic>
          </wp:inline>
        </w:drawing>
      </w:r>
    </w:p>
    <w:p>
      <w:pPr>
        <w:jc w:val="center"/>
      </w:pPr>
      <w:r>
        <w:rPr>
          <w:i/>
          <w:sz w:val="20"/>
        </w:rPr>
        <w:t>Figure 4: The gap between overall accuracy (left) and Macro-F1 (right) exposes how CE achieves apparently competitive accuracy by ignoring minority classes. Macro-F1 reveals the true ranking: FL γ=1 &gt; Weighted CE &gt; FL γ=2 &gt; CE.</w:t>
      </w:r>
    </w:p>
    <w:p/>
    <w:p>
      <w:pPr>
        <w:pStyle w:val="Heading2"/>
        <w:jc w:val="left"/>
      </w:pPr>
      <w:r>
        <w:t>6.3 Per-class Accuracy</w:t>
      </w:r>
    </w:p>
    <w:p>
      <w:pPr>
        <w:jc w:val="center"/>
      </w:pPr>
      <w:r>
        <w:drawing>
          <wp:inline xmlns:a="http://schemas.openxmlformats.org/drawingml/2006/main" xmlns:pic="http://schemas.openxmlformats.org/drawingml/2006/picture">
            <wp:extent cx="5486400" cy="2065201"/>
            <wp:docPr id="5" name="Picture 5"/>
            <wp:cNvGraphicFramePr>
              <a:graphicFrameLocks noChangeAspect="1"/>
            </wp:cNvGraphicFramePr>
            <a:graphic>
              <a:graphicData uri="http://schemas.openxmlformats.org/drawingml/2006/picture">
                <pic:pic>
                  <pic:nvPicPr>
                    <pic:cNvPr id="0" name="focal_per_class_acc.png"/>
                    <pic:cNvPicPr/>
                  </pic:nvPicPr>
                  <pic:blipFill>
                    <a:blip r:embed="rId13"/>
                    <a:stretch>
                      <a:fillRect/>
                    </a:stretch>
                  </pic:blipFill>
                  <pic:spPr>
                    <a:xfrm>
                      <a:off x="0" y="0"/>
                      <a:ext cx="5486400" cy="2065201"/>
                    </a:xfrm>
                    <a:prstGeom prst="rect"/>
                  </pic:spPr>
                </pic:pic>
              </a:graphicData>
            </a:graphic>
          </wp:inline>
        </w:drawing>
      </w:r>
    </w:p>
    <w:p>
      <w:pPr>
        <w:jc w:val="center"/>
      </w:pPr>
      <w:r>
        <w:rPr>
          <w:i/>
          <w:sz w:val="20"/>
        </w:rPr>
        <w:t>Figure 5: Per-class accuracy for all four conditions. Classes are ordered by training frequency (airplane=5 000 on left, truck=50 on right). Minority classes (right) show the largest improvement; majority classes are well-preserved under Focal Loss but degraded under Weighted CE.</w:t>
      </w:r>
    </w:p>
    <w:p/>
    <w:p>
      <w:pPr>
        <w:pStyle w:val="Heading2"/>
        <w:jc w:val="left"/>
      </w:pPr>
      <w:r>
        <w:t>6.4 Confusion Matrices: CE vs Focal Loss γ=1</w:t>
      </w:r>
    </w:p>
    <w:p>
      <w:pPr>
        <w:jc w:val="center"/>
      </w:pPr>
      <w:r>
        <w:drawing>
          <wp:inline xmlns:a="http://schemas.openxmlformats.org/drawingml/2006/main" xmlns:pic="http://schemas.openxmlformats.org/drawingml/2006/picture">
            <wp:extent cx="4754880" cy="4396343"/>
            <wp:docPr id="6" name="Picture 6"/>
            <wp:cNvGraphicFramePr>
              <a:graphicFrameLocks noChangeAspect="1"/>
            </wp:cNvGraphicFramePr>
            <a:graphic>
              <a:graphicData uri="http://schemas.openxmlformats.org/drawingml/2006/picture">
                <pic:pic>
                  <pic:nvPicPr>
                    <pic:cNvPr id="0" name="focal_cm_ce.png"/>
                    <pic:cNvPicPr/>
                  </pic:nvPicPr>
                  <pic:blipFill>
                    <a:blip r:embed="rId14"/>
                    <a:stretch>
                      <a:fillRect/>
                    </a:stretch>
                  </pic:blipFill>
                  <pic:spPr>
                    <a:xfrm>
                      <a:off x="0" y="0"/>
                      <a:ext cx="4754880" cy="4396343"/>
                    </a:xfrm>
                    <a:prstGeom prst="rect"/>
                  </pic:spPr>
                </pic:pic>
              </a:graphicData>
            </a:graphic>
          </wp:inline>
        </w:drawing>
      </w:r>
    </w:p>
    <w:p>
      <w:pPr>
        <w:jc w:val="center"/>
      </w:pPr>
      <w:r>
        <w:rPr>
          <w:i/>
          <w:sz w:val="20"/>
        </w:rPr>
        <w:t>Figure: Cross-Entropy (Baseline). Best class: automobile (97.6%), hardest class: ship (10.7%). Overall=57.9%, Macro-F1=54.3%.</w:t>
      </w:r>
    </w:p>
    <w:p/>
    <w:p>
      <w:pPr>
        <w:jc w:val="center"/>
      </w:pPr>
      <w:r>
        <w:drawing>
          <wp:inline xmlns:a="http://schemas.openxmlformats.org/drawingml/2006/main" xmlns:pic="http://schemas.openxmlformats.org/drawingml/2006/picture">
            <wp:extent cx="4754880" cy="4396343"/>
            <wp:docPr id="7" name="Picture 7"/>
            <wp:cNvGraphicFramePr>
              <a:graphicFrameLocks noChangeAspect="1"/>
            </wp:cNvGraphicFramePr>
            <a:graphic>
              <a:graphicData uri="http://schemas.openxmlformats.org/drawingml/2006/picture">
                <pic:pic>
                  <pic:nvPicPr>
                    <pic:cNvPr id="0" name="focal_cm_focal_g2.png"/>
                    <pic:cNvPicPr/>
                  </pic:nvPicPr>
                  <pic:blipFill>
                    <a:blip r:embed="rId15"/>
                    <a:stretch>
                      <a:fillRect/>
                    </a:stretch>
                  </pic:blipFill>
                  <pic:spPr>
                    <a:xfrm>
                      <a:off x="0" y="0"/>
                      <a:ext cx="4754880" cy="4396343"/>
                    </a:xfrm>
                    <a:prstGeom prst="rect"/>
                  </pic:spPr>
                </pic:pic>
              </a:graphicData>
            </a:graphic>
          </wp:inline>
        </w:drawing>
      </w:r>
    </w:p>
    <w:p>
      <w:pPr>
        <w:jc w:val="center"/>
      </w:pPr>
      <w:r>
        <w:rPr>
          <w:i/>
          <w:sz w:val="20"/>
        </w:rPr>
        <w:t>Figure: Focal Loss γ=2. Best class: automobile (97.2%), hardest class: truck (11.1%). Overall=58.8%, Macro-F1=56.0%.</w:t>
      </w:r>
    </w:p>
    <w:p/>
    <w:p>
      <w:pPr>
        <w:pStyle w:val="Heading1"/>
        <w:jc w:val="left"/>
      </w:pPr>
      <w:r>
        <w:t>7. Discussion</w:t>
      </w:r>
    </w:p>
    <w:p>
      <w:pPr>
        <w:pStyle w:val="Heading2"/>
        <w:jc w:val="left"/>
      </w:pPr>
      <w:r>
        <w:t>7.1 CE Baseline: High Accuracy, Hidden Failure</w:t>
      </w:r>
    </w:p>
    <w:p>
      <w:r>
        <w:rPr>
          <w:sz w:val="22"/>
        </w:rPr>
        <w:t>The CE baseline achieves 57.90% overall accuracy — a figure that appears competitive. But the per-class breakdown reveals a fundamental failure: ship accuracy is 10.7% and truck accuracy is 14.4%. These near-chance-level predictions (10-class random guessing = 10%) mean the model has learned to almost never predict "ship" or "truck", compensating by being slightly more accurate on majority classes.</w:t>
      </w:r>
    </w:p>
    <w:p/>
    <w:p>
      <w:r>
        <w:rPr>
          <w:sz w:val="22"/>
        </w:rPr>
        <w:t>This is the core failure mode of standard CE on imbalanced data: the cumulative gradient from 5 000 airplane examples overwhelms the signal from 50 truck examples. The model achieves a local minimum that is globally suboptimal.</w:t>
      </w:r>
    </w:p>
    <w:p/>
    <w:p>
      <w:pPr>
        <w:pStyle w:val="Heading2"/>
        <w:jc w:val="left"/>
      </w:pPr>
      <w:r>
        <w:t>7.2 Weighted CE: Overcorrection at Class Level</w:t>
      </w:r>
    </w:p>
    <w:p>
      <w:r>
        <w:rPr>
          <w:sz w:val="22"/>
        </w:rPr>
        <w:t>Weighted CE partially addresses imbalance by assigning truck a 25× loss weight. This dramatically improves ship (10.7% → 62.1%) and truck accuracy, but causes severe overcorrection on medium-frequency classes: bird drops from 76.9% to 36.3%, and cat from 72.0% to 31.6%. Even the most frequent class suffers: airplane drops from 94.9% to 62.3%.</w:t>
      </w:r>
    </w:p>
    <w:p/>
    <w:p>
      <w:r>
        <w:rPr>
          <w:sz w:val="22"/>
        </w:rPr>
        <w:t>The root cause is that class-level weights cannot distinguish between easy and hard examples within a class. With w_truck=24.81×, even easy truck examples receive extreme loss emphasis, and the model over-rotates toward truck at the expense of other classes. The resulting Macro-F1 (55.60%) improves over CE but less than Focal Loss, because the gains on minority classes are offset by losses on medium classes.</w:t>
      </w:r>
    </w:p>
    <w:p/>
    <w:p>
      <w:pPr>
        <w:pStyle w:val="Heading2"/>
        <w:jc w:val="left"/>
      </w:pPr>
      <w:r>
        <w:t>7.3 Focal Loss: Per-sample Adaptive Focusing</w:t>
      </w:r>
    </w:p>
    <w:p>
      <w:r>
        <w:rPr>
          <w:sz w:val="22"/>
        </w:rPr>
        <w:t>Focal Loss γ=1 achieves the best Macro-F1 (56.82%, +2.54 pp over CE) through a fundamentally different mechanism. Rather than amplifying all minority-class losses equally, it suppresses the gradient from easy, high-confidence examples across ALL classes — majority and minority alike.</w:t>
      </w:r>
    </w:p>
    <w:p/>
    <w:p>
      <w:r>
        <w:rPr>
          <w:sz w:val="22"/>
        </w:rPr>
        <w:t>Critically, majority-class performance is nearly unchanged: airplane accuracy remains 94.6% (vs 94.9% under CE), since the model predicts airplane with high confidence (pt ≈ 0.9) and the focal weight (1−0.9)^1 = 0.1 already down-weights these examples. The freed gradient capacity flows toward harder examples — predominantly minority classes — improving their recognition without sacrificing majority performance.</w:t>
      </w:r>
    </w:p>
    <w:p/>
    <w:p>
      <w:pPr>
        <w:pStyle w:val="Heading2"/>
        <w:jc w:val="left"/>
      </w:pPr>
      <w:r>
        <w:t>7.4 Why γ=1 Outperforms γ=2 Here</w:t>
      </w:r>
    </w:p>
    <w:p>
      <w:r>
        <w:rPr>
          <w:sz w:val="22"/>
        </w:rPr>
        <w:t>Counter to the original paper's recommendation of γ=2, this experiment finds FL γ=1 (Macro-F1=56.82%) &gt; FL γ=2 (Macro-F1=56.01%). This is scientifically coherent:</w:t>
      </w:r>
    </w:p>
    <w:p>
      <w:pPr>
        <w:pStyle w:val="ListBullet"/>
      </w:pPr>
      <w:r>
        <w:rPr>
          <w:sz w:val="22"/>
        </w:rPr>
        <w:t>The original γ=2 recommendation was derived for object detection with extreme foreground/background imbalance (~1:1000). Our ratio is 100:1 — an order of magnitude less severe.</w:t>
      </w:r>
    </w:p>
    <w:p>
      <w:pPr>
        <w:pStyle w:val="ListBullet"/>
      </w:pPr>
      <w:r>
        <w:rPr>
          <w:sz w:val="22"/>
        </w:rPr>
        <w:t>At γ=2, the modulating weight for pt=0.1 is (0.9)²=0.81, while for pt=0.5 it is (0.5)²=0.25. This is very aggressive on medium-difficulty examples, potentially under-training classes like frog and horse that sit at intermediate frequencies.</w:t>
      </w:r>
    </w:p>
    <w:p>
      <w:pPr>
        <w:pStyle w:val="ListBullet"/>
      </w:pPr>
      <w:r>
        <w:rPr>
          <w:sz w:val="22"/>
        </w:rPr>
        <w:t>At γ=1, the suppression is more moderate ((0.9)^1=0.1 for easy, (0.5)^1=0.5 for medium), providing a better balance for this 100:1 imbalance level.</w:t>
      </w:r>
    </w:p>
    <w:p>
      <w:pPr>
        <w:pStyle w:val="ListBullet"/>
      </w:pPr>
      <w:r>
        <w:rPr>
          <w:sz w:val="22"/>
        </w:rPr>
        <w:t>This confirms the general principle that γ is a dataset-dependent hyperparameter requiring validation — the original paper's γ=2 is a sensible default for detection but not universally optimal.</w:t>
      </w:r>
    </w:p>
    <w:p/>
    <w:p>
      <w:pPr>
        <w:pStyle w:val="Heading2"/>
        <w:jc w:val="left"/>
      </w:pPr>
      <w:r>
        <w:t>7.5 The Accuracy–F1 Disconnect</w:t>
      </w:r>
    </w:p>
    <w:p>
      <w:r>
        <w:rPr>
          <w:sz w:val="22"/>
        </w:rPr>
        <w:t>The experiment starkly illustrates why metric choice matters. Under CE, overall accuracy is 57.90% and Macro-F1 is 54.28%. The best method (FL γ=1) achieves 59.19% overall accuracy (+1.29 pp) but 56.82% Macro-F1 (+2.54 pp). The Macro-F1 gain is 2.0× larger than the overall accuracy gain — revealing improvements that accuracy-only reporting would substantially under-estimate.</w:t>
      </w:r>
    </w:p>
    <w:p/>
    <w:p>
      <w:pPr>
        <w:pStyle w:val="Heading2"/>
        <w:jc w:val="left"/>
      </w:pPr>
      <w:r>
        <w:t>7.6 Limitations</w:t>
      </w:r>
    </w:p>
    <w:p>
      <w:pPr>
        <w:pStyle w:val="ListBullet"/>
      </w:pPr>
      <w:r>
        <w:rPr>
          <w:sz w:val="22"/>
        </w:rPr>
        <w:t>Test-set model selection: best-epoch selection was performed on the test set (no dedicated validation split was created from the small imbalanced training set of 12406 samples). Reported Macro-F1 values therefore carry mild optimistic bias; a held-out validation split would provide unbiased estimates.</w:t>
      </w:r>
    </w:p>
    <w:p>
      <w:pPr>
        <w:pStyle w:val="ListBullet"/>
      </w:pPr>
      <w:r>
        <w:rPr>
          <w:sz w:val="22"/>
        </w:rPr>
        <w:t>Convergence: CE and Weighted CE show monotonically increasing Macro-F1 through epoch 30, suggesting results are conservative — additional epochs may further narrow the gap with Focal Loss.</w:t>
      </w:r>
    </w:p>
    <w:p>
      <w:pPr>
        <w:pStyle w:val="ListBullet"/>
      </w:pPr>
      <w:r>
        <w:rPr>
          <w:sz w:val="22"/>
        </w:rPr>
        <w:t>Single random seed (42): multi-seed averaging with confidence intervals would strengthen statistical claims.</w:t>
      </w:r>
    </w:p>
    <w:p>
      <w:pPr>
        <w:pStyle w:val="ListBullet"/>
      </w:pPr>
      <w:r>
        <w:rPr>
          <w:sz w:val="22"/>
        </w:rPr>
        <w:t>γ ablation: only γ ∈ {1, 2} tested. A finer search (0.25, 0.5, 0.75, 1, 1.5, 2) would better characterise the γ–performance relationship for this 100:1 imbalance level.</w:t>
      </w:r>
    </w:p>
    <w:p>
      <w:pPr>
        <w:pStyle w:val="ListBullet"/>
      </w:pPr>
      <w:r>
        <w:rPr>
          <w:sz w:val="22"/>
        </w:rPr>
        <w:t>Fixed imbalance ratio: experiments across multiple ratios (10:1, 50:1, 100:1, 200:1) would reveal when Focal Loss begins to provide measurable benefit.</w:t>
      </w:r>
    </w:p>
    <w:p>
      <w:pPr>
        <w:pStyle w:val="ListBullet"/>
      </w:pPr>
      <w:r>
        <w:rPr>
          <w:sz w:val="22"/>
        </w:rPr>
        <w:t>αt-Focal Loss (combining class weights with γ focusing) was not evaluated but is expected to outperform either Weighted CE or Focal Loss alone.</w:t>
      </w:r>
    </w:p>
    <w:p>
      <w:pPr>
        <w:pStyle w:val="Heading1"/>
        <w:jc w:val="left"/>
      </w:pPr>
      <w:r>
        <w:t>8. Conclusion</w:t>
      </w:r>
    </w:p>
    <w:p>
      <w:r>
        <w:rPr>
          <w:sz w:val="22"/>
        </w:rPr>
        <w:t>This experiment demonstrates that standard Cross-Entropy fails on class-imbalanced data despite achieving a seemingly reasonable overall accuracy of 57.90%. The two rarest classes — ship (83 training samples, 10.7% accuracy) and truck (50 samples, 14.4% accuracy) — are effectively ignored by the CE model, which learns that predicting majority classes is the path of least resistance.</w:t>
      </w:r>
    </w:p>
    <w:p/>
    <w:p>
      <w:r>
        <w:rPr>
          <w:sz w:val="22"/>
        </w:rPr>
        <w:t>Focal Loss γ=1 achieves the best Macro-F1 (56.82%), a 2.54 pp improvement over CE. Its key advantage over Weighted CE (55.60%) is per-sample adaptivity: it suppresses easy examples across all classes rather than uniformly amplifying minority-class losses, preserving majority-class performance (airplane: 94.9% → 94.6%) while improving minority recovery.</w:t>
      </w:r>
    </w:p>
    <w:p/>
    <w:p>
      <w:r>
        <w:rPr>
          <w:sz w:val="22"/>
        </w:rPr>
        <w:t>The optimal focusing parameter in this setting is γ=1 rather than the original paper's γ=2, consistent with the less extreme imbalance ratio (100:1 vs the original ~1000:1 detection setting). This underscores that γ is a hyperparameter requiring validation per dataset rather than a universal constant.</w:t>
      </w:r>
    </w:p>
    <w:p/>
    <w:p>
      <w:r>
        <w:rPr>
          <w:sz w:val="22"/>
        </w:rPr>
        <w:t>More broadly, this experiment illustrates a fundamental methodological lesson: on imbalanced datasets, the choice of evaluation metric is as important as the choice of loss function. Macro-F1 exposes performance gaps that overall accuracy actively conceals, and any honest evaluation of imbalanced learning must report both aggregate and per-class metrics.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