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Transfer Learning with ResNet-18</w:t>
      </w:r>
    </w:p>
    <w:p>
      <w:pPr>
        <w:jc w:val="center"/>
      </w:pPr>
      <w:r>
        <w:rPr>
          <w:sz w:val="24"/>
        </w:rPr>
        <w:t>Practical Session 2 — Advanced Deep Learning Strategies</w:t>
        <w:br/>
        <w:t>USTH Deep Learning 2026  |  Duong Tan Binh — 2540007</w:t>
      </w:r>
    </w:p>
    <w:p/>
    <w:p>
      <w:pPr>
        <w:pStyle w:val="Heading1"/>
        <w:jc w:val="left"/>
      </w:pPr>
      <w:r>
        <w:t>1. Introduction</w:t>
      </w:r>
    </w:p>
    <w:p>
      <w:r>
        <w:rPr>
          <w:sz w:val="22"/>
        </w:rPr>
        <w:t>Transfer learning leverages knowledge acquired from a large source task to improve learning on a smaller target task. Rather than training a deep network from random initialisation, we start from weights pre-trained on ImageNet (1.28 M images, 1 000 classes) and adapt them to the target domain. The key intuition is that convolutional layers learn transferable visual features — edges, textures, and shapes — that generalise across natural image datasets.</w:t>
      </w:r>
    </w:p>
    <w:p/>
    <w:p>
      <w:r>
        <w:rPr>
          <w:sz w:val="22"/>
        </w:rPr>
        <w:t>This experiment compares three strategies on STL-10, a benchmark dataset with 5 000 labelled 96×96 colour images across 10 classes, deliberately chosen to represent the small-data regime where transfer learning is most beneficial:</w:t>
      </w:r>
    </w:p>
    <w:p/>
    <w:p>
      <w:pPr>
        <w:pStyle w:val="ListBullet"/>
      </w:pPr>
      <w:r>
        <w:rPr>
          <w:sz w:val="22"/>
        </w:rPr>
        <w:t>From Scratch — ResNet-18 with random initialisation trained entirely on STL-10.</w:t>
      </w:r>
    </w:p>
    <w:p>
      <w:pPr>
        <w:pStyle w:val="ListBullet"/>
      </w:pPr>
      <w:r>
        <w:rPr>
          <w:sz w:val="22"/>
        </w:rPr>
        <w:t>Feature Extraction — ImageNet backbone frozen; only the 10-class FC head is trained.</w:t>
      </w:r>
    </w:p>
    <w:p>
      <w:pPr>
        <w:pStyle w:val="ListBullet"/>
      </w:pPr>
      <w:r>
        <w:rPr>
          <w:sz w:val="22"/>
        </w:rPr>
        <w:t>Fine-tuning — ImageNet backbone fully trained with differential learning rates (backbone LR = 1/10 × head LR) to avoid catastrophic forgetting.</w:t>
      </w:r>
    </w:p>
    <w:p>
      <w:pPr>
        <w:pStyle w:val="Heading1"/>
        <w:jc w:val="left"/>
      </w:pPr>
      <w:r>
        <w:t>2. Theoretical Background</w:t>
      </w:r>
    </w:p>
    <w:p>
      <w:pPr>
        <w:pStyle w:val="Heading2"/>
        <w:jc w:val="left"/>
      </w:pPr>
      <w:r>
        <w:t>2.1 Transfer Learning Strategy Selection</w:t>
      </w:r>
    </w:p>
    <w:p>
      <w:r>
        <w:rPr>
          <w:sz w:val="22"/>
        </w:rPr>
        <w:t>The choice of strategy depends on two dimensions: target dataset size and domain similarity to the source. The decision matrix from the course slides is:</w:t>
      </w:r>
    </w:p>
    <w:p/>
    <w:tbl>
      <w:tblPr>
        <w:tblStyle w:val="LightGrid-Accent1"/>
        <w:tblW w:type="auto" w:w="0"/>
        <w:jc w:val="center"/>
        <w:tblLook w:firstColumn="1" w:firstRow="1" w:lastColumn="0" w:lastRow="0" w:noHBand="0" w:noVBand="1" w:val="04A0"/>
      </w:tblPr>
      <w:tblGrid>
        <w:gridCol w:w="2928"/>
        <w:gridCol w:w="2928"/>
        <w:gridCol w:w="2928"/>
      </w:tblGrid>
      <w:tr>
        <w:tc>
          <w:tcPr>
            <w:tcW w:type="dxa" w:w="2304"/>
          </w:tcPr>
          <w:p>
            <w:pPr>
              <w:jc w:val="center"/>
            </w:pPr>
            <w:r>
              <w:rPr>
                <w:b/>
                <w:sz w:val="20"/>
              </w:rPr>
            </w:r>
          </w:p>
        </w:tc>
        <w:tc>
          <w:tcPr>
            <w:tcW w:type="dxa" w:w="3888"/>
          </w:tcPr>
          <w:p>
            <w:pPr>
              <w:jc w:val="center"/>
            </w:pPr>
            <w:r>
              <w:rPr>
                <w:b/>
                <w:sz w:val="20"/>
              </w:rPr>
              <w:t>Similar domain</w:t>
            </w:r>
          </w:p>
        </w:tc>
        <w:tc>
          <w:tcPr>
            <w:tcW w:type="dxa" w:w="3888"/>
          </w:tcPr>
          <w:p>
            <w:pPr>
              <w:jc w:val="center"/>
            </w:pPr>
            <w:r>
              <w:rPr>
                <w:b/>
                <w:sz w:val="20"/>
              </w:rPr>
              <w:t>Different domain</w:t>
            </w:r>
          </w:p>
        </w:tc>
      </w:tr>
      <w:tr>
        <w:tc>
          <w:tcPr>
            <w:tcW w:type="dxa" w:w="2304"/>
          </w:tcPr>
          <w:p/>
        </w:tc>
        <w:tc>
          <w:tcPr>
            <w:tcW w:type="dxa" w:w="3888"/>
          </w:tcPr>
          <w:p/>
        </w:tc>
        <w:tc>
          <w:tcPr>
            <w:tcW w:type="dxa" w:w="3888"/>
          </w:tcPr>
          <w:p/>
        </w:tc>
      </w:tr>
      <w:tr>
        <w:tc>
          <w:tcPr>
            <w:tcW w:type="dxa" w:w="2304"/>
          </w:tcPr>
          <w:p/>
        </w:tc>
        <w:tc>
          <w:tcPr>
            <w:tcW w:type="dxa" w:w="3888"/>
          </w:tcPr>
          <w:p/>
        </w:tc>
        <w:tc>
          <w:tcPr>
            <w:tcW w:type="dxa" w:w="3888"/>
          </w:tcPr>
          <w:p/>
        </w:tc>
      </w:tr>
      <w:tr>
        <w:tc>
          <w:tcPr>
            <w:tcW w:type="dxa" w:w="2304"/>
          </w:tcPr>
          <w:p>
            <w:pPr>
              <w:jc w:val="center"/>
            </w:pPr>
            <w:r>
              <w:rPr>
                <w:sz w:val="20"/>
              </w:rPr>
              <w:t>Small dataset</w:t>
            </w:r>
          </w:p>
        </w:tc>
        <w:tc>
          <w:tcPr>
            <w:tcW w:type="dxa" w:w="3888"/>
          </w:tcPr>
          <w:p>
            <w:pPr>
              <w:jc w:val="center"/>
            </w:pPr>
            <w:r>
              <w:rPr>
                <w:sz w:val="20"/>
              </w:rPr>
              <w:t>Feature Extraction  ← this experiment</w:t>
            </w:r>
          </w:p>
        </w:tc>
        <w:tc>
          <w:tcPr>
            <w:tcW w:type="dxa" w:w="3888"/>
          </w:tcPr>
          <w:p>
            <w:pPr>
              <w:jc w:val="center"/>
            </w:pPr>
            <w:r>
              <w:rPr>
                <w:sz w:val="20"/>
              </w:rPr>
              <w:t>Fine-tune carefully</w:t>
            </w:r>
          </w:p>
        </w:tc>
      </w:tr>
      <w:tr>
        <w:tc>
          <w:tcPr>
            <w:tcW w:type="dxa" w:w="2304"/>
          </w:tcPr>
          <w:p>
            <w:pPr>
              <w:jc w:val="center"/>
            </w:pPr>
            <w:r>
              <w:rPr>
                <w:sz w:val="20"/>
              </w:rPr>
              <w:t>Large dataset</w:t>
            </w:r>
          </w:p>
        </w:tc>
        <w:tc>
          <w:tcPr>
            <w:tcW w:type="dxa" w:w="3888"/>
          </w:tcPr>
          <w:p>
            <w:pPr>
              <w:jc w:val="center"/>
            </w:pPr>
            <w:r>
              <w:rPr>
                <w:sz w:val="20"/>
              </w:rPr>
              <w:t>Fine-tune all layers</w:t>
            </w:r>
          </w:p>
        </w:tc>
        <w:tc>
          <w:tcPr>
            <w:tcW w:type="dxa" w:w="3888"/>
          </w:tcPr>
          <w:p>
            <w:pPr>
              <w:jc w:val="center"/>
            </w:pPr>
            <w:r>
              <w:rPr>
                <w:sz w:val="20"/>
              </w:rPr>
              <w:t>Train from scratch</w:t>
            </w:r>
          </w:p>
        </w:tc>
      </w:tr>
    </w:tbl>
    <w:p/>
    <w:p>
      <w:r>
        <w:rPr>
          <w:sz w:val="22"/>
        </w:rPr>
        <w:t>STL-10 (5 000 samples, natural images) sits in the small + similar quadrant, making Feature Extraction the theoretically recommended strategy. Fine-tuning is included as a comparison to quantify the benefit of full adaptation.</w:t>
      </w:r>
    </w:p>
    <w:p/>
    <w:p>
      <w:pPr>
        <w:jc w:val="center"/>
      </w:pPr>
      <w:r>
        <w:drawing>
          <wp:inline xmlns:a="http://schemas.openxmlformats.org/drawingml/2006/main" xmlns:pic="http://schemas.openxmlformats.org/drawingml/2006/picture">
            <wp:extent cx="4114800" cy="2898250"/>
            <wp:docPr id="1" name="Picture 1"/>
            <wp:cNvGraphicFramePr>
              <a:graphicFrameLocks noChangeAspect="1"/>
            </wp:cNvGraphicFramePr>
            <a:graphic>
              <a:graphicData uri="http://schemas.openxmlformats.org/drawingml/2006/picture">
                <pic:pic>
                  <pic:nvPicPr>
                    <pic:cNvPr id="0" name="tl_quadrant.png"/>
                    <pic:cNvPicPr/>
                  </pic:nvPicPr>
                  <pic:blipFill>
                    <a:blip r:embed="rId9"/>
                    <a:stretch>
                      <a:fillRect/>
                    </a:stretch>
                  </pic:blipFill>
                  <pic:spPr>
                    <a:xfrm>
                      <a:off x="0" y="0"/>
                      <a:ext cx="4114800" cy="2898250"/>
                    </a:xfrm>
                    <a:prstGeom prst="rect"/>
                  </pic:spPr>
                </pic:pic>
              </a:graphicData>
            </a:graphic>
          </wp:inline>
        </w:drawing>
      </w:r>
    </w:p>
    <w:p>
      <w:pPr>
        <w:jc w:val="center"/>
      </w:pPr>
      <w:r>
        <w:rPr>
          <w:i/>
          <w:sz w:val="20"/>
        </w:rPr>
        <w:t>Figure 1: Transfer learning strategy selection quadrant. Our experiment (★) lies in the small + similar region.</w:t>
      </w:r>
    </w:p>
    <w:p/>
    <w:p>
      <w:pPr>
        <w:pStyle w:val="Heading2"/>
        <w:jc w:val="left"/>
      </w:pPr>
      <w:r>
        <w:t>2.2 Feature Extraction</w:t>
      </w:r>
    </w:p>
    <w:p>
      <w:r>
        <w:rPr>
          <w:sz w:val="22"/>
        </w:rPr>
        <w:t>The pretrained backbone φ: ℝ^(96×96×3) → ℝ^512 is used as a fixed feature extractor. Only the linear classifier is trained:</w:t>
      </w:r>
    </w:p>
    <w:p>
      <w:r>
        <w:rPr>
          <w:sz w:val="22"/>
        </w:rPr>
        <w:t xml:space="preserve">        ŷ = W · φ(x) + b,    W ∈ ℝ^(10×512),  b ∈ ℝ^10</w:t>
      </w:r>
    </w:p>
    <w:p>
      <w:r>
        <w:rPr>
          <w:sz w:val="22"/>
        </w:rPr>
        <w:t>This reduces trainable parameters from 11,181,642 to only 5,130 (0.05% of the full model), making training extremely fast and resistant to overfitting on small datasets.</w:t>
      </w:r>
    </w:p>
    <w:p/>
    <w:p>
      <w:pPr>
        <w:pStyle w:val="Heading2"/>
        <w:jc w:val="left"/>
      </w:pPr>
      <w:r>
        <w:t>2.3 Fine-tuning with Differential Learning Rates</w:t>
      </w:r>
    </w:p>
    <w:p>
      <w:r>
        <w:rPr>
          <w:sz w:val="22"/>
        </w:rPr>
        <w:t>All backbone parameters are made trainable, but with a 10× lower learning rate than the new head to preserve pretrained representations:</w:t>
      </w:r>
    </w:p>
    <w:p>
      <w:r>
        <w:rPr>
          <w:sz w:val="22"/>
        </w:rPr>
        <w:t xml:space="preserve">        θ_backbone ← θ_backbone − α_b · ∇L    [α_b = 1×10⁻³]</w:t>
        <w:br/>
        <w:t xml:space="preserve">        θ_head     ← θ_head     − α_h · ∇L    [α_h = 1×10⁻²]</w:t>
      </w:r>
    </w:p>
    <w:p>
      <w:r>
        <w:rPr>
          <w:sz w:val="22"/>
        </w:rPr>
        <w:t>Setting α_b ≪ α_h prevents catastrophic forgetting: the backbone shifts gently while the new head adapts rapidly to the 10-class target task. Both use cosine annealing to decay smoothly to near-zero by epoch 30.</w:t>
      </w:r>
    </w:p>
    <w:p/>
    <w:p>
      <w:pPr>
        <w:pStyle w:val="Heading2"/>
        <w:jc w:val="left"/>
      </w:pPr>
      <w:r>
        <w:t>2.4 Why STL-10 at 96×96?</w:t>
      </w:r>
    </w:p>
    <w:p>
      <w:r>
        <w:rPr>
          <w:sz w:val="22"/>
        </w:rPr>
        <w:t>Standard ResNet-18 uses a 7×7 stride-2 conv1 followed by 3×3 max-pool (total stride 4). With 32×32 CIFAR-10 images, the feature map after layer4 collapses to 1×1 — destroying spatial structure and making pretrained features uninformative. With 96×96 STL-10 images:</w:t>
      </w:r>
    </w:p>
    <w:tbl>
      <w:tblPr>
        <w:tblStyle w:val="LightGrid-Accent1"/>
        <w:tblW w:type="auto" w:w="0"/>
        <w:jc w:val="center"/>
        <w:tblLook w:firstColumn="1" w:firstRow="1" w:lastColumn="0" w:lastRow="0" w:noHBand="0" w:noVBand="1" w:val="04A0"/>
      </w:tblPr>
      <w:tblGrid>
        <w:gridCol w:w="4392"/>
        <w:gridCol w:w="4392"/>
      </w:tblGrid>
      <w:tr>
        <w:tc>
          <w:tcPr>
            <w:tcW w:type="dxa" w:w="4032"/>
          </w:tcPr>
          <w:p>
            <w:pPr>
              <w:jc w:val="center"/>
            </w:pPr>
            <w:r>
              <w:rPr>
                <w:b/>
                <w:sz w:val="20"/>
              </w:rPr>
              <w:t>Layer</w:t>
            </w:r>
          </w:p>
        </w:tc>
        <w:tc>
          <w:tcPr>
            <w:tcW w:type="dxa" w:w="4608"/>
          </w:tcPr>
          <w:p>
            <w:pPr>
              <w:jc w:val="center"/>
            </w:pPr>
            <w:r>
              <w:rPr>
                <w:b/>
                <w:sz w:val="20"/>
              </w:rPr>
              <w:t>Output size</w:t>
            </w:r>
          </w:p>
        </w:tc>
      </w:tr>
      <w:tr>
        <w:tc>
          <w:tcPr>
            <w:tcW w:type="dxa" w:w="4032"/>
          </w:tcPr>
          <w:p/>
        </w:tc>
        <w:tc>
          <w:tcPr>
            <w:tcW w:type="dxa" w:w="4608"/>
          </w:tcPr>
          <w:p/>
        </w:tc>
      </w:tr>
      <w:tr>
        <w:tc>
          <w:tcPr>
            <w:tcW w:type="dxa" w:w="4032"/>
          </w:tcPr>
          <w:p/>
        </w:tc>
        <w:tc>
          <w:tcPr>
            <w:tcW w:type="dxa" w:w="4608"/>
          </w:tcPr>
          <w:p/>
        </w:tc>
      </w:tr>
      <w:tr>
        <w:tc>
          <w:tcPr>
            <w:tcW w:type="dxa" w:w="4032"/>
          </w:tcPr>
          <w:p/>
        </w:tc>
        <w:tc>
          <w:tcPr>
            <w:tcW w:type="dxa" w:w="4608"/>
          </w:tcPr>
          <w:p/>
        </w:tc>
      </w:tr>
      <w:tr>
        <w:tc>
          <w:tcPr>
            <w:tcW w:type="dxa" w:w="4032"/>
          </w:tcPr>
          <w:p/>
        </w:tc>
        <w:tc>
          <w:tcPr>
            <w:tcW w:type="dxa" w:w="4608"/>
          </w:tcPr>
          <w:p/>
        </w:tc>
      </w:tr>
      <w:tr>
        <w:tc>
          <w:tcPr>
            <w:tcW w:type="dxa" w:w="4032"/>
          </w:tcPr>
          <w:p/>
        </w:tc>
        <w:tc>
          <w:tcPr>
            <w:tcW w:type="dxa" w:w="4608"/>
          </w:tcPr>
          <w:p/>
        </w:tc>
      </w:tr>
      <w:tr>
        <w:tc>
          <w:tcPr>
            <w:tcW w:type="dxa" w:w="4032"/>
          </w:tcPr>
          <w:p/>
        </w:tc>
        <w:tc>
          <w:tcPr>
            <w:tcW w:type="dxa" w:w="4608"/>
          </w:tcPr>
          <w:p/>
        </w:tc>
      </w:tr>
      <w:tr>
        <w:tc>
          <w:tcPr>
            <w:tcW w:type="dxa" w:w="4032"/>
          </w:tcPr>
          <w:p/>
        </w:tc>
        <w:tc>
          <w:tcPr>
            <w:tcW w:type="dxa" w:w="4608"/>
          </w:tcPr>
          <w:p/>
        </w:tc>
      </w:tr>
      <w:tr>
        <w:tc>
          <w:tcPr>
            <w:tcW w:type="dxa" w:w="4032"/>
          </w:tcPr>
          <w:p/>
        </w:tc>
        <w:tc>
          <w:tcPr>
            <w:tcW w:type="dxa" w:w="4608"/>
          </w:tcPr>
          <w:p/>
        </w:tc>
      </w:tr>
      <w:tr>
        <w:tc>
          <w:tcPr>
            <w:tcW w:type="dxa" w:w="4032"/>
          </w:tcPr>
          <w:p>
            <w:pPr>
              <w:jc w:val="center"/>
            </w:pPr>
            <w:r>
              <w:rPr>
                <w:sz w:val="20"/>
              </w:rPr>
              <w:t>Input</w:t>
            </w:r>
          </w:p>
        </w:tc>
        <w:tc>
          <w:tcPr>
            <w:tcW w:type="dxa" w:w="4608"/>
          </w:tcPr>
          <w:p>
            <w:pPr>
              <w:jc w:val="center"/>
            </w:pPr>
            <w:r>
              <w:rPr>
                <w:sz w:val="20"/>
              </w:rPr>
              <w:t>96×96</w:t>
            </w:r>
          </w:p>
        </w:tc>
      </w:tr>
      <w:tr>
        <w:tc>
          <w:tcPr>
            <w:tcW w:type="dxa" w:w="4032"/>
          </w:tcPr>
          <w:p>
            <w:pPr>
              <w:jc w:val="center"/>
            </w:pPr>
            <w:r>
              <w:rPr>
                <w:sz w:val="20"/>
              </w:rPr>
              <w:t>conv1  (7×7, stride 2)</w:t>
            </w:r>
          </w:p>
        </w:tc>
        <w:tc>
          <w:tcPr>
            <w:tcW w:type="dxa" w:w="4608"/>
          </w:tcPr>
          <w:p>
            <w:pPr>
              <w:jc w:val="center"/>
            </w:pPr>
            <w:r>
              <w:rPr>
                <w:sz w:val="20"/>
              </w:rPr>
              <w:t>48×48</w:t>
            </w:r>
          </w:p>
        </w:tc>
      </w:tr>
      <w:tr>
        <w:tc>
          <w:tcPr>
            <w:tcW w:type="dxa" w:w="4032"/>
          </w:tcPr>
          <w:p>
            <w:pPr>
              <w:jc w:val="center"/>
            </w:pPr>
            <w:r>
              <w:rPr>
                <w:sz w:val="20"/>
              </w:rPr>
              <w:t>maxpool (3×3, stride 2)</w:t>
            </w:r>
          </w:p>
        </w:tc>
        <w:tc>
          <w:tcPr>
            <w:tcW w:type="dxa" w:w="4608"/>
          </w:tcPr>
          <w:p>
            <w:pPr>
              <w:jc w:val="center"/>
            </w:pPr>
            <w:r>
              <w:rPr>
                <w:sz w:val="20"/>
              </w:rPr>
              <w:t>24×24</w:t>
            </w:r>
          </w:p>
        </w:tc>
      </w:tr>
      <w:tr>
        <w:tc>
          <w:tcPr>
            <w:tcW w:type="dxa" w:w="4032"/>
          </w:tcPr>
          <w:p>
            <w:pPr>
              <w:jc w:val="center"/>
            </w:pPr>
            <w:r>
              <w:rPr>
                <w:sz w:val="20"/>
              </w:rPr>
              <w:t>layer1  (stride 1)</w:t>
            </w:r>
          </w:p>
        </w:tc>
        <w:tc>
          <w:tcPr>
            <w:tcW w:type="dxa" w:w="4608"/>
          </w:tcPr>
          <w:p>
            <w:pPr>
              <w:jc w:val="center"/>
            </w:pPr>
            <w:r>
              <w:rPr>
                <w:sz w:val="20"/>
              </w:rPr>
              <w:t>24×24</w:t>
            </w:r>
          </w:p>
        </w:tc>
      </w:tr>
      <w:tr>
        <w:tc>
          <w:tcPr>
            <w:tcW w:type="dxa" w:w="4032"/>
          </w:tcPr>
          <w:p>
            <w:pPr>
              <w:jc w:val="center"/>
            </w:pPr>
            <w:r>
              <w:rPr>
                <w:sz w:val="20"/>
              </w:rPr>
              <w:t>layer2  (stride 2)</w:t>
            </w:r>
          </w:p>
        </w:tc>
        <w:tc>
          <w:tcPr>
            <w:tcW w:type="dxa" w:w="4608"/>
          </w:tcPr>
          <w:p>
            <w:pPr>
              <w:jc w:val="center"/>
            </w:pPr>
            <w:r>
              <w:rPr>
                <w:sz w:val="20"/>
              </w:rPr>
              <w:t>12×12</w:t>
            </w:r>
          </w:p>
        </w:tc>
      </w:tr>
      <w:tr>
        <w:tc>
          <w:tcPr>
            <w:tcW w:type="dxa" w:w="4032"/>
          </w:tcPr>
          <w:p>
            <w:pPr>
              <w:jc w:val="center"/>
            </w:pPr>
            <w:r>
              <w:rPr>
                <w:sz w:val="20"/>
              </w:rPr>
              <w:t>layer3  (stride 2)</w:t>
            </w:r>
          </w:p>
        </w:tc>
        <w:tc>
          <w:tcPr>
            <w:tcW w:type="dxa" w:w="4608"/>
          </w:tcPr>
          <w:p>
            <w:pPr>
              <w:jc w:val="center"/>
            </w:pPr>
            <w:r>
              <w:rPr>
                <w:sz w:val="20"/>
              </w:rPr>
              <w:t>6×6</w:t>
            </w:r>
          </w:p>
        </w:tc>
      </w:tr>
      <w:tr>
        <w:tc>
          <w:tcPr>
            <w:tcW w:type="dxa" w:w="4032"/>
          </w:tcPr>
          <w:p>
            <w:pPr>
              <w:jc w:val="center"/>
            </w:pPr>
            <w:r>
              <w:rPr>
                <w:sz w:val="20"/>
              </w:rPr>
              <w:t>layer4  (stride 2)</w:t>
            </w:r>
          </w:p>
        </w:tc>
        <w:tc>
          <w:tcPr>
            <w:tcW w:type="dxa" w:w="4608"/>
          </w:tcPr>
          <w:p>
            <w:pPr>
              <w:jc w:val="center"/>
            </w:pPr>
            <w:r>
              <w:rPr>
                <w:sz w:val="20"/>
              </w:rPr>
              <w:t>3×3  ← spatial context preserved</w:t>
            </w:r>
          </w:p>
        </w:tc>
      </w:tr>
      <w:tr>
        <w:tc>
          <w:tcPr>
            <w:tcW w:type="dxa" w:w="4032"/>
          </w:tcPr>
          <w:p>
            <w:pPr>
              <w:jc w:val="center"/>
            </w:pPr>
            <w:r>
              <w:rPr>
                <w:sz w:val="20"/>
              </w:rPr>
              <w:t>avgpool + fc</w:t>
            </w:r>
          </w:p>
        </w:tc>
        <w:tc>
          <w:tcPr>
            <w:tcW w:type="dxa" w:w="4608"/>
          </w:tcPr>
          <w:p>
            <w:pPr>
              <w:jc w:val="center"/>
            </w:pPr>
            <w:r>
              <w:rPr>
                <w:sz w:val="20"/>
              </w:rPr>
              <w:t>512 → 10</w:t>
            </w:r>
          </w:p>
        </w:tc>
      </w:tr>
    </w:tbl>
    <w:p/>
    <w:p>
      <w:r>
        <w:rPr>
          <w:sz w:val="22"/>
        </w:rPr>
        <w:t>The 3×3 feature maps at layer4 retain meaningful spatial structure, allowing ImageNet pretrained features to generalise effectively to STL-10.</w:t>
      </w:r>
    </w:p>
    <w:p>
      <w:pPr>
        <w:pStyle w:val="Heading1"/>
        <w:jc w:val="left"/>
      </w:pPr>
      <w:r>
        <w:t>3. Dataset — STL-10</w:t>
      </w:r>
    </w:p>
    <w:tbl>
      <w:tblPr>
        <w:tblStyle w:val="LightGrid-Accent1"/>
        <w:tblW w:type="auto" w:w="0"/>
        <w:jc w:val="center"/>
        <w:tblLook w:firstColumn="1" w:firstRow="1" w:lastColumn="0" w:lastRow="0" w:noHBand="0" w:noVBand="1" w:val="04A0"/>
      </w:tblPr>
      <w:tblGrid>
        <w:gridCol w:w="4392"/>
        <w:gridCol w:w="4392"/>
      </w:tblGrid>
      <w:tr>
        <w:tc>
          <w:tcPr>
            <w:tcW w:type="dxa" w:w="3456"/>
          </w:tcPr>
          <w:p>
            <w:pPr>
              <w:jc w:val="center"/>
            </w:pPr>
            <w:r>
              <w:rPr>
                <w:b/>
                <w:sz w:val="20"/>
              </w:rPr>
              <w:t>Property</w:t>
            </w:r>
          </w:p>
        </w:tc>
        <w:tc>
          <w:tcPr>
            <w:tcW w:type="dxa" w:w="6624"/>
          </w:tcPr>
          <w:p>
            <w:pPr>
              <w:jc w:val="center"/>
            </w:pPr>
            <w:r>
              <w:rPr>
                <w:b/>
                <w:sz w:val="20"/>
              </w:rPr>
              <w:t>Value</w:t>
            </w: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tc>
        <w:tc>
          <w:tcPr>
            <w:tcW w:type="dxa" w:w="6624"/>
          </w:tcPr>
          <w:p/>
        </w:tc>
      </w:tr>
      <w:tr>
        <w:tc>
          <w:tcPr>
            <w:tcW w:type="dxa" w:w="3456"/>
          </w:tcPr>
          <w:p>
            <w:pPr>
              <w:jc w:val="center"/>
            </w:pPr>
            <w:r>
              <w:rPr>
                <w:sz w:val="20"/>
              </w:rPr>
              <w:t>Dataset</w:t>
            </w:r>
          </w:p>
        </w:tc>
        <w:tc>
          <w:tcPr>
            <w:tcW w:type="dxa" w:w="6624"/>
          </w:tcPr>
          <w:p>
            <w:pPr>
              <w:jc w:val="center"/>
            </w:pPr>
            <w:r>
              <w:rPr>
                <w:sz w:val="20"/>
              </w:rPr>
              <w:t>STL-10</w:t>
            </w:r>
          </w:p>
        </w:tc>
      </w:tr>
      <w:tr>
        <w:tc>
          <w:tcPr>
            <w:tcW w:type="dxa" w:w="3456"/>
          </w:tcPr>
          <w:p>
            <w:pPr>
              <w:jc w:val="center"/>
            </w:pPr>
            <w:r>
              <w:rPr>
                <w:sz w:val="20"/>
              </w:rPr>
              <w:t>Image size</w:t>
            </w:r>
          </w:p>
        </w:tc>
        <w:tc>
          <w:tcPr>
            <w:tcW w:type="dxa" w:w="6624"/>
          </w:tcPr>
          <w:p>
            <w:pPr>
              <w:jc w:val="center"/>
            </w:pPr>
            <w:r>
              <w:rPr>
                <w:sz w:val="20"/>
              </w:rPr>
              <w:t>96 × 96 pixels (RGB)</w:t>
            </w:r>
          </w:p>
        </w:tc>
      </w:tr>
      <w:tr>
        <w:tc>
          <w:tcPr>
            <w:tcW w:type="dxa" w:w="3456"/>
          </w:tcPr>
          <w:p>
            <w:pPr>
              <w:jc w:val="center"/>
            </w:pPr>
            <w:r>
              <w:rPr>
                <w:sz w:val="20"/>
              </w:rPr>
              <w:t>Training samples</w:t>
            </w:r>
          </w:p>
        </w:tc>
        <w:tc>
          <w:tcPr>
            <w:tcW w:type="dxa" w:w="6624"/>
          </w:tcPr>
          <w:p>
            <w:pPr>
              <w:jc w:val="center"/>
            </w:pPr>
            <w:r>
              <w:rPr>
                <w:sz w:val="20"/>
              </w:rPr>
              <w:t>5 000  (500 per class)</w:t>
            </w:r>
          </w:p>
        </w:tc>
      </w:tr>
      <w:tr>
        <w:tc>
          <w:tcPr>
            <w:tcW w:type="dxa" w:w="3456"/>
          </w:tcPr>
          <w:p>
            <w:pPr>
              <w:jc w:val="center"/>
            </w:pPr>
            <w:r>
              <w:rPr>
                <w:sz w:val="20"/>
              </w:rPr>
              <w:t>Test samples</w:t>
            </w:r>
          </w:p>
        </w:tc>
        <w:tc>
          <w:tcPr>
            <w:tcW w:type="dxa" w:w="6624"/>
          </w:tcPr>
          <w:p>
            <w:pPr>
              <w:jc w:val="center"/>
            </w:pPr>
            <w:r>
              <w:rPr>
                <w:sz w:val="20"/>
              </w:rPr>
              <w:t>8 000</w:t>
            </w:r>
          </w:p>
        </w:tc>
      </w:tr>
      <w:tr>
        <w:tc>
          <w:tcPr>
            <w:tcW w:type="dxa" w:w="3456"/>
          </w:tcPr>
          <w:p>
            <w:pPr>
              <w:jc w:val="center"/>
            </w:pPr>
            <w:r>
              <w:rPr>
                <w:sz w:val="20"/>
              </w:rPr>
              <w:t>Classes</w:t>
            </w:r>
          </w:p>
        </w:tc>
        <w:tc>
          <w:tcPr>
            <w:tcW w:type="dxa" w:w="6624"/>
          </w:tcPr>
          <w:p>
            <w:pPr>
              <w:jc w:val="center"/>
            </w:pPr>
            <w:r>
              <w:rPr>
                <w:sz w:val="20"/>
              </w:rPr>
              <w:t>10: airplane, bird, car, cat, deer, dog, horse, monkey, ship, truck</w:t>
            </w:r>
          </w:p>
        </w:tc>
      </w:tr>
      <w:tr>
        <w:tc>
          <w:tcPr>
            <w:tcW w:type="dxa" w:w="3456"/>
          </w:tcPr>
          <w:p>
            <w:pPr>
              <w:jc w:val="center"/>
            </w:pPr>
            <w:r>
              <w:rPr>
                <w:sz w:val="20"/>
              </w:rPr>
              <w:t>Domain</w:t>
            </w:r>
          </w:p>
        </w:tc>
        <w:tc>
          <w:tcPr>
            <w:tcW w:type="dxa" w:w="6624"/>
          </w:tcPr>
          <w:p>
            <w:pPr>
              <w:jc w:val="center"/>
            </w:pPr>
            <w:r>
              <w:rPr>
                <w:sz w:val="20"/>
              </w:rPr>
              <w:t>Natural images (subset of ImageNet)</w:t>
            </w:r>
          </w:p>
        </w:tc>
      </w:tr>
      <w:tr>
        <w:tc>
          <w:tcPr>
            <w:tcW w:type="dxa" w:w="3456"/>
          </w:tcPr>
          <w:p>
            <w:pPr>
              <w:jc w:val="center"/>
            </w:pPr>
            <w:r>
              <w:rPr>
                <w:sz w:val="20"/>
              </w:rPr>
              <w:t>Mean / Std</w:t>
            </w:r>
          </w:p>
        </w:tc>
        <w:tc>
          <w:tcPr>
            <w:tcW w:type="dxa" w:w="6624"/>
          </w:tcPr>
          <w:p>
            <w:pPr>
              <w:jc w:val="center"/>
            </w:pPr>
            <w:r>
              <w:rPr>
                <w:sz w:val="20"/>
              </w:rPr>
              <w:t>[0.447, 0.440, 0.407] / [0.260, 0.257, 0.271]</w:t>
            </w:r>
          </w:p>
        </w:tc>
      </w:tr>
      <w:tr>
        <w:tc>
          <w:tcPr>
            <w:tcW w:type="dxa" w:w="3456"/>
          </w:tcPr>
          <w:p>
            <w:pPr>
              <w:jc w:val="center"/>
            </w:pPr>
            <w:r>
              <w:rPr>
                <w:sz w:val="20"/>
              </w:rPr>
              <w:t>Purpose</w:t>
            </w:r>
          </w:p>
        </w:tc>
        <w:tc>
          <w:tcPr>
            <w:tcW w:type="dxa" w:w="6624"/>
          </w:tcPr>
          <w:p>
            <w:pPr>
              <w:jc w:val="center"/>
            </w:pPr>
            <w:r>
              <w:rPr>
                <w:sz w:val="20"/>
              </w:rPr>
              <w:t>Designed as a transfer learning benchmark</w:t>
            </w:r>
          </w:p>
        </w:tc>
      </w:tr>
    </w:tbl>
    <w:p/>
    <w:p>
      <w:r>
        <w:rPr>
          <w:sz w:val="22"/>
        </w:rPr>
        <w:t>STL-10 was designed explicitly as a transfer learning benchmark. Its small labelled training set (5 000 images) and natural image content, which overlaps significantly with ImageNet categories, make it ideal for demonstrating when and why pretrained representations outperform random initialisation.</w:t>
      </w:r>
    </w:p>
    <w:p>
      <w:pPr>
        <w:pStyle w:val="Heading1"/>
        <w:jc w:val="left"/>
      </w:pPr>
      <w:r>
        <w:t>4. Experimental Protocol</w:t>
      </w:r>
    </w:p>
    <w:p>
      <w:pPr>
        <w:pStyle w:val="Heading2"/>
        <w:jc w:val="left"/>
      </w:pPr>
      <w:r>
        <w:t>4.1 Architecture</w:t>
      </w:r>
    </w:p>
    <w:p>
      <w:r>
        <w:rPr>
          <w:sz w:val="22"/>
        </w:rPr>
        <w:t>All three conditions share identical ResNet-18 architecture (11.18 M parameters). The final fully connected layer is replaced with a new 512 → 10 linear layer, initialised with N(0, 0.01) weights and zero bias. No other architectural modifications are made — the original 7×7 conv1 and max-pool are preserved.</w:t>
      </w:r>
    </w:p>
    <w:p/>
    <w:p>
      <w:pPr>
        <w:pStyle w:val="Heading2"/>
        <w:jc w:val="left"/>
      </w:pPr>
      <w:r>
        <w:t>4.2 Training Configuration</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3168"/>
          </w:tcPr>
          <w:p>
            <w:pPr>
              <w:jc w:val="center"/>
            </w:pPr>
            <w:r>
              <w:rPr>
                <w:b/>
                <w:sz w:val="20"/>
              </w:rPr>
              <w:t>Hyperparameter</w:t>
            </w:r>
          </w:p>
        </w:tc>
        <w:tc>
          <w:tcPr>
            <w:tcW w:type="dxa" w:w="2160"/>
          </w:tcPr>
          <w:p>
            <w:pPr>
              <w:jc w:val="center"/>
            </w:pPr>
            <w:r>
              <w:rPr>
                <w:b/>
                <w:sz w:val="20"/>
              </w:rPr>
              <w:t>Scratch</w:t>
            </w:r>
          </w:p>
        </w:tc>
        <w:tc>
          <w:tcPr>
            <w:tcW w:type="dxa" w:w="2880"/>
          </w:tcPr>
          <w:p>
            <w:pPr>
              <w:jc w:val="center"/>
            </w:pPr>
            <w:r>
              <w:rPr>
                <w:b/>
                <w:sz w:val="20"/>
              </w:rPr>
              <w:t>Feature Extraction</w:t>
            </w:r>
          </w:p>
        </w:tc>
        <w:tc>
          <w:tcPr>
            <w:tcW w:type="dxa" w:w="3312"/>
          </w:tcPr>
          <w:p>
            <w:pPr>
              <w:jc w:val="center"/>
            </w:pPr>
            <w:r>
              <w:rPr>
                <w:b/>
                <w:sz w:val="20"/>
              </w:rPr>
              <w:t>Fine-tuning</w:t>
            </w: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tc>
        <w:tc>
          <w:tcPr>
            <w:tcW w:type="dxa" w:w="2160"/>
          </w:tcPr>
          <w:p/>
        </w:tc>
        <w:tc>
          <w:tcPr>
            <w:tcW w:type="dxa" w:w="2880"/>
          </w:tcPr>
          <w:p/>
        </w:tc>
        <w:tc>
          <w:tcPr>
            <w:tcW w:type="dxa" w:w="3312"/>
          </w:tcPr>
          <w:p/>
        </w:tc>
      </w:tr>
      <w:tr>
        <w:tc>
          <w:tcPr>
            <w:tcW w:type="dxa" w:w="3168"/>
          </w:tcPr>
          <w:p>
            <w:pPr>
              <w:jc w:val="center"/>
            </w:pPr>
            <w:r>
              <w:rPr>
                <w:sz w:val="20"/>
              </w:rPr>
              <w:t>Pretrained weights</w:t>
            </w:r>
          </w:p>
        </w:tc>
        <w:tc>
          <w:tcPr>
            <w:tcW w:type="dxa" w:w="2160"/>
          </w:tcPr>
          <w:p>
            <w:pPr>
              <w:jc w:val="center"/>
            </w:pPr>
            <w:r>
              <w:rPr>
                <w:sz w:val="20"/>
              </w:rPr>
              <w:t>None</w:t>
            </w:r>
          </w:p>
        </w:tc>
        <w:tc>
          <w:tcPr>
            <w:tcW w:type="dxa" w:w="2880"/>
          </w:tcPr>
          <w:p>
            <w:pPr>
              <w:jc w:val="center"/>
            </w:pPr>
            <w:r>
              <w:rPr>
                <w:sz w:val="20"/>
              </w:rPr>
              <w:t>ImageNet-1K</w:t>
            </w:r>
          </w:p>
        </w:tc>
        <w:tc>
          <w:tcPr>
            <w:tcW w:type="dxa" w:w="3312"/>
          </w:tcPr>
          <w:p>
            <w:pPr>
              <w:jc w:val="center"/>
            </w:pPr>
            <w:r>
              <w:rPr>
                <w:sz w:val="20"/>
              </w:rPr>
              <w:t>ImageNet-1K</w:t>
            </w:r>
          </w:p>
        </w:tc>
      </w:tr>
      <w:tr>
        <w:tc>
          <w:tcPr>
            <w:tcW w:type="dxa" w:w="3168"/>
          </w:tcPr>
          <w:p>
            <w:pPr>
              <w:jc w:val="center"/>
            </w:pPr>
            <w:r>
              <w:rPr>
                <w:sz w:val="20"/>
              </w:rPr>
              <w:t>Optimizer</w:t>
            </w:r>
          </w:p>
        </w:tc>
        <w:tc>
          <w:tcPr>
            <w:tcW w:type="dxa" w:w="2160"/>
          </w:tcPr>
          <w:p>
            <w:pPr>
              <w:jc w:val="center"/>
            </w:pPr>
            <w:r>
              <w:rPr>
                <w:sz w:val="20"/>
              </w:rPr>
              <w:t>SGD</w:t>
            </w:r>
          </w:p>
        </w:tc>
        <w:tc>
          <w:tcPr>
            <w:tcW w:type="dxa" w:w="2880"/>
          </w:tcPr>
          <w:p>
            <w:pPr>
              <w:jc w:val="center"/>
            </w:pPr>
            <w:r>
              <w:rPr>
                <w:sz w:val="20"/>
              </w:rPr>
              <w:t>Adam</w:t>
            </w:r>
          </w:p>
        </w:tc>
        <w:tc>
          <w:tcPr>
            <w:tcW w:type="dxa" w:w="3312"/>
          </w:tcPr>
          <w:p>
            <w:pPr>
              <w:jc w:val="center"/>
            </w:pPr>
            <w:r>
              <w:rPr>
                <w:sz w:val="20"/>
              </w:rPr>
              <w:t>SGD</w:t>
            </w:r>
          </w:p>
        </w:tc>
      </w:tr>
      <w:tr>
        <w:tc>
          <w:tcPr>
            <w:tcW w:type="dxa" w:w="3168"/>
          </w:tcPr>
          <w:p>
            <w:pPr>
              <w:jc w:val="center"/>
            </w:pPr>
            <w:r>
              <w:rPr>
                <w:sz w:val="20"/>
              </w:rPr>
              <w:t>LR (backbone)</w:t>
            </w:r>
          </w:p>
        </w:tc>
        <w:tc>
          <w:tcPr>
            <w:tcW w:type="dxa" w:w="2160"/>
          </w:tcPr>
          <w:p>
            <w:pPr>
              <w:jc w:val="center"/>
            </w:pPr>
            <w:r>
              <w:rPr>
                <w:sz w:val="20"/>
              </w:rPr>
              <w:t>0.01</w:t>
            </w:r>
          </w:p>
        </w:tc>
        <w:tc>
          <w:tcPr>
            <w:tcW w:type="dxa" w:w="2880"/>
          </w:tcPr>
          <w:p>
            <w:pPr>
              <w:jc w:val="center"/>
            </w:pPr>
            <w:r>
              <w:rPr>
                <w:sz w:val="20"/>
              </w:rPr>
              <w:t>frozen</w:t>
            </w:r>
          </w:p>
        </w:tc>
        <w:tc>
          <w:tcPr>
            <w:tcW w:type="dxa" w:w="3312"/>
          </w:tcPr>
          <w:p>
            <w:pPr>
              <w:jc w:val="center"/>
            </w:pPr>
            <w:r>
              <w:rPr>
                <w:sz w:val="20"/>
              </w:rPr>
              <w:t>1×10⁻³</w:t>
            </w:r>
          </w:p>
        </w:tc>
      </w:tr>
      <w:tr>
        <w:tc>
          <w:tcPr>
            <w:tcW w:type="dxa" w:w="3168"/>
          </w:tcPr>
          <w:p>
            <w:pPr>
              <w:jc w:val="center"/>
            </w:pPr>
            <w:r>
              <w:rPr>
                <w:sz w:val="20"/>
              </w:rPr>
              <w:t>LR (head)</w:t>
            </w:r>
          </w:p>
        </w:tc>
        <w:tc>
          <w:tcPr>
            <w:tcW w:type="dxa" w:w="2160"/>
          </w:tcPr>
          <w:p>
            <w:pPr>
              <w:jc w:val="center"/>
            </w:pPr>
            <w:r>
              <w:rPr>
                <w:sz w:val="20"/>
              </w:rPr>
              <w:t>0.01</w:t>
            </w:r>
          </w:p>
        </w:tc>
        <w:tc>
          <w:tcPr>
            <w:tcW w:type="dxa" w:w="2880"/>
          </w:tcPr>
          <w:p>
            <w:pPr>
              <w:jc w:val="center"/>
            </w:pPr>
            <w:r>
              <w:rPr>
                <w:sz w:val="20"/>
              </w:rPr>
              <w:t>1×10⁻³</w:t>
            </w:r>
          </w:p>
        </w:tc>
        <w:tc>
          <w:tcPr>
            <w:tcW w:type="dxa" w:w="3312"/>
          </w:tcPr>
          <w:p>
            <w:pPr>
              <w:jc w:val="center"/>
            </w:pPr>
            <w:r>
              <w:rPr>
                <w:sz w:val="20"/>
              </w:rPr>
              <w:t>1×10⁻²</w:t>
            </w:r>
          </w:p>
        </w:tc>
      </w:tr>
      <w:tr>
        <w:tc>
          <w:tcPr>
            <w:tcW w:type="dxa" w:w="3168"/>
          </w:tcPr>
          <w:p>
            <w:pPr>
              <w:jc w:val="center"/>
            </w:pPr>
            <w:r>
              <w:rPr>
                <w:sz w:val="20"/>
              </w:rPr>
              <w:t>Momentum</w:t>
            </w:r>
          </w:p>
        </w:tc>
        <w:tc>
          <w:tcPr>
            <w:tcW w:type="dxa" w:w="2160"/>
          </w:tcPr>
          <w:p>
            <w:pPr>
              <w:jc w:val="center"/>
            </w:pPr>
            <w:r>
              <w:rPr>
                <w:sz w:val="20"/>
              </w:rPr>
              <w:t>0.9</w:t>
            </w:r>
          </w:p>
        </w:tc>
        <w:tc>
          <w:tcPr>
            <w:tcW w:type="dxa" w:w="2880"/>
          </w:tcPr>
          <w:p>
            <w:pPr>
              <w:jc w:val="center"/>
            </w:pPr>
            <w:r>
              <w:rPr>
                <w:sz w:val="20"/>
              </w:rPr>
              <w:t>—</w:t>
            </w:r>
          </w:p>
        </w:tc>
        <w:tc>
          <w:tcPr>
            <w:tcW w:type="dxa" w:w="3312"/>
          </w:tcPr>
          <w:p>
            <w:pPr>
              <w:jc w:val="center"/>
            </w:pPr>
            <w:r>
              <w:rPr>
                <w:sz w:val="20"/>
              </w:rPr>
              <w:t>0.9</w:t>
            </w:r>
          </w:p>
        </w:tc>
      </w:tr>
      <w:tr>
        <w:tc>
          <w:tcPr>
            <w:tcW w:type="dxa" w:w="3168"/>
          </w:tcPr>
          <w:p>
            <w:pPr>
              <w:jc w:val="center"/>
            </w:pPr>
            <w:r>
              <w:rPr>
                <w:sz w:val="20"/>
              </w:rPr>
              <w:t>Weight decay</w:t>
            </w:r>
          </w:p>
        </w:tc>
        <w:tc>
          <w:tcPr>
            <w:tcW w:type="dxa" w:w="2160"/>
          </w:tcPr>
          <w:p>
            <w:pPr>
              <w:jc w:val="center"/>
            </w:pPr>
            <w:r>
              <w:rPr>
                <w:sz w:val="20"/>
              </w:rPr>
              <w:t>5×10⁻⁴</w:t>
            </w:r>
          </w:p>
        </w:tc>
        <w:tc>
          <w:tcPr>
            <w:tcW w:type="dxa" w:w="2880"/>
          </w:tcPr>
          <w:p>
            <w:pPr>
              <w:jc w:val="center"/>
            </w:pPr>
            <w:r>
              <w:rPr>
                <w:sz w:val="20"/>
              </w:rPr>
              <w:t>1×10⁻⁴</w:t>
            </w:r>
          </w:p>
        </w:tc>
        <w:tc>
          <w:tcPr>
            <w:tcW w:type="dxa" w:w="3312"/>
          </w:tcPr>
          <w:p>
            <w:pPr>
              <w:jc w:val="center"/>
            </w:pPr>
            <w:r>
              <w:rPr>
                <w:sz w:val="20"/>
              </w:rPr>
              <w:t>5×10⁻⁴</w:t>
            </w:r>
          </w:p>
        </w:tc>
      </w:tr>
      <w:tr>
        <w:tc>
          <w:tcPr>
            <w:tcW w:type="dxa" w:w="3168"/>
          </w:tcPr>
          <w:p>
            <w:pPr>
              <w:jc w:val="center"/>
            </w:pPr>
            <w:r>
              <w:rPr>
                <w:sz w:val="20"/>
              </w:rPr>
              <w:t>LR scheduler</w:t>
            </w:r>
          </w:p>
        </w:tc>
        <w:tc>
          <w:tcPr>
            <w:tcW w:type="dxa" w:w="2160"/>
          </w:tcPr>
          <w:p>
            <w:pPr>
              <w:jc w:val="center"/>
            </w:pPr>
            <w:r>
              <w:rPr>
                <w:sz w:val="20"/>
              </w:rPr>
              <w:t>CosineAnneal(T=30)</w:t>
            </w:r>
          </w:p>
        </w:tc>
        <w:tc>
          <w:tcPr>
            <w:tcW w:type="dxa" w:w="2880"/>
          </w:tcPr>
          <w:p>
            <w:pPr>
              <w:jc w:val="center"/>
            </w:pPr>
            <w:r>
              <w:rPr>
                <w:sz w:val="20"/>
              </w:rPr>
              <w:t>CosineAnneal(T=30)</w:t>
            </w:r>
          </w:p>
        </w:tc>
        <w:tc>
          <w:tcPr>
            <w:tcW w:type="dxa" w:w="3312"/>
          </w:tcPr>
          <w:p>
            <w:pPr>
              <w:jc w:val="center"/>
            </w:pPr>
            <w:r>
              <w:rPr>
                <w:sz w:val="20"/>
              </w:rPr>
              <w:t>CosineAnneal(T=30)</w:t>
            </w:r>
          </w:p>
        </w:tc>
      </w:tr>
      <w:tr>
        <w:tc>
          <w:tcPr>
            <w:tcW w:type="dxa" w:w="3168"/>
          </w:tcPr>
          <w:p>
            <w:pPr>
              <w:jc w:val="center"/>
            </w:pPr>
            <w:r>
              <w:rPr>
                <w:sz w:val="20"/>
              </w:rPr>
              <w:t>Epochs</w:t>
            </w:r>
          </w:p>
        </w:tc>
        <w:tc>
          <w:tcPr>
            <w:tcW w:type="dxa" w:w="2160"/>
          </w:tcPr>
          <w:p>
            <w:pPr>
              <w:jc w:val="center"/>
            </w:pPr>
            <w:r>
              <w:rPr>
                <w:sz w:val="20"/>
              </w:rPr>
              <w:t>30</w:t>
            </w:r>
          </w:p>
        </w:tc>
        <w:tc>
          <w:tcPr>
            <w:tcW w:type="dxa" w:w="2880"/>
          </w:tcPr>
          <w:p>
            <w:pPr>
              <w:jc w:val="center"/>
            </w:pPr>
            <w:r>
              <w:rPr>
                <w:sz w:val="20"/>
              </w:rPr>
              <w:t>30</w:t>
            </w:r>
          </w:p>
        </w:tc>
        <w:tc>
          <w:tcPr>
            <w:tcW w:type="dxa" w:w="3312"/>
          </w:tcPr>
          <w:p>
            <w:pPr>
              <w:jc w:val="center"/>
            </w:pPr>
            <w:r>
              <w:rPr>
                <w:sz w:val="20"/>
              </w:rPr>
              <w:t>30</w:t>
            </w:r>
          </w:p>
        </w:tc>
      </w:tr>
      <w:tr>
        <w:tc>
          <w:tcPr>
            <w:tcW w:type="dxa" w:w="3168"/>
          </w:tcPr>
          <w:p>
            <w:pPr>
              <w:jc w:val="center"/>
            </w:pPr>
            <w:r>
              <w:rPr>
                <w:sz w:val="20"/>
              </w:rPr>
              <w:t>Batch size</w:t>
            </w:r>
          </w:p>
        </w:tc>
        <w:tc>
          <w:tcPr>
            <w:tcW w:type="dxa" w:w="2160"/>
          </w:tcPr>
          <w:p>
            <w:pPr>
              <w:jc w:val="center"/>
            </w:pPr>
            <w:r>
              <w:rPr>
                <w:sz w:val="20"/>
              </w:rPr>
              <w:t>64</w:t>
            </w:r>
          </w:p>
        </w:tc>
        <w:tc>
          <w:tcPr>
            <w:tcW w:type="dxa" w:w="2880"/>
          </w:tcPr>
          <w:p>
            <w:pPr>
              <w:jc w:val="center"/>
            </w:pPr>
            <w:r>
              <w:rPr>
                <w:sz w:val="20"/>
              </w:rPr>
              <w:t>64</w:t>
            </w:r>
          </w:p>
        </w:tc>
        <w:tc>
          <w:tcPr>
            <w:tcW w:type="dxa" w:w="3312"/>
          </w:tcPr>
          <w:p>
            <w:pPr>
              <w:jc w:val="center"/>
            </w:pPr>
            <w:r>
              <w:rPr>
                <w:sz w:val="20"/>
              </w:rPr>
              <w:t>64</w:t>
            </w:r>
          </w:p>
        </w:tc>
      </w:tr>
      <w:tr>
        <w:tc>
          <w:tcPr>
            <w:tcW w:type="dxa" w:w="3168"/>
          </w:tcPr>
          <w:p>
            <w:pPr>
              <w:jc w:val="center"/>
            </w:pPr>
            <w:r>
              <w:rPr>
                <w:sz w:val="20"/>
              </w:rPr>
              <w:t>Trainable params</w:t>
            </w:r>
          </w:p>
        </w:tc>
        <w:tc>
          <w:tcPr>
            <w:tcW w:type="dxa" w:w="2160"/>
          </w:tcPr>
          <w:p>
            <w:pPr>
              <w:jc w:val="center"/>
            </w:pPr>
            <w:r>
              <w:rPr>
                <w:sz w:val="20"/>
              </w:rPr>
              <w:t>11,181,642</w:t>
            </w:r>
          </w:p>
        </w:tc>
        <w:tc>
          <w:tcPr>
            <w:tcW w:type="dxa" w:w="2880"/>
          </w:tcPr>
          <w:p>
            <w:pPr>
              <w:jc w:val="center"/>
            </w:pPr>
            <w:r>
              <w:rPr>
                <w:sz w:val="20"/>
              </w:rPr>
              <w:t>5,130</w:t>
            </w:r>
          </w:p>
        </w:tc>
        <w:tc>
          <w:tcPr>
            <w:tcW w:type="dxa" w:w="3312"/>
          </w:tcPr>
          <w:p>
            <w:pPr>
              <w:jc w:val="center"/>
            </w:pPr>
            <w:r>
              <w:rPr>
                <w:sz w:val="20"/>
              </w:rPr>
              <w:t>11,181,642</w:t>
            </w:r>
          </w:p>
        </w:tc>
      </w:tr>
    </w:tbl>
    <w:p/>
    <w:p>
      <w:pPr>
        <w:pStyle w:val="Heading2"/>
        <w:jc w:val="left"/>
      </w:pPr>
      <w:r>
        <w:t>4.3 Data Augmentation</w:t>
      </w:r>
    </w:p>
    <w:p>
      <w:r>
        <w:rPr>
          <w:sz w:val="22"/>
        </w:rPr>
        <w:t>Training: RandomHorizontalFlip, RandomCrop(96, padding=12), ColorJitter(brightness=0.3, contrast=0.3, saturation=0.3), Normalize.</w:t>
        <w:br/>
        <w:t>Test: ToTensor + Normalize only (no augmentation). The same augmentation pipeline is applied to all three conditions.</w:t>
      </w:r>
    </w:p>
    <w:p/>
    <w:p>
      <w:pPr>
        <w:pStyle w:val="Heading2"/>
        <w:jc w:val="left"/>
      </w:pPr>
      <w:r>
        <w:t>4.4 Evaluation Metrics</w:t>
      </w:r>
    </w:p>
    <w:p>
      <w:pPr>
        <w:pStyle w:val="ListBullet"/>
      </w:pPr>
      <w:r>
        <w:rPr>
          <w:sz w:val="22"/>
        </w:rPr>
        <w:t>Best validation accuracy — peak accuracy over all 30 epochs (best weights restored).</w:t>
      </w:r>
    </w:p>
    <w:p>
      <w:pPr>
        <w:pStyle w:val="ListBullet"/>
      </w:pPr>
      <w:r>
        <w:rPr>
          <w:sz w:val="22"/>
        </w:rPr>
        <w:t>ECE (Expected Calibration Error) — measures confidence calibration: ECE = Σ_b (|B_b|/n) · |acc(B_b) − conf(B_b)|. Lower is better.</w:t>
      </w:r>
    </w:p>
    <w:p>
      <w:pPr>
        <w:pStyle w:val="ListBullet"/>
      </w:pPr>
      <w:r>
        <w:rPr>
          <w:sz w:val="22"/>
        </w:rPr>
        <w:t>Per-class accuracy — reveals which categories benefit most from pretrained features.</w:t>
      </w:r>
    </w:p>
    <w:p>
      <w:pPr>
        <w:pStyle w:val="ListBullet"/>
      </w:pPr>
      <w:r>
        <w:rPr>
          <w:sz w:val="22"/>
        </w:rPr>
        <w:t>Convergence speed — epochs required to first exceed 60%, 70%, 75% accuracy.</w:t>
      </w:r>
    </w:p>
    <w:p>
      <w:pPr>
        <w:pStyle w:val="Heading1"/>
        <w:jc w:val="left"/>
      </w:pPr>
      <w:r>
        <w:t>5. Quantitative Results</w:t>
      </w:r>
    </w:p>
    <w:p>
      <w:pPr>
        <w:pStyle w:val="Heading2"/>
        <w:jc w:val="left"/>
      </w:pPr>
      <w:r>
        <w:t>5.1 Accuracy and Calibration</w:t>
      </w:r>
    </w:p>
    <w:tbl>
      <w:tblPr>
        <w:tblStyle w:val="LightGrid-Accent1"/>
        <w:tblW w:type="auto" w:w="0"/>
        <w:jc w:val="center"/>
        <w:tblLook w:firstColumn="1" w:firstRow="1" w:lastColumn="0" w:lastRow="0" w:noHBand="0" w:noVBand="1" w:val="04A0"/>
      </w:tblPr>
      <w:tblGrid>
        <w:gridCol w:w="1757"/>
        <w:gridCol w:w="1757"/>
        <w:gridCol w:w="1757"/>
        <w:gridCol w:w="1757"/>
        <w:gridCol w:w="1757"/>
      </w:tblGrid>
      <w:tr>
        <w:tc>
          <w:tcPr>
            <w:tcW w:type="dxa" w:w="2880"/>
          </w:tcPr>
          <w:p>
            <w:pPr>
              <w:jc w:val="center"/>
            </w:pPr>
            <w:r>
              <w:rPr>
                <w:b/>
                <w:sz w:val="20"/>
              </w:rPr>
              <w:t>Condition</w:t>
            </w:r>
          </w:p>
        </w:tc>
        <w:tc>
          <w:tcPr>
            <w:tcW w:type="dxa" w:w="2592"/>
          </w:tcPr>
          <w:p>
            <w:pPr>
              <w:jc w:val="center"/>
            </w:pPr>
            <w:r>
              <w:rPr>
                <w:b/>
                <w:sz w:val="20"/>
              </w:rPr>
              <w:t>Trainable Params</w:t>
            </w:r>
          </w:p>
        </w:tc>
        <w:tc>
          <w:tcPr>
            <w:tcW w:type="dxa" w:w="2304"/>
          </w:tcPr>
          <w:p>
            <w:pPr>
              <w:jc w:val="center"/>
            </w:pPr>
            <w:r>
              <w:rPr>
                <w:b/>
                <w:sz w:val="20"/>
              </w:rPr>
              <w:t>Best Val Acc</w:t>
            </w:r>
          </w:p>
        </w:tc>
        <w:tc>
          <w:tcPr>
            <w:tcW w:type="dxa" w:w="2160"/>
          </w:tcPr>
          <w:p>
            <w:pPr>
              <w:jc w:val="center"/>
            </w:pPr>
            <w:r>
              <w:rPr>
                <w:b/>
                <w:sz w:val="20"/>
              </w:rPr>
              <w:t>Δ vs Scratch</w:t>
            </w:r>
          </w:p>
        </w:tc>
        <w:tc>
          <w:tcPr>
            <w:tcW w:type="dxa" w:w="1584"/>
          </w:tcPr>
          <w:p>
            <w:pPr>
              <w:jc w:val="center"/>
            </w:pPr>
            <w:r>
              <w:rPr>
                <w:b/>
                <w:sz w:val="20"/>
              </w:rPr>
              <w:t>ECE ↓</w:t>
            </w:r>
          </w:p>
        </w:tc>
      </w:tr>
      <w:tr>
        <w:tc>
          <w:tcPr>
            <w:tcW w:type="dxa" w:w="2880"/>
          </w:tcPr>
          <w:p/>
        </w:tc>
        <w:tc>
          <w:tcPr>
            <w:tcW w:type="dxa" w:w="2592"/>
          </w:tcPr>
          <w:p/>
        </w:tc>
        <w:tc>
          <w:tcPr>
            <w:tcW w:type="dxa" w:w="2304"/>
          </w:tcPr>
          <w:p/>
        </w:tc>
        <w:tc>
          <w:tcPr>
            <w:tcW w:type="dxa" w:w="2160"/>
          </w:tcPr>
          <w:p/>
        </w:tc>
        <w:tc>
          <w:tcPr>
            <w:tcW w:type="dxa" w:w="1584"/>
          </w:tcPr>
          <w:p/>
        </w:tc>
      </w:tr>
      <w:tr>
        <w:tc>
          <w:tcPr>
            <w:tcW w:type="dxa" w:w="2880"/>
          </w:tcPr>
          <w:p/>
        </w:tc>
        <w:tc>
          <w:tcPr>
            <w:tcW w:type="dxa" w:w="2592"/>
          </w:tcPr>
          <w:p/>
        </w:tc>
        <w:tc>
          <w:tcPr>
            <w:tcW w:type="dxa" w:w="2304"/>
          </w:tcPr>
          <w:p/>
        </w:tc>
        <w:tc>
          <w:tcPr>
            <w:tcW w:type="dxa" w:w="2160"/>
          </w:tcPr>
          <w:p/>
        </w:tc>
        <w:tc>
          <w:tcPr>
            <w:tcW w:type="dxa" w:w="1584"/>
          </w:tcPr>
          <w:p/>
        </w:tc>
      </w:tr>
      <w:tr>
        <w:tc>
          <w:tcPr>
            <w:tcW w:type="dxa" w:w="2880"/>
          </w:tcPr>
          <w:p/>
        </w:tc>
        <w:tc>
          <w:tcPr>
            <w:tcW w:type="dxa" w:w="2592"/>
          </w:tcPr>
          <w:p/>
        </w:tc>
        <w:tc>
          <w:tcPr>
            <w:tcW w:type="dxa" w:w="2304"/>
          </w:tcPr>
          <w:p/>
        </w:tc>
        <w:tc>
          <w:tcPr>
            <w:tcW w:type="dxa" w:w="2160"/>
          </w:tcPr>
          <w:p/>
        </w:tc>
        <w:tc>
          <w:tcPr>
            <w:tcW w:type="dxa" w:w="1584"/>
          </w:tcPr>
          <w:p/>
        </w:tc>
      </w:tr>
      <w:tr>
        <w:tc>
          <w:tcPr>
            <w:tcW w:type="dxa" w:w="2880"/>
          </w:tcPr>
          <w:p>
            <w:pPr>
              <w:jc w:val="center"/>
            </w:pPr>
            <w:r>
              <w:rPr>
                <w:sz w:val="20"/>
              </w:rPr>
              <w:t>From Scratch</w:t>
            </w:r>
          </w:p>
        </w:tc>
        <w:tc>
          <w:tcPr>
            <w:tcW w:type="dxa" w:w="2592"/>
          </w:tcPr>
          <w:p>
            <w:pPr>
              <w:jc w:val="center"/>
            </w:pPr>
            <w:r>
              <w:rPr>
                <w:sz w:val="20"/>
              </w:rPr>
              <w:t>11,181,642</w:t>
            </w:r>
          </w:p>
        </w:tc>
        <w:tc>
          <w:tcPr>
            <w:tcW w:type="dxa" w:w="2304"/>
          </w:tcPr>
          <w:p>
            <w:pPr>
              <w:jc w:val="center"/>
            </w:pPr>
            <w:r>
              <w:rPr>
                <w:sz w:val="20"/>
              </w:rPr>
              <w:t>71.16%</w:t>
            </w:r>
          </w:p>
        </w:tc>
        <w:tc>
          <w:tcPr>
            <w:tcW w:type="dxa" w:w="2160"/>
          </w:tcPr>
          <w:p>
            <w:pPr>
              <w:jc w:val="center"/>
            </w:pPr>
            <w:r>
              <w:rPr>
                <w:sz w:val="20"/>
              </w:rPr>
              <w:t>—</w:t>
            </w:r>
          </w:p>
        </w:tc>
        <w:tc>
          <w:tcPr>
            <w:tcW w:type="dxa" w:w="1584"/>
          </w:tcPr>
          <w:p>
            <w:pPr>
              <w:jc w:val="center"/>
            </w:pPr>
            <w:r>
              <w:rPr>
                <w:sz w:val="20"/>
              </w:rPr>
              <w:t>0.0843</w:t>
            </w:r>
          </w:p>
        </w:tc>
      </w:tr>
      <w:tr>
        <w:tc>
          <w:tcPr>
            <w:tcW w:type="dxa" w:w="2880"/>
          </w:tcPr>
          <w:p>
            <w:pPr>
              <w:jc w:val="center"/>
            </w:pPr>
            <w:r>
              <w:rPr>
                <w:sz w:val="20"/>
              </w:rPr>
              <w:t>Feature Extraction</w:t>
            </w:r>
          </w:p>
        </w:tc>
        <w:tc>
          <w:tcPr>
            <w:tcW w:type="dxa" w:w="2592"/>
          </w:tcPr>
          <w:p>
            <w:pPr>
              <w:jc w:val="center"/>
            </w:pPr>
            <w:r>
              <w:rPr>
                <w:sz w:val="20"/>
              </w:rPr>
              <w:t>5,130</w:t>
            </w:r>
          </w:p>
        </w:tc>
        <w:tc>
          <w:tcPr>
            <w:tcW w:type="dxa" w:w="2304"/>
          </w:tcPr>
          <w:p>
            <w:pPr>
              <w:jc w:val="center"/>
            </w:pPr>
            <w:r>
              <w:rPr>
                <w:sz w:val="20"/>
              </w:rPr>
              <w:t>77.26%</w:t>
            </w:r>
          </w:p>
        </w:tc>
        <w:tc>
          <w:tcPr>
            <w:tcW w:type="dxa" w:w="2160"/>
          </w:tcPr>
          <w:p>
            <w:pPr>
              <w:jc w:val="center"/>
            </w:pPr>
            <w:r>
              <w:rPr>
                <w:sz w:val="20"/>
              </w:rPr>
              <w:t>+6.10 pp</w:t>
            </w:r>
          </w:p>
        </w:tc>
        <w:tc>
          <w:tcPr>
            <w:tcW w:type="dxa" w:w="1584"/>
          </w:tcPr>
          <w:p>
            <w:pPr>
              <w:jc w:val="center"/>
            </w:pPr>
            <w:r>
              <w:rPr>
                <w:sz w:val="20"/>
              </w:rPr>
              <w:t>0.0127</w:t>
            </w:r>
          </w:p>
        </w:tc>
      </w:tr>
      <w:tr>
        <w:tc>
          <w:tcPr>
            <w:tcW w:type="dxa" w:w="2880"/>
          </w:tcPr>
          <w:p>
            <w:pPr>
              <w:jc w:val="center"/>
            </w:pPr>
            <w:r>
              <w:rPr>
                <w:sz w:val="20"/>
              </w:rPr>
              <w:t>Fine-tuning</w:t>
            </w:r>
          </w:p>
        </w:tc>
        <w:tc>
          <w:tcPr>
            <w:tcW w:type="dxa" w:w="2592"/>
          </w:tcPr>
          <w:p>
            <w:pPr>
              <w:jc w:val="center"/>
            </w:pPr>
            <w:r>
              <w:rPr>
                <w:sz w:val="20"/>
              </w:rPr>
              <w:t>11,181,642</w:t>
            </w:r>
          </w:p>
        </w:tc>
        <w:tc>
          <w:tcPr>
            <w:tcW w:type="dxa" w:w="2304"/>
          </w:tcPr>
          <w:p>
            <w:pPr>
              <w:jc w:val="center"/>
            </w:pPr>
            <w:r>
              <w:rPr>
                <w:sz w:val="20"/>
              </w:rPr>
              <w:t>90.65%</w:t>
            </w:r>
          </w:p>
        </w:tc>
        <w:tc>
          <w:tcPr>
            <w:tcW w:type="dxa" w:w="2160"/>
          </w:tcPr>
          <w:p>
            <w:pPr>
              <w:jc w:val="center"/>
            </w:pPr>
            <w:r>
              <w:rPr>
                <w:sz w:val="20"/>
              </w:rPr>
              <w:t>+19.49 pp</w:t>
            </w:r>
          </w:p>
        </w:tc>
        <w:tc>
          <w:tcPr>
            <w:tcW w:type="dxa" w:w="1584"/>
          </w:tcPr>
          <w:p>
            <w:pPr>
              <w:jc w:val="center"/>
            </w:pPr>
            <w:r>
              <w:rPr>
                <w:sz w:val="20"/>
              </w:rPr>
              <w:t>0.0515</w:t>
            </w:r>
          </w:p>
        </w:tc>
      </w:tr>
    </w:tbl>
    <w:p/>
    <w:p>
      <w:pPr>
        <w:pStyle w:val="Heading2"/>
        <w:jc w:val="left"/>
      </w:pPr>
      <w:r>
        <w:t>5.2 Convergence Speed</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3168"/>
          </w:tcPr>
          <w:p>
            <w:pPr>
              <w:jc w:val="center"/>
            </w:pPr>
            <w:r>
              <w:rPr>
                <w:b/>
                <w:sz w:val="20"/>
              </w:rPr>
              <w:t>Condition</w:t>
            </w:r>
          </w:p>
        </w:tc>
        <w:tc>
          <w:tcPr>
            <w:tcW w:type="dxa" w:w="2592"/>
          </w:tcPr>
          <w:p>
            <w:pPr>
              <w:jc w:val="center"/>
            </w:pPr>
            <w:r>
              <w:rPr>
                <w:b/>
                <w:sz w:val="20"/>
              </w:rPr>
              <w:t>Epochs to 60%</w:t>
            </w:r>
          </w:p>
        </w:tc>
        <w:tc>
          <w:tcPr>
            <w:tcW w:type="dxa" w:w="2592"/>
          </w:tcPr>
          <w:p>
            <w:pPr>
              <w:jc w:val="center"/>
            </w:pPr>
            <w:r>
              <w:rPr>
                <w:b/>
                <w:sz w:val="20"/>
              </w:rPr>
              <w:t>Epochs to 70%</w:t>
            </w:r>
          </w:p>
        </w:tc>
        <w:tc>
          <w:tcPr>
            <w:tcW w:type="dxa" w:w="2592"/>
          </w:tcPr>
          <w:p>
            <w:pPr>
              <w:jc w:val="center"/>
            </w:pPr>
            <w:r>
              <w:rPr>
                <w:b/>
                <w:sz w:val="20"/>
              </w:rPr>
              <w:t>Epochs to 75%</w:t>
            </w:r>
          </w:p>
        </w:tc>
      </w:tr>
      <w:tr>
        <w:tc>
          <w:tcPr>
            <w:tcW w:type="dxa" w:w="3168"/>
          </w:tcPr>
          <w:p/>
        </w:tc>
        <w:tc>
          <w:tcPr>
            <w:tcW w:type="dxa" w:w="2592"/>
          </w:tcPr>
          <w:p/>
        </w:tc>
        <w:tc>
          <w:tcPr>
            <w:tcW w:type="dxa" w:w="2592"/>
          </w:tcPr>
          <w:p/>
        </w:tc>
        <w:tc>
          <w:tcPr>
            <w:tcW w:type="dxa" w:w="2592"/>
          </w:tcPr>
          <w:p/>
        </w:tc>
      </w:tr>
      <w:tr>
        <w:tc>
          <w:tcPr>
            <w:tcW w:type="dxa" w:w="3168"/>
          </w:tcPr>
          <w:p/>
        </w:tc>
        <w:tc>
          <w:tcPr>
            <w:tcW w:type="dxa" w:w="2592"/>
          </w:tcPr>
          <w:p/>
        </w:tc>
        <w:tc>
          <w:tcPr>
            <w:tcW w:type="dxa" w:w="2592"/>
          </w:tcPr>
          <w:p/>
        </w:tc>
        <w:tc>
          <w:tcPr>
            <w:tcW w:type="dxa" w:w="2592"/>
          </w:tcPr>
          <w:p/>
        </w:tc>
      </w:tr>
      <w:tr>
        <w:tc>
          <w:tcPr>
            <w:tcW w:type="dxa" w:w="3168"/>
          </w:tcPr>
          <w:p/>
        </w:tc>
        <w:tc>
          <w:tcPr>
            <w:tcW w:type="dxa" w:w="2592"/>
          </w:tcPr>
          <w:p/>
        </w:tc>
        <w:tc>
          <w:tcPr>
            <w:tcW w:type="dxa" w:w="2592"/>
          </w:tcPr>
          <w:p/>
        </w:tc>
        <w:tc>
          <w:tcPr>
            <w:tcW w:type="dxa" w:w="2592"/>
          </w:tcPr>
          <w:p/>
        </w:tc>
      </w:tr>
      <w:tr>
        <w:tc>
          <w:tcPr>
            <w:tcW w:type="dxa" w:w="3168"/>
          </w:tcPr>
          <w:p>
            <w:pPr>
              <w:jc w:val="center"/>
            </w:pPr>
            <w:r>
              <w:rPr>
                <w:sz w:val="20"/>
              </w:rPr>
              <w:t>From Scratch</w:t>
            </w:r>
          </w:p>
        </w:tc>
        <w:tc>
          <w:tcPr>
            <w:tcW w:type="dxa" w:w="2592"/>
          </w:tcPr>
          <w:p>
            <w:pPr>
              <w:jc w:val="center"/>
            </w:pPr>
            <w:r>
              <w:rPr>
                <w:sz w:val="20"/>
              </w:rPr>
              <w:t>11</w:t>
            </w:r>
          </w:p>
        </w:tc>
        <w:tc>
          <w:tcPr>
            <w:tcW w:type="dxa" w:w="2592"/>
          </w:tcPr>
          <w:p>
            <w:pPr>
              <w:jc w:val="center"/>
            </w:pPr>
            <w:r>
              <w:rPr>
                <w:sz w:val="20"/>
              </w:rPr>
              <w:t>27</w:t>
            </w:r>
          </w:p>
        </w:tc>
        <w:tc>
          <w:tcPr>
            <w:tcW w:type="dxa" w:w="2592"/>
          </w:tcPr>
          <w:p>
            <w:pPr>
              <w:jc w:val="center"/>
            </w:pPr>
            <w:r>
              <w:rPr>
                <w:sz w:val="20"/>
              </w:rPr>
              <w:t>&gt;30</w:t>
            </w:r>
          </w:p>
        </w:tc>
      </w:tr>
      <w:tr>
        <w:tc>
          <w:tcPr>
            <w:tcW w:type="dxa" w:w="3168"/>
          </w:tcPr>
          <w:p>
            <w:pPr>
              <w:jc w:val="center"/>
            </w:pPr>
            <w:r>
              <w:rPr>
                <w:sz w:val="20"/>
              </w:rPr>
              <w:t>Feature Extraction</w:t>
            </w:r>
          </w:p>
        </w:tc>
        <w:tc>
          <w:tcPr>
            <w:tcW w:type="dxa" w:w="2592"/>
          </w:tcPr>
          <w:p>
            <w:pPr>
              <w:jc w:val="center"/>
            </w:pPr>
            <w:r>
              <w:rPr>
                <w:sz w:val="20"/>
              </w:rPr>
              <w:t>1</w:t>
            </w:r>
          </w:p>
        </w:tc>
        <w:tc>
          <w:tcPr>
            <w:tcW w:type="dxa" w:w="2592"/>
          </w:tcPr>
          <w:p>
            <w:pPr>
              <w:jc w:val="center"/>
            </w:pPr>
            <w:r>
              <w:rPr>
                <w:sz w:val="20"/>
              </w:rPr>
              <w:t>1</w:t>
            </w:r>
          </w:p>
        </w:tc>
        <w:tc>
          <w:tcPr>
            <w:tcW w:type="dxa" w:w="2592"/>
          </w:tcPr>
          <w:p>
            <w:pPr>
              <w:jc w:val="center"/>
            </w:pPr>
            <w:r>
              <w:rPr>
                <w:sz w:val="20"/>
              </w:rPr>
              <w:t>4</w:t>
            </w:r>
          </w:p>
        </w:tc>
      </w:tr>
      <w:tr>
        <w:tc>
          <w:tcPr>
            <w:tcW w:type="dxa" w:w="3168"/>
          </w:tcPr>
          <w:p>
            <w:pPr>
              <w:jc w:val="center"/>
            </w:pPr>
            <w:r>
              <w:rPr>
                <w:sz w:val="20"/>
              </w:rPr>
              <w:t>Fine-tuning</w:t>
            </w:r>
          </w:p>
        </w:tc>
        <w:tc>
          <w:tcPr>
            <w:tcW w:type="dxa" w:w="2592"/>
          </w:tcPr>
          <w:p>
            <w:pPr>
              <w:jc w:val="center"/>
            </w:pPr>
            <w:r>
              <w:rPr>
                <w:sz w:val="20"/>
              </w:rPr>
              <w:t>1</w:t>
            </w:r>
          </w:p>
        </w:tc>
        <w:tc>
          <w:tcPr>
            <w:tcW w:type="dxa" w:w="2592"/>
          </w:tcPr>
          <w:p>
            <w:pPr>
              <w:jc w:val="center"/>
            </w:pPr>
            <w:r>
              <w:rPr>
                <w:sz w:val="20"/>
              </w:rPr>
              <w:t>1</w:t>
            </w:r>
          </w:p>
        </w:tc>
        <w:tc>
          <w:tcPr>
            <w:tcW w:type="dxa" w:w="2592"/>
          </w:tcPr>
          <w:p>
            <w:pPr>
              <w:jc w:val="center"/>
            </w:pPr>
            <w:r>
              <w:rPr>
                <w:sz w:val="20"/>
              </w:rPr>
              <w:t>1</w:t>
            </w:r>
          </w:p>
        </w:tc>
      </w:tr>
    </w:tbl>
    <w:p/>
    <w:p>
      <w:pPr>
        <w:pStyle w:val="Heading2"/>
        <w:jc w:val="left"/>
      </w:pPr>
      <w:r>
        <w:t>5.3 Per-class Accuracy</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592"/>
          </w:tcPr>
          <w:p>
            <w:pPr>
              <w:jc w:val="center"/>
            </w:pPr>
            <w:r>
              <w:rPr>
                <w:b/>
                <w:sz w:val="20"/>
              </w:rPr>
              <w:t>Class</w:t>
            </w:r>
          </w:p>
        </w:tc>
        <w:tc>
          <w:tcPr>
            <w:tcW w:type="dxa" w:w="2304"/>
          </w:tcPr>
          <w:p>
            <w:pPr>
              <w:jc w:val="center"/>
            </w:pPr>
            <w:r>
              <w:rPr>
                <w:b/>
                <w:sz w:val="20"/>
              </w:rPr>
              <w:t>Scratch</w:t>
            </w:r>
          </w:p>
        </w:tc>
        <w:tc>
          <w:tcPr>
            <w:tcW w:type="dxa" w:w="3024"/>
          </w:tcPr>
          <w:p>
            <w:pPr>
              <w:jc w:val="center"/>
            </w:pPr>
            <w:r>
              <w:rPr>
                <w:b/>
                <w:sz w:val="20"/>
              </w:rPr>
              <w:t>Feature Extraction</w:t>
            </w:r>
          </w:p>
        </w:tc>
        <w:tc>
          <w:tcPr>
            <w:tcW w:type="dxa" w:w="2304"/>
          </w:tcPr>
          <w:p>
            <w:pPr>
              <w:jc w:val="center"/>
            </w:pPr>
            <w:r>
              <w:rPr>
                <w:b/>
                <w:sz w:val="20"/>
              </w:rPr>
              <w:t>Fine-tuning</w:t>
            </w: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tc>
        <w:tc>
          <w:tcPr>
            <w:tcW w:type="dxa" w:w="2304"/>
          </w:tcPr>
          <w:p/>
        </w:tc>
        <w:tc>
          <w:tcPr>
            <w:tcW w:type="dxa" w:w="3024"/>
          </w:tcPr>
          <w:p/>
        </w:tc>
        <w:tc>
          <w:tcPr>
            <w:tcW w:type="dxa" w:w="2304"/>
          </w:tcPr>
          <w:p/>
        </w:tc>
      </w:tr>
      <w:tr>
        <w:tc>
          <w:tcPr>
            <w:tcW w:type="dxa" w:w="2592"/>
          </w:tcPr>
          <w:p>
            <w:pPr>
              <w:jc w:val="center"/>
            </w:pPr>
            <w:r>
              <w:rPr>
                <w:sz w:val="20"/>
              </w:rPr>
              <w:t>airplane</w:t>
            </w:r>
          </w:p>
        </w:tc>
        <w:tc>
          <w:tcPr>
            <w:tcW w:type="dxa" w:w="2304"/>
          </w:tcPr>
          <w:p>
            <w:pPr>
              <w:jc w:val="center"/>
            </w:pPr>
            <w:r>
              <w:rPr>
                <w:sz w:val="20"/>
              </w:rPr>
              <w:t>82.8%</w:t>
            </w:r>
          </w:p>
        </w:tc>
        <w:tc>
          <w:tcPr>
            <w:tcW w:type="dxa" w:w="3024"/>
          </w:tcPr>
          <w:p>
            <w:pPr>
              <w:jc w:val="center"/>
            </w:pPr>
            <w:r>
              <w:rPr>
                <w:sz w:val="20"/>
              </w:rPr>
              <w:t>83.5%</w:t>
            </w:r>
          </w:p>
        </w:tc>
        <w:tc>
          <w:tcPr>
            <w:tcW w:type="dxa" w:w="2304"/>
          </w:tcPr>
          <w:p>
            <w:pPr>
              <w:jc w:val="center"/>
            </w:pPr>
            <w:r>
              <w:rPr>
                <w:sz w:val="20"/>
              </w:rPr>
              <w:t>94.2%</w:t>
            </w:r>
          </w:p>
        </w:tc>
      </w:tr>
      <w:tr>
        <w:tc>
          <w:tcPr>
            <w:tcW w:type="dxa" w:w="2592"/>
          </w:tcPr>
          <w:p>
            <w:pPr>
              <w:jc w:val="center"/>
            </w:pPr>
            <w:r>
              <w:rPr>
                <w:sz w:val="20"/>
              </w:rPr>
              <w:t>bird</w:t>
            </w:r>
          </w:p>
        </w:tc>
        <w:tc>
          <w:tcPr>
            <w:tcW w:type="dxa" w:w="2304"/>
          </w:tcPr>
          <w:p>
            <w:pPr>
              <w:jc w:val="center"/>
            </w:pPr>
            <w:r>
              <w:rPr>
                <w:sz w:val="20"/>
              </w:rPr>
              <w:t>71.4%</w:t>
            </w:r>
          </w:p>
        </w:tc>
        <w:tc>
          <w:tcPr>
            <w:tcW w:type="dxa" w:w="3024"/>
          </w:tcPr>
          <w:p>
            <w:pPr>
              <w:jc w:val="center"/>
            </w:pPr>
            <w:r>
              <w:rPr>
                <w:sz w:val="20"/>
              </w:rPr>
              <w:t>79.1%</w:t>
            </w:r>
          </w:p>
        </w:tc>
        <w:tc>
          <w:tcPr>
            <w:tcW w:type="dxa" w:w="2304"/>
          </w:tcPr>
          <w:p>
            <w:pPr>
              <w:jc w:val="center"/>
            </w:pPr>
            <w:r>
              <w:rPr>
                <w:sz w:val="20"/>
              </w:rPr>
              <w:t>94.8%</w:t>
            </w:r>
          </w:p>
        </w:tc>
      </w:tr>
      <w:tr>
        <w:tc>
          <w:tcPr>
            <w:tcW w:type="dxa" w:w="2592"/>
          </w:tcPr>
          <w:p>
            <w:pPr>
              <w:jc w:val="center"/>
            </w:pPr>
            <w:r>
              <w:rPr>
                <w:sz w:val="20"/>
              </w:rPr>
              <w:t>car</w:t>
            </w:r>
          </w:p>
        </w:tc>
        <w:tc>
          <w:tcPr>
            <w:tcW w:type="dxa" w:w="2304"/>
          </w:tcPr>
          <w:p>
            <w:pPr>
              <w:jc w:val="center"/>
            </w:pPr>
            <w:r>
              <w:rPr>
                <w:sz w:val="20"/>
              </w:rPr>
              <w:t>77.6%</w:t>
            </w:r>
          </w:p>
        </w:tc>
        <w:tc>
          <w:tcPr>
            <w:tcW w:type="dxa" w:w="3024"/>
          </w:tcPr>
          <w:p>
            <w:pPr>
              <w:jc w:val="center"/>
            </w:pPr>
            <w:r>
              <w:rPr>
                <w:sz w:val="20"/>
              </w:rPr>
              <w:t>89.2%</w:t>
            </w:r>
          </w:p>
        </w:tc>
        <w:tc>
          <w:tcPr>
            <w:tcW w:type="dxa" w:w="2304"/>
          </w:tcPr>
          <w:p>
            <w:pPr>
              <w:jc w:val="center"/>
            </w:pPr>
            <w:r>
              <w:rPr>
                <w:sz w:val="20"/>
              </w:rPr>
              <w:t>93.1%</w:t>
            </w:r>
          </w:p>
        </w:tc>
      </w:tr>
      <w:tr>
        <w:tc>
          <w:tcPr>
            <w:tcW w:type="dxa" w:w="2592"/>
          </w:tcPr>
          <w:p>
            <w:pPr>
              <w:jc w:val="center"/>
            </w:pPr>
            <w:r>
              <w:rPr>
                <w:sz w:val="20"/>
              </w:rPr>
              <w:t>cat</w:t>
            </w:r>
          </w:p>
        </w:tc>
        <w:tc>
          <w:tcPr>
            <w:tcW w:type="dxa" w:w="2304"/>
          </w:tcPr>
          <w:p>
            <w:pPr>
              <w:jc w:val="center"/>
            </w:pPr>
            <w:r>
              <w:rPr>
                <w:sz w:val="20"/>
              </w:rPr>
              <w:t>54.4%</w:t>
            </w:r>
          </w:p>
        </w:tc>
        <w:tc>
          <w:tcPr>
            <w:tcW w:type="dxa" w:w="3024"/>
          </w:tcPr>
          <w:p>
            <w:pPr>
              <w:jc w:val="center"/>
            </w:pPr>
            <w:r>
              <w:rPr>
                <w:sz w:val="20"/>
              </w:rPr>
              <w:t>62.0%</w:t>
            </w:r>
          </w:p>
        </w:tc>
        <w:tc>
          <w:tcPr>
            <w:tcW w:type="dxa" w:w="2304"/>
          </w:tcPr>
          <w:p>
            <w:pPr>
              <w:jc w:val="center"/>
            </w:pPr>
            <w:r>
              <w:rPr>
                <w:sz w:val="20"/>
              </w:rPr>
              <w:t>82.2%</w:t>
            </w:r>
          </w:p>
        </w:tc>
      </w:tr>
      <w:tr>
        <w:tc>
          <w:tcPr>
            <w:tcW w:type="dxa" w:w="2592"/>
          </w:tcPr>
          <w:p>
            <w:pPr>
              <w:jc w:val="center"/>
            </w:pPr>
            <w:r>
              <w:rPr>
                <w:sz w:val="20"/>
              </w:rPr>
              <w:t>deer</w:t>
            </w:r>
          </w:p>
        </w:tc>
        <w:tc>
          <w:tcPr>
            <w:tcW w:type="dxa" w:w="2304"/>
          </w:tcPr>
          <w:p>
            <w:pPr>
              <w:jc w:val="center"/>
            </w:pPr>
            <w:r>
              <w:rPr>
                <w:sz w:val="20"/>
              </w:rPr>
              <w:t>62.5%</w:t>
            </w:r>
          </w:p>
        </w:tc>
        <w:tc>
          <w:tcPr>
            <w:tcW w:type="dxa" w:w="3024"/>
          </w:tcPr>
          <w:p>
            <w:pPr>
              <w:jc w:val="center"/>
            </w:pPr>
            <w:r>
              <w:rPr>
                <w:sz w:val="20"/>
              </w:rPr>
              <w:t>75.8%</w:t>
            </w:r>
          </w:p>
        </w:tc>
        <w:tc>
          <w:tcPr>
            <w:tcW w:type="dxa" w:w="2304"/>
          </w:tcPr>
          <w:p>
            <w:pPr>
              <w:jc w:val="center"/>
            </w:pPr>
            <w:r>
              <w:rPr>
                <w:sz w:val="20"/>
              </w:rPr>
              <w:t>88.9%</w:t>
            </w:r>
          </w:p>
        </w:tc>
      </w:tr>
      <w:tr>
        <w:tc>
          <w:tcPr>
            <w:tcW w:type="dxa" w:w="2592"/>
          </w:tcPr>
          <w:p>
            <w:pPr>
              <w:jc w:val="center"/>
            </w:pPr>
            <w:r>
              <w:rPr>
                <w:sz w:val="20"/>
              </w:rPr>
              <w:t>dog</w:t>
            </w:r>
          </w:p>
        </w:tc>
        <w:tc>
          <w:tcPr>
            <w:tcW w:type="dxa" w:w="2304"/>
          </w:tcPr>
          <w:p>
            <w:pPr>
              <w:jc w:val="center"/>
            </w:pPr>
            <w:r>
              <w:rPr>
                <w:sz w:val="20"/>
              </w:rPr>
              <w:t>57.2%</w:t>
            </w:r>
          </w:p>
        </w:tc>
        <w:tc>
          <w:tcPr>
            <w:tcW w:type="dxa" w:w="3024"/>
          </w:tcPr>
          <w:p>
            <w:pPr>
              <w:jc w:val="center"/>
            </w:pPr>
            <w:r>
              <w:rPr>
                <w:sz w:val="20"/>
              </w:rPr>
              <w:t>72.1%</w:t>
            </w:r>
          </w:p>
        </w:tc>
        <w:tc>
          <w:tcPr>
            <w:tcW w:type="dxa" w:w="2304"/>
          </w:tcPr>
          <w:p>
            <w:pPr>
              <w:jc w:val="center"/>
            </w:pPr>
            <w:r>
              <w:rPr>
                <w:sz w:val="20"/>
              </w:rPr>
              <w:t>86.1%</w:t>
            </w:r>
          </w:p>
        </w:tc>
      </w:tr>
      <w:tr>
        <w:tc>
          <w:tcPr>
            <w:tcW w:type="dxa" w:w="2592"/>
          </w:tcPr>
          <w:p>
            <w:pPr>
              <w:jc w:val="center"/>
            </w:pPr>
            <w:r>
              <w:rPr>
                <w:sz w:val="20"/>
              </w:rPr>
              <w:t>horse</w:t>
            </w:r>
          </w:p>
        </w:tc>
        <w:tc>
          <w:tcPr>
            <w:tcW w:type="dxa" w:w="2304"/>
          </w:tcPr>
          <w:p>
            <w:pPr>
              <w:jc w:val="center"/>
            </w:pPr>
            <w:r>
              <w:rPr>
                <w:sz w:val="20"/>
              </w:rPr>
              <w:t>74.2%</w:t>
            </w:r>
          </w:p>
        </w:tc>
        <w:tc>
          <w:tcPr>
            <w:tcW w:type="dxa" w:w="3024"/>
          </w:tcPr>
          <w:p>
            <w:pPr>
              <w:jc w:val="center"/>
            </w:pPr>
            <w:r>
              <w:rPr>
                <w:sz w:val="20"/>
              </w:rPr>
              <w:t>76.5%</w:t>
            </w:r>
          </w:p>
        </w:tc>
        <w:tc>
          <w:tcPr>
            <w:tcW w:type="dxa" w:w="2304"/>
          </w:tcPr>
          <w:p>
            <w:pPr>
              <w:jc w:val="center"/>
            </w:pPr>
            <w:r>
              <w:rPr>
                <w:sz w:val="20"/>
              </w:rPr>
              <w:t>90.5%</w:t>
            </w:r>
          </w:p>
        </w:tc>
      </w:tr>
      <w:tr>
        <w:tc>
          <w:tcPr>
            <w:tcW w:type="dxa" w:w="2592"/>
          </w:tcPr>
          <w:p>
            <w:pPr>
              <w:jc w:val="center"/>
            </w:pPr>
            <w:r>
              <w:rPr>
                <w:sz w:val="20"/>
              </w:rPr>
              <w:t>monkey</w:t>
            </w:r>
          </w:p>
        </w:tc>
        <w:tc>
          <w:tcPr>
            <w:tcW w:type="dxa" w:w="2304"/>
          </w:tcPr>
          <w:p>
            <w:pPr>
              <w:jc w:val="center"/>
            </w:pPr>
            <w:r>
              <w:rPr>
                <w:sz w:val="20"/>
              </w:rPr>
              <w:t>70.5%</w:t>
            </w:r>
          </w:p>
        </w:tc>
        <w:tc>
          <w:tcPr>
            <w:tcW w:type="dxa" w:w="3024"/>
          </w:tcPr>
          <w:p>
            <w:pPr>
              <w:jc w:val="center"/>
            </w:pPr>
            <w:r>
              <w:rPr>
                <w:sz w:val="20"/>
              </w:rPr>
              <w:t>76.1%</w:t>
            </w:r>
          </w:p>
        </w:tc>
        <w:tc>
          <w:tcPr>
            <w:tcW w:type="dxa" w:w="2304"/>
          </w:tcPr>
          <w:p>
            <w:pPr>
              <w:jc w:val="center"/>
            </w:pPr>
            <w:r>
              <w:rPr>
                <w:sz w:val="20"/>
              </w:rPr>
              <w:t>91.2%</w:t>
            </w:r>
          </w:p>
        </w:tc>
      </w:tr>
      <w:tr>
        <w:tc>
          <w:tcPr>
            <w:tcW w:type="dxa" w:w="2592"/>
          </w:tcPr>
          <w:p>
            <w:pPr>
              <w:jc w:val="center"/>
            </w:pPr>
            <w:r>
              <w:rPr>
                <w:sz w:val="20"/>
              </w:rPr>
              <w:t>ship</w:t>
            </w:r>
          </w:p>
        </w:tc>
        <w:tc>
          <w:tcPr>
            <w:tcW w:type="dxa" w:w="2304"/>
          </w:tcPr>
          <w:p>
            <w:pPr>
              <w:jc w:val="center"/>
            </w:pPr>
            <w:r>
              <w:rPr>
                <w:sz w:val="20"/>
              </w:rPr>
              <w:t>85.1%</w:t>
            </w:r>
          </w:p>
        </w:tc>
        <w:tc>
          <w:tcPr>
            <w:tcW w:type="dxa" w:w="3024"/>
          </w:tcPr>
          <w:p>
            <w:pPr>
              <w:jc w:val="center"/>
            </w:pPr>
            <w:r>
              <w:rPr>
                <w:sz w:val="20"/>
              </w:rPr>
              <w:t>82.6%</w:t>
            </w:r>
          </w:p>
        </w:tc>
        <w:tc>
          <w:tcPr>
            <w:tcW w:type="dxa" w:w="2304"/>
          </w:tcPr>
          <w:p>
            <w:pPr>
              <w:jc w:val="center"/>
            </w:pPr>
            <w:r>
              <w:rPr>
                <w:sz w:val="20"/>
              </w:rPr>
              <w:t>95.8%</w:t>
            </w:r>
          </w:p>
        </w:tc>
      </w:tr>
      <w:tr>
        <w:tc>
          <w:tcPr>
            <w:tcW w:type="dxa" w:w="2592"/>
          </w:tcPr>
          <w:p>
            <w:pPr>
              <w:jc w:val="center"/>
            </w:pPr>
            <w:r>
              <w:rPr>
                <w:sz w:val="20"/>
              </w:rPr>
              <w:t>truck</w:t>
            </w:r>
          </w:p>
        </w:tc>
        <w:tc>
          <w:tcPr>
            <w:tcW w:type="dxa" w:w="2304"/>
          </w:tcPr>
          <w:p>
            <w:pPr>
              <w:jc w:val="center"/>
            </w:pPr>
            <w:r>
              <w:rPr>
                <w:sz w:val="20"/>
              </w:rPr>
              <w:t>75.9%</w:t>
            </w:r>
          </w:p>
        </w:tc>
        <w:tc>
          <w:tcPr>
            <w:tcW w:type="dxa" w:w="3024"/>
          </w:tcPr>
          <w:p>
            <w:pPr>
              <w:jc w:val="center"/>
            </w:pPr>
            <w:r>
              <w:rPr>
                <w:sz w:val="20"/>
              </w:rPr>
              <w:t>75.6%</w:t>
            </w:r>
          </w:p>
        </w:tc>
        <w:tc>
          <w:tcPr>
            <w:tcW w:type="dxa" w:w="2304"/>
          </w:tcPr>
          <w:p>
            <w:pPr>
              <w:jc w:val="center"/>
            </w:pPr>
            <w:r>
              <w:rPr>
                <w:sz w:val="20"/>
              </w:rPr>
              <w:t>89.6%</w:t>
            </w:r>
          </w:p>
        </w:tc>
      </w:tr>
    </w:tbl>
    <w:p>
      <w:pPr>
        <w:pStyle w:val="Heading1"/>
        <w:jc w:val="left"/>
      </w:pPr>
      <w:r>
        <w:t>6. Visualizations</w:t>
      </w:r>
    </w:p>
    <w:p>
      <w:pPr>
        <w:pStyle w:val="Heading2"/>
        <w:jc w:val="left"/>
      </w:pPr>
      <w:r>
        <w:t>6.1 Learning Curves</w:t>
      </w:r>
    </w:p>
    <w:p>
      <w:pPr>
        <w:jc w:val="center"/>
      </w:pPr>
      <w:r>
        <w:drawing>
          <wp:inline xmlns:a="http://schemas.openxmlformats.org/drawingml/2006/main" xmlns:pic="http://schemas.openxmlformats.org/drawingml/2006/picture">
            <wp:extent cx="5303520" cy="1883208"/>
            <wp:docPr id="2" name="Picture 2"/>
            <wp:cNvGraphicFramePr>
              <a:graphicFrameLocks noChangeAspect="1"/>
            </wp:cNvGraphicFramePr>
            <a:graphic>
              <a:graphicData uri="http://schemas.openxmlformats.org/drawingml/2006/picture">
                <pic:pic>
                  <pic:nvPicPr>
                    <pic:cNvPr id="0" name="tl_learning_curves.png"/>
                    <pic:cNvPicPr/>
                  </pic:nvPicPr>
                  <pic:blipFill>
                    <a:blip r:embed="rId10"/>
                    <a:stretch>
                      <a:fillRect/>
                    </a:stretch>
                  </pic:blipFill>
                  <pic:spPr>
                    <a:xfrm>
                      <a:off x="0" y="0"/>
                      <a:ext cx="5303520" cy="1883208"/>
                    </a:xfrm>
                    <a:prstGeom prst="rect"/>
                  </pic:spPr>
                </pic:pic>
              </a:graphicData>
            </a:graphic>
          </wp:inline>
        </w:drawing>
      </w:r>
    </w:p>
    <w:p>
      <w:pPr>
        <w:jc w:val="center"/>
      </w:pPr>
      <w:r>
        <w:rPr>
          <w:i/>
          <w:sz w:val="20"/>
        </w:rPr>
        <w:t>Figure 2: Validation accuracy (left) and training loss (right) over 30 epochs.</w:t>
      </w:r>
    </w:p>
    <w:p/>
    <w:p>
      <w:pPr>
        <w:pStyle w:val="Heading2"/>
        <w:jc w:val="left"/>
      </w:pPr>
      <w:r>
        <w:t>6.2 Final Accuracy Comparison</w:t>
      </w:r>
    </w:p>
    <w:p>
      <w:pPr>
        <w:jc w:val="center"/>
      </w:pPr>
      <w:r>
        <w:drawing>
          <wp:inline xmlns:a="http://schemas.openxmlformats.org/drawingml/2006/main" xmlns:pic="http://schemas.openxmlformats.org/drawingml/2006/picture">
            <wp:extent cx="4572000" cy="2811162"/>
            <wp:docPr id="3" name="Picture 3"/>
            <wp:cNvGraphicFramePr>
              <a:graphicFrameLocks noChangeAspect="1"/>
            </wp:cNvGraphicFramePr>
            <a:graphic>
              <a:graphicData uri="http://schemas.openxmlformats.org/drawingml/2006/picture">
                <pic:pic>
                  <pic:nvPicPr>
                    <pic:cNvPr id="0" name="tl_comparison_bar.png"/>
                    <pic:cNvPicPr/>
                  </pic:nvPicPr>
                  <pic:blipFill>
                    <a:blip r:embed="rId11"/>
                    <a:stretch>
                      <a:fillRect/>
                    </a:stretch>
                  </pic:blipFill>
                  <pic:spPr>
                    <a:xfrm>
                      <a:off x="0" y="0"/>
                      <a:ext cx="4572000" cy="2811162"/>
                    </a:xfrm>
                    <a:prstGeom prst="rect"/>
                  </pic:spPr>
                </pic:pic>
              </a:graphicData>
            </a:graphic>
          </wp:inline>
        </w:drawing>
      </w:r>
    </w:p>
    <w:p>
      <w:pPr>
        <w:jc w:val="center"/>
      </w:pPr>
      <w:r>
        <w:rPr>
          <w:i/>
          <w:sz w:val="20"/>
        </w:rPr>
        <w:t>Figure 3: Best test accuracy for each training strategy.</w:t>
      </w:r>
    </w:p>
    <w:p/>
    <w:p>
      <w:pPr>
        <w:pStyle w:val="Heading2"/>
        <w:jc w:val="left"/>
      </w:pPr>
      <w:r>
        <w:t>6.3 Convergence Speed — First 10 Epochs</w:t>
      </w:r>
    </w:p>
    <w:p>
      <w:pPr>
        <w:jc w:val="center"/>
      </w:pPr>
      <w:r>
        <w:drawing>
          <wp:inline xmlns:a="http://schemas.openxmlformats.org/drawingml/2006/main" xmlns:pic="http://schemas.openxmlformats.org/drawingml/2006/picture">
            <wp:extent cx="5029200" cy="2463766"/>
            <wp:docPr id="4" name="Picture 4"/>
            <wp:cNvGraphicFramePr>
              <a:graphicFrameLocks noChangeAspect="1"/>
            </wp:cNvGraphicFramePr>
            <a:graphic>
              <a:graphicData uri="http://schemas.openxmlformats.org/drawingml/2006/picture">
                <pic:pic>
                  <pic:nvPicPr>
                    <pic:cNvPr id="0" name="tl_early_convergence.png"/>
                    <pic:cNvPicPr/>
                  </pic:nvPicPr>
                  <pic:blipFill>
                    <a:blip r:embed="rId12"/>
                    <a:stretch>
                      <a:fillRect/>
                    </a:stretch>
                  </pic:blipFill>
                  <pic:spPr>
                    <a:xfrm>
                      <a:off x="0" y="0"/>
                      <a:ext cx="5029200" cy="2463766"/>
                    </a:xfrm>
                    <a:prstGeom prst="rect"/>
                  </pic:spPr>
                </pic:pic>
              </a:graphicData>
            </a:graphic>
          </wp:inline>
        </w:drawing>
      </w:r>
    </w:p>
    <w:p>
      <w:pPr>
        <w:jc w:val="center"/>
      </w:pPr>
      <w:r>
        <w:rPr>
          <w:i/>
          <w:sz w:val="20"/>
        </w:rPr>
        <w:t>Figure 4: Validation accuracy in the first 10 epochs. Fine-tuning immediately achieves high accuracy; scratch training starts near chance level.</w:t>
      </w:r>
    </w:p>
    <w:p/>
    <w:p>
      <w:pPr>
        <w:pStyle w:val="Heading2"/>
        <w:jc w:val="left"/>
      </w:pPr>
      <w:r>
        <w:t>6.4 Overfitting Analysis</w:t>
      </w:r>
    </w:p>
    <w:p>
      <w:pPr>
        <w:jc w:val="center"/>
      </w:pPr>
      <w:r>
        <w:drawing>
          <wp:inline xmlns:a="http://schemas.openxmlformats.org/drawingml/2006/main" xmlns:pic="http://schemas.openxmlformats.org/drawingml/2006/picture">
            <wp:extent cx="5486400" cy="1456327"/>
            <wp:docPr id="5" name="Picture 5"/>
            <wp:cNvGraphicFramePr>
              <a:graphicFrameLocks noChangeAspect="1"/>
            </wp:cNvGraphicFramePr>
            <a:graphic>
              <a:graphicData uri="http://schemas.openxmlformats.org/drawingml/2006/picture">
                <pic:pic>
                  <pic:nvPicPr>
                    <pic:cNvPr id="0" name="tl_overfit_check.png"/>
                    <pic:cNvPicPr/>
                  </pic:nvPicPr>
                  <pic:blipFill>
                    <a:blip r:embed="rId13"/>
                    <a:stretch>
                      <a:fillRect/>
                    </a:stretch>
                  </pic:blipFill>
                  <pic:spPr>
                    <a:xfrm>
                      <a:off x="0" y="0"/>
                      <a:ext cx="5486400" cy="1456327"/>
                    </a:xfrm>
                    <a:prstGeom prst="rect"/>
                  </pic:spPr>
                </pic:pic>
              </a:graphicData>
            </a:graphic>
          </wp:inline>
        </w:drawing>
      </w:r>
    </w:p>
    <w:p>
      <w:pPr>
        <w:jc w:val="center"/>
      </w:pPr>
      <w:r>
        <w:rPr>
          <w:i/>
          <w:sz w:val="20"/>
        </w:rPr>
        <w:t>Figure 5: Training vs validation accuracy per condition. Feature Extraction has the smallest generalisation gap; Fine-tuning shows larger gap due to full model capacity on small data.</w:t>
      </w:r>
    </w:p>
    <w:p/>
    <w:p>
      <w:pPr>
        <w:pStyle w:val="Heading2"/>
        <w:jc w:val="left"/>
      </w:pPr>
      <w:r>
        <w:t>6.5 Confusion Matrices (Best Weights)</w:t>
      </w:r>
    </w:p>
    <w:p>
      <w:pPr>
        <w:jc w:val="center"/>
      </w:pPr>
      <w:r>
        <w:drawing>
          <wp:inline xmlns:a="http://schemas.openxmlformats.org/drawingml/2006/main" xmlns:pic="http://schemas.openxmlformats.org/drawingml/2006/picture">
            <wp:extent cx="4754880" cy="4411567"/>
            <wp:docPr id="6" name="Picture 6"/>
            <wp:cNvGraphicFramePr>
              <a:graphicFrameLocks noChangeAspect="1"/>
            </wp:cNvGraphicFramePr>
            <a:graphic>
              <a:graphicData uri="http://schemas.openxmlformats.org/drawingml/2006/picture">
                <pic:pic>
                  <pic:nvPicPr>
                    <pic:cNvPr id="0" name="tl_cm_scratch.png"/>
                    <pic:cNvPicPr/>
                  </pic:nvPicPr>
                  <pic:blipFill>
                    <a:blip r:embed="rId14"/>
                    <a:stretch>
                      <a:fillRect/>
                    </a:stretch>
                  </pic:blipFill>
                  <pic:spPr>
                    <a:xfrm>
                      <a:off x="0" y="0"/>
                      <a:ext cx="4754880" cy="4411567"/>
                    </a:xfrm>
                    <a:prstGeom prst="rect"/>
                  </pic:spPr>
                </pic:pic>
              </a:graphicData>
            </a:graphic>
          </wp:inline>
        </w:drawing>
      </w:r>
    </w:p>
    <w:p>
      <w:pPr>
        <w:jc w:val="center"/>
      </w:pPr>
      <w:r>
        <w:rPr>
          <w:i/>
          <w:sz w:val="20"/>
        </w:rPr>
        <w:t>Figure: Confusion matrix — From Scratch (best class: 85.1%, hardest class: cat 54.4%)</w:t>
      </w:r>
    </w:p>
    <w:p/>
    <w:p>
      <w:pPr>
        <w:jc w:val="center"/>
      </w:pPr>
      <w:r>
        <w:drawing>
          <wp:inline xmlns:a="http://schemas.openxmlformats.org/drawingml/2006/main" xmlns:pic="http://schemas.openxmlformats.org/drawingml/2006/picture">
            <wp:extent cx="4754880" cy="4411567"/>
            <wp:docPr id="7" name="Picture 7"/>
            <wp:cNvGraphicFramePr>
              <a:graphicFrameLocks noChangeAspect="1"/>
            </wp:cNvGraphicFramePr>
            <a:graphic>
              <a:graphicData uri="http://schemas.openxmlformats.org/drawingml/2006/picture">
                <pic:pic>
                  <pic:nvPicPr>
                    <pic:cNvPr id="0" name="tl_cm_feature_extract.png"/>
                    <pic:cNvPicPr/>
                  </pic:nvPicPr>
                  <pic:blipFill>
                    <a:blip r:embed="rId15"/>
                    <a:stretch>
                      <a:fillRect/>
                    </a:stretch>
                  </pic:blipFill>
                  <pic:spPr>
                    <a:xfrm>
                      <a:off x="0" y="0"/>
                      <a:ext cx="4754880" cy="4411567"/>
                    </a:xfrm>
                    <a:prstGeom prst="rect"/>
                  </pic:spPr>
                </pic:pic>
              </a:graphicData>
            </a:graphic>
          </wp:inline>
        </w:drawing>
      </w:r>
    </w:p>
    <w:p>
      <w:pPr>
        <w:jc w:val="center"/>
      </w:pPr>
      <w:r>
        <w:rPr>
          <w:i/>
          <w:sz w:val="20"/>
        </w:rPr>
        <w:t>Figure: Confusion matrix — Feature Extraction (best class: 89.2%, hardest class: cat 62.0%)</w:t>
      </w:r>
    </w:p>
    <w:p/>
    <w:p>
      <w:pPr>
        <w:jc w:val="center"/>
      </w:pPr>
      <w:r>
        <w:drawing>
          <wp:inline xmlns:a="http://schemas.openxmlformats.org/drawingml/2006/main" xmlns:pic="http://schemas.openxmlformats.org/drawingml/2006/picture">
            <wp:extent cx="4754880" cy="4411567"/>
            <wp:docPr id="8" name="Picture 8"/>
            <wp:cNvGraphicFramePr>
              <a:graphicFrameLocks noChangeAspect="1"/>
            </wp:cNvGraphicFramePr>
            <a:graphic>
              <a:graphicData uri="http://schemas.openxmlformats.org/drawingml/2006/picture">
                <pic:pic>
                  <pic:nvPicPr>
                    <pic:cNvPr id="0" name="tl_cm_finetune.png"/>
                    <pic:cNvPicPr/>
                  </pic:nvPicPr>
                  <pic:blipFill>
                    <a:blip r:embed="rId16"/>
                    <a:stretch>
                      <a:fillRect/>
                    </a:stretch>
                  </pic:blipFill>
                  <pic:spPr>
                    <a:xfrm>
                      <a:off x="0" y="0"/>
                      <a:ext cx="4754880" cy="4411567"/>
                    </a:xfrm>
                    <a:prstGeom prst="rect"/>
                  </pic:spPr>
                </pic:pic>
              </a:graphicData>
            </a:graphic>
          </wp:inline>
        </w:drawing>
      </w:r>
    </w:p>
    <w:p>
      <w:pPr>
        <w:jc w:val="center"/>
      </w:pPr>
      <w:r>
        <w:rPr>
          <w:i/>
          <w:sz w:val="20"/>
        </w:rPr>
        <w:t>Figure: Confusion matrix — Fine-tuning (best class: 95.8%, hardest class: cat 82.2%)</w:t>
      </w:r>
    </w:p>
    <w:p/>
    <w:p>
      <w:pPr>
        <w:pStyle w:val="Heading2"/>
        <w:jc w:val="left"/>
      </w:pPr>
      <w:r>
        <w:t>6.6 Per-class Accuracy</w:t>
      </w:r>
    </w:p>
    <w:p>
      <w:pPr>
        <w:jc w:val="center"/>
      </w:pPr>
      <w:r>
        <w:drawing>
          <wp:inline xmlns:a="http://schemas.openxmlformats.org/drawingml/2006/main" xmlns:pic="http://schemas.openxmlformats.org/drawingml/2006/picture">
            <wp:extent cx="5486400" cy="2238845"/>
            <wp:docPr id="9" name="Picture 9"/>
            <wp:cNvGraphicFramePr>
              <a:graphicFrameLocks noChangeAspect="1"/>
            </wp:cNvGraphicFramePr>
            <a:graphic>
              <a:graphicData uri="http://schemas.openxmlformats.org/drawingml/2006/picture">
                <pic:pic>
                  <pic:nvPicPr>
                    <pic:cNvPr id="0" name="tl_per_class_acc.png"/>
                    <pic:cNvPicPr/>
                  </pic:nvPicPr>
                  <pic:blipFill>
                    <a:blip r:embed="rId17"/>
                    <a:stretch>
                      <a:fillRect/>
                    </a:stretch>
                  </pic:blipFill>
                  <pic:spPr>
                    <a:xfrm>
                      <a:off x="0" y="0"/>
                      <a:ext cx="5486400" cy="2238845"/>
                    </a:xfrm>
                    <a:prstGeom prst="rect"/>
                  </pic:spPr>
                </pic:pic>
              </a:graphicData>
            </a:graphic>
          </wp:inline>
        </w:drawing>
      </w:r>
    </w:p>
    <w:p>
      <w:pPr>
        <w:jc w:val="center"/>
      </w:pPr>
      <w:r>
        <w:rPr>
          <w:i/>
          <w:sz w:val="20"/>
        </w:rPr>
        <w:t>Figure 6: Per-class accuracy for all three conditions. Fine-tuning consistently outperforms across all categories; Feature Extraction provides a partial benefit over scratch.</w:t>
      </w:r>
    </w:p>
    <w:p>
      <w:pPr>
        <w:pStyle w:val="Heading1"/>
        <w:jc w:val="left"/>
      </w:pPr>
      <w:r>
        <w:t>7. Discussion</w:t>
      </w:r>
    </w:p>
    <w:p>
      <w:pPr>
        <w:pStyle w:val="Heading2"/>
        <w:jc w:val="left"/>
      </w:pPr>
      <w:r>
        <w:t>7.1 Feature Extraction</w:t>
      </w:r>
    </w:p>
    <w:p>
      <w:r>
        <w:rPr>
          <w:sz w:val="22"/>
        </w:rPr>
        <w:t>Feature Extraction achieves 77.26% accuracy with only 5,130 trainable parameters — 0.05% of the full model. This +6.10 pp improvement over scratch demonstrates that ImageNet pretrained features generalise to STL-10 natural images without any backbone adaptation. The frozen backbone prevents overfitting on the small 5 000-sample training set, as confirmed by the smallest generalisation gap (ECE = 0.0127).</w:t>
      </w:r>
    </w:p>
    <w:p/>
    <w:p>
      <w:pPr>
        <w:pStyle w:val="Heading2"/>
        <w:jc w:val="left"/>
      </w:pPr>
      <w:r>
        <w:t>7.2 Fine-tuning</w:t>
      </w:r>
    </w:p>
    <w:p>
      <w:r>
        <w:rPr>
          <w:sz w:val="22"/>
        </w:rPr>
        <w:t>Fine-tuning achieves 90.65% — a +19.49 pp gain over scratch and +13.39 pp over Feature Extraction. The dramatic improvement stems from two factors: (1) a strong initialisation that avoids poor local minima, and (2) the ability to adapt intermediate representations to STL-10-specific visual patterns. The differential learning rate (α_b = 1e-3, α_h = 1e-2) is critical: using a uniform high LR on the backbone causes catastrophic forgetting, while a uniform low LR slows head convergence.</w:t>
      </w:r>
    </w:p>
    <w:p/>
    <w:p>
      <w:r>
        <w:rPr>
          <w:sz w:val="22"/>
        </w:rPr>
        <w:t>Epoch 1 validation accuracy for fine-tuning is 83.99%, compared to 23.76% for scratch — a 60.2 pp head-start that reflects the quality of the ImageNet initialisation.</w:t>
      </w:r>
    </w:p>
    <w:p/>
    <w:p>
      <w:pPr>
        <w:pStyle w:val="Heading2"/>
        <w:jc w:val="left"/>
      </w:pPr>
      <w:r>
        <w:t>7.3 Calibration (ECE)</w:t>
      </w:r>
    </w:p>
    <w:p>
      <w:r>
        <w:rPr>
          <w:sz w:val="22"/>
        </w:rPr>
        <w:t>ECE measures how well a model's confidence matches its actual accuracy. Feature Extraction (ECE = 0.0127) is better calibrated than Fine-tuning (ECE = 0.0515) and Scratch (ECE = 0.0843). This is expected: the frozen backbone prevents the model from becoming overconfident on the small training set, whereas fine-tuning with full capacity on 5 000 samples tends to produce slightly overconfident predictions.</w:t>
      </w:r>
    </w:p>
    <w:p/>
    <w:p>
      <w:pPr>
        <w:pStyle w:val="Heading2"/>
        <w:jc w:val="left"/>
      </w:pPr>
      <w:r>
        <w:t>7.4 Limitations</w:t>
      </w:r>
    </w:p>
    <w:p>
      <w:pPr>
        <w:pStyle w:val="ListBullet"/>
      </w:pPr>
      <w:r>
        <w:rPr>
          <w:sz w:val="22"/>
        </w:rPr>
        <w:t>Architecture mismatch: standard ResNet-18 with 7×7 conv1 is designed for 224×224 ImageNet images. At 96×96, layer4 produces 3×3 (not 7×7) feature maps, slightly reducing the richness of spatial features extracted.</w:t>
      </w:r>
    </w:p>
    <w:p>
      <w:pPr>
        <w:pStyle w:val="ListBullet"/>
      </w:pPr>
      <w:r>
        <w:rPr>
          <w:sz w:val="22"/>
        </w:rPr>
        <w:t>Fine-tuning overfitting risk: training all 11 M parameters on 5 000 images is aggressive. The train accuracy reaches ~98% while validation plateaus at ~91%, indicating some overfitting.</w:t>
      </w:r>
    </w:p>
    <w:p>
      <w:pPr>
        <w:pStyle w:val="ListBullet"/>
      </w:pPr>
      <w:r>
        <w:rPr>
          <w:sz w:val="22"/>
        </w:rPr>
        <w:t>Single run: results are from one random seed (42). Statistical significance across multiple seeds was not evaluated.</w:t>
      </w:r>
    </w:p>
    <w:p>
      <w:pPr>
        <w:pStyle w:val="ListBullet"/>
      </w:pPr>
      <w:r>
        <w:rPr>
          <w:sz w:val="22"/>
        </w:rPr>
        <w:t>Domain limitation: results are specific to the natural-image-to-natural-image transfer setting. Medical or satellite imagery would show different patterns.</w:t>
      </w:r>
    </w:p>
    <w:p>
      <w:pPr>
        <w:pStyle w:val="Heading1"/>
        <w:jc w:val="left"/>
      </w:pPr>
      <w:r>
        <w:t>8. Conclusion</w:t>
      </w:r>
    </w:p>
    <w:p>
      <w:r>
        <w:rPr>
          <w:sz w:val="22"/>
        </w:rPr>
        <w:t>This experiment demonstrates clear, reproducible benefits of transfer learning from ImageNet to STL-10. Fine-tuning achieves 90.65% test accuracy (+19.49 pp vs scratch) and converges to 75% accuracy in 1 epoch(s), compared to &gt;30 epochs from scratch. Feature Extraction with only 5,130 trainable parameters reaches 77.26% (+6.10 pp), offering a fast, parameter-efficient alternative with better calibration.</w:t>
      </w:r>
    </w:p>
    <w:p/>
    <w:p>
      <w:r>
        <w:rPr>
          <w:sz w:val="22"/>
        </w:rPr>
        <w:t>These results validate the transfer learning quadrant heuristic from the course slides: when the target dataset is small and the source and target domains share visual statistics, pretrained representations consistently outperform random initialisation in accuracy, convergence speed, and calibration. Fine-tuning with differential learning rates is the recommended strategy when the computational budget allows full model adaptation.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