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20"/>
        </w:rPr>
        <w:t>TÀI LIỆU ĐẶC TẢ KỸ THUẬT &amp; KIẾN TRÚC HỆ THỐNG PHÂN TẦNG</w:t>
      </w:r>
    </w:p>
    <w:p>
      <w:pPr>
        <w:spacing w:after="80"/>
      </w:pPr>
      <w:r>
        <w:rPr>
          <w:b/>
          <w:color w:val="0F172A"/>
          <w:sz w:val="44"/>
        </w:rPr>
        <w:t>BẢN ĐỒ RADAR VÒNG TRÒN ĐỒNG TÂM</w:t>
        <w:br/>
        <w:t>VÀ KIẾN TRÚC DJANGO MODULAR MONOLITH</w:t>
      </w:r>
    </w:p>
    <w:p>
      <w:pPr>
        <w:spacing w:after="280"/>
      </w:pPr>
      <w:r>
        <w:rPr>
          <w:i/>
          <w:color w:val="64748B"/>
          <w:sz w:val="23"/>
        </w:rPr>
        <w:t>Hệ thống Tủ Sách Lưu Động (Library Bus System) — Phân tích chi tiết tệp: understand_dashboard.html</w:t>
      </w:r>
    </w:p>
    <w:tbl>
      <w:tblPr>
        <w:tblW w:type="auto" w:w="0"/>
        <w:jc w:val="center"/>
        <w:tblLook w:firstColumn="1" w:firstRow="1" w:lastColumn="0" w:lastRow="0" w:noHBand="0" w:noVBand="1" w:val="04A0"/>
      </w:tblPr>
      <w:tblGrid>
        <w:gridCol w:w="9936"/>
      </w:tblGrid>
      <w:tr>
        <w:tc>
          <w:tcPr>
            <w:tcW w:type="dxa" w:w="9936"/>
            <w:shd w:val="clear" w:color="auto" w:fill="F8FAFC"/>
            <w:tcMar>
              <w:top w:w="120" w:type="dxa"/>
              <w:bottom w:w="120" w:type="dxa"/>
              <w:left w:w="180" w:type="dxa"/>
              <w:right w:w="180" w:type="dxa"/>
            </w:tcMar>
          </w:tcPr>
          <w:p>
            <w:pPr>
              <w:spacing w:after="0" w:line="300" w:lineRule="auto"/>
            </w:pPr>
            <w:r>
              <w:rPr>
                <w:color w:val="1E293B"/>
                <w:sz w:val="19"/>
              </w:rPr>
              <w:t>• Dự án: Hệ thống Quản lý Tủ Sách Lưu Động (Library Bus System)</w:t>
              <w:br/>
              <w:t>• Kiến trúc: Django High-Performance Modular Monolith (Clean &amp; Hexagonal Architecture)</w:t>
              <w:br/>
              <w:t>• Quy mô mã nguồn: 702 Đỉnh (Nodes) | 1.303 Cạnh/Quan hệ (Edges) | 6 Vòng đồng tâm (Rings)</w:t>
              <w:br/>
              <w:t>• Công nghệ: Python 3.12, Django 5.2, MySQL 8.0, Redis 7, Celery 5.5, Google Gemini AI, GSAP 3</w:t>
              <w:br/>
              <w:t>• Tệp dashboard phân tích: understand_dashboard.html (578 KB, 1.486 dòng code, 100% Offline Standalone)</w:t>
            </w:r>
          </w:p>
        </w:tc>
      </w:tr>
    </w:tbl>
    <w:p>
      <w:pPr>
        <w:spacing w:after="200"/>
      </w:pPr>
    </w:p>
    <w:p>
      <w:pPr>
        <w:pStyle w:val="Heading1"/>
        <w:spacing w:before="280" w:after="120"/>
      </w:pPr>
      <w:r>
        <w:t>PHẦN 1: TỔNG QUAN DỰ ÁN &amp; BỐI CẢNH KIẾN TRÚC</w:t>
      </w:r>
    </w:p>
    <w:p>
      <w:pPr>
        <w:spacing w:line="288" w:lineRule="auto"/>
      </w:pPr>
      <w:r>
        <w:t>Dự án Tủ Sách Lưu Động (Library Bus System) là nền tảng công nghệ số hóa kết hợp với mạng lưới các xe buýt thư viện lưu động thực tế. Sứ mệnh cốt lõi của dự án là mang tri thức và sách đọc đến tận các trường học, khu công nghiệp, khu dân cư ngoại thành và các vùng nông thôn xa xôi – nơi các thư viện truyền thống cố định chưa thể đáp ứng đầy đủ nhu cầu của bạn đọc.</w:t>
      </w:r>
    </w:p>
    <w:p>
      <w:pPr>
        <w:pStyle w:val="Heading2"/>
      </w:pPr>
      <w:r>
        <w:t>1.1. Triết lý kiến trúc: Lựa chọn Django Modular Monolith</w:t>
      </w:r>
    </w:p>
    <w:p>
      <w:pPr>
        <w:spacing w:line="288" w:lineRule="auto"/>
      </w:pPr>
      <w:r>
        <w:t>Trong thiết kế kiến trúc phần mềm hiện đại, việc lựa chọn giữa Microservices, Spaghetti Monolith và Modular Monolith là một bài toán chiến lược quan trọng. Hệ thống Tủ Sách Lưu Động được xây dựng theo mô hình High-Performance Modular Monolith nhờ vào các ưu điểm vượt trội:</w:t>
        <w:br/>
        <w:t>1. Ranh giới miền nghiệp vụ nghiêm ngặt (Strict Bounded Contexts): Hệ thống được chia thành 7 Django Apps độc lập (core, users, inventory, transactions, analytics, notifications, blog). Mỗi app quản lý trọn vẹn domain của mình.</w:t>
        <w:br/>
        <w:t>2. Đảm bảo tính toàn vẹn giao dịch ACID: Xử lý mượn/trả sách tức thời thông qua khóa bi quan (select_for_update) trên CSDL MySQL 8.0, loại bỏ hoàn toàn chi phí điều phối mạng và độ trễ của giao dịch phân tán (Two-Phase Commit hoặc Saga Pattern trong Microservices).</w:t>
        <w:br/>
        <w:t>3. Tối ưu chi phí hạ tầng &amp; Triển khai: Toàn bộ hệ thống được đóng gói trong một Docker Container đồng nhất, giúp giảm thiểu tối đa tài nguyên máy chủ và công sức vận hành DevOps.</w:t>
      </w:r>
    </w:p>
    <w:p>
      <w:pPr>
        <w:pStyle w:val="Heading2"/>
      </w:pPr>
      <w:r>
        <w:t>1.2. Vấn đề giải quyết của Dashboard Concentric Radar (understand_dashboard.html)</w:t>
      </w:r>
    </w:p>
    <w:p>
      <w:pPr>
        <w:spacing w:line="288" w:lineRule="auto"/>
      </w:pPr>
      <w:r>
        <w:t>Khi một hệ thống phần mềm phát triển vượt qua mốc 700 thành phần và hàng nghìn mối liên kết, việc sử dụng đồ thị mạng lực tự do (Force-Directed Graph) thường bộc lộ những nhược điểm chí tử: các nút đan xen rối ren như mạng nhện, nhãn chữ đè lên nhau không thể đọc được, và quan trọng nhất là không thể hiện được tầng thứ kiến trúc (đâu là tầng lõi, đâu là nghiệp vụ, đâu là giao diện).</w:t>
        <w:br/>
        <w:br/>
        <w:t>Tệp understand_dashboard.html ra đời như một giải pháp đột phá bằng cách áp dụng Mô hình Radar Vòng Tròn Đồng Tâm (Concentric Radar Layout):</w:t>
        <w:br/>
        <w:t>• Toàn bộ mã nguồn được bố trí trên 6 vòng quỹ đạo đồng tâm cố định bán kính, lấy Lõi hệ thống (Core &amp; Config) làm tâm điểm.</w:t>
        <w:br/>
        <w:t>• Vô hiệu hóa tính toán động lực học của đồ thị (physics: { enabled: false }), cố định vị trí các nút theo tọa độ lượng giác (polar coordinates), đảm bảo canvas hoạt động mượt mà ở tốc độ khung hình 60 FPS.</w:t>
        <w:br/>
        <w:t>• Hoạt động 100% Offline Standalone: Nhúng trực tiếp toàn bộ 500+ KB JSON dữ liệu phân tích và sử dụng thư viện vis-network nội bộ, cho phép bất kỳ ai cũng có thể mở trực tiếp tệp trên trình duyệt mà không cần máy chủ web.</w:t>
      </w:r>
    </w:p>
    <w:p>
      <w:pPr>
        <w:pStyle w:val="Heading1"/>
        <w:spacing w:before="280" w:after="120"/>
      </w:pPr>
      <w:r>
        <w:t>PHẦN 2: THỐNG KÊ ĐỊNH LƯỢNG &amp; CHỈ SỐ ĐỒ THỊ (METRICS)</w:t>
      </w:r>
    </w:p>
    <w:p>
      <w:r>
        <w:t>Kết quả phân tích cú pháp tĩnh (Static Code Analysis) toàn bộ mã nguồn tại Git commit 09912103a đã trích xuất ra một bức tranh định lượng hoàn chỉnh về quy mô dự án: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Mar>
              <w:top w:w="80" w:type="dxa"/>
              <w:bottom w:w="80" w:type="dxa"/>
              <w:left w:w="100" w:type="dxa"/>
              <w:right w:w="100" w:type="dxa"/>
            </w:tcMar>
          </w:tcPr>
          <w:p>
            <w:pPr>
              <w:spacing w:after="0" w:line="276" w:lineRule="auto"/>
            </w:pPr>
            <w:r>
              <w:rPr>
                <w:b/>
                <w:color w:val="FFFFFF"/>
                <w:sz w:val="18"/>
              </w:rPr>
              <w:t>Loại Thành Phần (Node Type)</w:t>
            </w:r>
          </w:p>
        </w:tc>
        <w:tc>
          <w:tcPr>
            <w:tcW w:type="dxa" w:w="2484"/>
            <w:shd w:val="clear" w:color="auto" w:fill="0F172A"/>
            <w:tcMar>
              <w:top w:w="80" w:type="dxa"/>
              <w:bottom w:w="80" w:type="dxa"/>
              <w:left w:w="100" w:type="dxa"/>
              <w:right w:w="100" w:type="dxa"/>
            </w:tcMar>
          </w:tcPr>
          <w:p>
            <w:pPr>
              <w:spacing w:after="0" w:line="276" w:lineRule="auto"/>
            </w:pPr>
            <w:r>
              <w:rPr>
                <w:b/>
                <w:color w:val="FFFFFF"/>
                <w:sz w:val="18"/>
              </w:rPr>
              <w:t>Số Lượng</w:t>
            </w:r>
          </w:p>
        </w:tc>
        <w:tc>
          <w:tcPr>
            <w:tcW w:type="dxa" w:w="2484"/>
            <w:shd w:val="clear" w:color="auto" w:fill="0F172A"/>
            <w:tcMar>
              <w:top w:w="80" w:type="dxa"/>
              <w:bottom w:w="80" w:type="dxa"/>
              <w:left w:w="100" w:type="dxa"/>
              <w:right w:w="100" w:type="dxa"/>
            </w:tcMar>
          </w:tcPr>
          <w:p>
            <w:pPr>
              <w:spacing w:after="0" w:line="276" w:lineRule="auto"/>
            </w:pPr>
            <w:r>
              <w:rPr>
                <w:b/>
                <w:color w:val="FFFFFF"/>
                <w:sz w:val="18"/>
              </w:rPr>
              <w:t>Tỷ Lệ %</w:t>
            </w:r>
          </w:p>
        </w:tc>
        <w:tc>
          <w:tcPr>
            <w:tcW w:type="dxa" w:w="2484"/>
            <w:shd w:val="clear" w:color="auto" w:fill="0F172A"/>
            <w:tcMar>
              <w:top w:w="80" w:type="dxa"/>
              <w:bottom w:w="80" w:type="dxa"/>
              <w:left w:w="100" w:type="dxa"/>
              <w:right w:w="100" w:type="dxa"/>
            </w:tcMar>
          </w:tcPr>
          <w:p>
            <w:pPr>
              <w:spacing w:after="0" w:line="276" w:lineRule="auto"/>
            </w:pPr>
            <w:r>
              <w:rPr>
                <w:b/>
                <w:color w:val="FFFFFF"/>
                <w:sz w:val="18"/>
              </w:rPr>
              <w:t>Diễn Giải Vai Trò Kiến Trúc</w:t>
            </w:r>
          </w:p>
        </w:tc>
      </w:tr>
      <w:tr>
        <w:tc>
          <w:tcPr>
            <w:tcW w:type="dxa" w:w="2484"/>
            <w:shd w:val="clear" w:color="auto" w:fill="FFFFFF"/>
            <w:tcMar>
              <w:top w:w="60" w:type="dxa"/>
              <w:bottom w:w="60" w:type="dxa"/>
              <w:left w:w="80" w:type="dxa"/>
              <w:right w:w="80" w:type="dxa"/>
            </w:tcMar>
          </w:tcPr>
          <w:p>
            <w:pPr>
              <w:spacing w:after="0" w:line="276" w:lineRule="auto"/>
            </w:pPr>
            <w:r>
              <w:rPr>
                <w:b/>
                <w:color w:val="1E293B"/>
                <w:sz w:val="18"/>
              </w:rPr>
              <w:t>Class (Lớp đối tượng)</w:t>
            </w:r>
          </w:p>
        </w:tc>
        <w:tc>
          <w:tcPr>
            <w:tcW w:type="dxa" w:w="2484"/>
            <w:shd w:val="clear" w:color="auto" w:fill="FFFFFF"/>
            <w:tcMar>
              <w:top w:w="60" w:type="dxa"/>
              <w:bottom w:w="60" w:type="dxa"/>
              <w:left w:w="80" w:type="dxa"/>
              <w:right w:w="80" w:type="dxa"/>
            </w:tcMar>
          </w:tcPr>
          <w:p>
            <w:pPr>
              <w:spacing w:after="0" w:line="276" w:lineRule="auto"/>
            </w:pPr>
            <w:r>
              <w:rPr>
                <w:b/>
                <w:color w:val="1E293B"/>
                <w:sz w:val="18"/>
              </w:rPr>
              <w:t>288</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41.0%</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Django ORM Models, Forms, QuerySets, Class-Based Views, ModelAdmin, Unit Tests</w:t>
            </w:r>
          </w:p>
        </w:tc>
      </w:tr>
      <w:tr>
        <w:tc>
          <w:tcPr>
            <w:tcW w:type="dxa" w:w="2484"/>
            <w:shd w:val="clear" w:color="auto" w:fill="F8FAFC"/>
            <w:tcMar>
              <w:top w:w="60" w:type="dxa"/>
              <w:bottom w:w="60" w:type="dxa"/>
              <w:left w:w="80" w:type="dxa"/>
              <w:right w:w="80" w:type="dxa"/>
            </w:tcMar>
          </w:tcPr>
          <w:p>
            <w:pPr>
              <w:spacing w:after="0" w:line="276" w:lineRule="auto"/>
            </w:pPr>
            <w:r>
              <w:rPr>
                <w:b/>
                <w:color w:val="1E293B"/>
                <w:sz w:val="18"/>
              </w:rPr>
              <w:t>File (Tệp mã nguồn)</w:t>
            </w:r>
          </w:p>
        </w:tc>
        <w:tc>
          <w:tcPr>
            <w:tcW w:type="dxa" w:w="2484"/>
            <w:shd w:val="clear" w:color="auto" w:fill="F8FAFC"/>
            <w:tcMar>
              <w:top w:w="60" w:type="dxa"/>
              <w:bottom w:w="60" w:type="dxa"/>
              <w:left w:w="80" w:type="dxa"/>
              <w:right w:w="80" w:type="dxa"/>
            </w:tcMar>
          </w:tcPr>
          <w:p>
            <w:pPr>
              <w:spacing w:after="0" w:line="276" w:lineRule="auto"/>
            </w:pPr>
            <w:r>
              <w:rPr>
                <w:b/>
                <w:color w:val="1E293B"/>
                <w:sz w:val="18"/>
              </w:rPr>
              <w:t>219</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31.2%</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Tệp Python (.py), HTML Templates, CSS, Shell scripts, Dockerfile</w:t>
            </w:r>
          </w:p>
        </w:tc>
      </w:tr>
      <w:tr>
        <w:tc>
          <w:tcPr>
            <w:tcW w:type="dxa" w:w="2484"/>
            <w:shd w:val="clear" w:color="auto" w:fill="FFFFFF"/>
            <w:tcMar>
              <w:top w:w="60" w:type="dxa"/>
              <w:bottom w:w="60" w:type="dxa"/>
              <w:left w:w="80" w:type="dxa"/>
              <w:right w:w="80" w:type="dxa"/>
            </w:tcMar>
          </w:tcPr>
          <w:p>
            <w:pPr>
              <w:spacing w:after="0" w:line="276" w:lineRule="auto"/>
            </w:pPr>
            <w:r>
              <w:rPr>
                <w:b/>
                <w:color w:val="1E293B"/>
                <w:sz w:val="18"/>
              </w:rPr>
              <w:t>Function (Hàm logic)</w:t>
            </w:r>
          </w:p>
        </w:tc>
        <w:tc>
          <w:tcPr>
            <w:tcW w:type="dxa" w:w="2484"/>
            <w:shd w:val="clear" w:color="auto" w:fill="FFFFFF"/>
            <w:tcMar>
              <w:top w:w="60" w:type="dxa"/>
              <w:bottom w:w="60" w:type="dxa"/>
              <w:left w:w="80" w:type="dxa"/>
              <w:right w:w="80" w:type="dxa"/>
            </w:tcMar>
          </w:tcPr>
          <w:p>
            <w:pPr>
              <w:spacing w:after="0" w:line="276" w:lineRule="auto"/>
            </w:pPr>
            <w:r>
              <w:rPr>
                <w:b/>
                <w:color w:val="1E293B"/>
                <w:sz w:val="18"/>
              </w:rPr>
              <w:t>179</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25.5%</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Hàm API Views, Celery Task functions, Helper handlers, Data seeders</w:t>
            </w:r>
          </w:p>
        </w:tc>
      </w:tr>
      <w:tr>
        <w:tc>
          <w:tcPr>
            <w:tcW w:type="dxa" w:w="2484"/>
            <w:shd w:val="clear" w:color="auto" w:fill="F8FAFC"/>
            <w:tcMar>
              <w:top w:w="60" w:type="dxa"/>
              <w:bottom w:w="60" w:type="dxa"/>
              <w:left w:w="80" w:type="dxa"/>
              <w:right w:w="80" w:type="dxa"/>
            </w:tcMar>
          </w:tcPr>
          <w:p>
            <w:pPr>
              <w:spacing w:after="0" w:line="276" w:lineRule="auto"/>
            </w:pPr>
            <w:r>
              <w:rPr>
                <w:b/>
                <w:color w:val="1E293B"/>
                <w:sz w:val="18"/>
              </w:rPr>
              <w:t>Document (Tài liệu kỹ thuật)</w:t>
            </w:r>
          </w:p>
        </w:tc>
        <w:tc>
          <w:tcPr>
            <w:tcW w:type="dxa" w:w="2484"/>
            <w:shd w:val="clear" w:color="auto" w:fill="F8FAFC"/>
            <w:tcMar>
              <w:top w:w="60" w:type="dxa"/>
              <w:bottom w:w="60" w:type="dxa"/>
              <w:left w:w="80" w:type="dxa"/>
              <w:right w:w="80" w:type="dxa"/>
            </w:tcMar>
          </w:tcPr>
          <w:p>
            <w:pPr>
              <w:spacing w:after="0" w:line="276" w:lineRule="auto"/>
            </w:pPr>
            <w:r>
              <w:rPr>
                <w:b/>
                <w:color w:val="1E293B"/>
                <w:sz w:val="18"/>
              </w:rPr>
              <w:t>9</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1.3%</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Tài liệu đặc tả Markdown (README.md, DESIGN.md, PROJECT_STRUCTURE.md,...)</w:t>
            </w:r>
          </w:p>
        </w:tc>
      </w:tr>
      <w:tr>
        <w:tc>
          <w:tcPr>
            <w:tcW w:type="dxa" w:w="2484"/>
            <w:shd w:val="clear" w:color="auto" w:fill="FFFFFF"/>
            <w:tcMar>
              <w:top w:w="60" w:type="dxa"/>
              <w:bottom w:w="60" w:type="dxa"/>
              <w:left w:w="80" w:type="dxa"/>
              <w:right w:w="80" w:type="dxa"/>
            </w:tcMar>
          </w:tcPr>
          <w:p>
            <w:pPr>
              <w:spacing w:after="0" w:line="276" w:lineRule="auto"/>
            </w:pPr>
            <w:r>
              <w:rPr>
                <w:b/>
                <w:color w:val="1E293B"/>
                <w:sz w:val="18"/>
              </w:rPr>
              <w:t>Config (Tệp cấu hình)</w:t>
            </w:r>
          </w:p>
        </w:tc>
        <w:tc>
          <w:tcPr>
            <w:tcW w:type="dxa" w:w="2484"/>
            <w:shd w:val="clear" w:color="auto" w:fill="FFFFFF"/>
            <w:tcMar>
              <w:top w:w="60" w:type="dxa"/>
              <w:bottom w:w="60" w:type="dxa"/>
              <w:left w:w="80" w:type="dxa"/>
              <w:right w:w="80" w:type="dxa"/>
            </w:tcMar>
          </w:tcPr>
          <w:p>
            <w:pPr>
              <w:spacing w:after="0" w:line="276" w:lineRule="auto"/>
            </w:pPr>
            <w:r>
              <w:rPr>
                <w:b/>
                <w:color w:val="1E293B"/>
                <w:sz w:val="18"/>
              </w:rPr>
              <w:t>5</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0.7%</w:t>
            </w:r>
          </w:p>
        </w:tc>
        <w:tc>
          <w:tcPr>
            <w:tcW w:type="dxa" w:w="2484"/>
            <w:shd w:val="clear" w:color="auto" w:fill="FFFFFF"/>
            <w:tcMar>
              <w:top w:w="60" w:type="dxa"/>
              <w:bottom w:w="60" w:type="dxa"/>
              <w:left w:w="80" w:type="dxa"/>
              <w:right w:w="80" w:type="dxa"/>
            </w:tcMar>
          </w:tcPr>
          <w:p>
            <w:pPr>
              <w:spacing w:after="0" w:line="276" w:lineRule="auto"/>
            </w:pPr>
            <w:r>
              <w:rPr>
                <w:color w:val="1E293B"/>
                <w:sz w:val="18"/>
              </w:rPr>
              <w:t>pyproject.toml, docker-compose.yml, requirements.txt, .env.example</w:t>
            </w:r>
          </w:p>
        </w:tc>
      </w:tr>
      <w:tr>
        <w:tc>
          <w:tcPr>
            <w:tcW w:type="dxa" w:w="2484"/>
            <w:shd w:val="clear" w:color="auto" w:fill="F8FAFC"/>
            <w:tcMar>
              <w:top w:w="60" w:type="dxa"/>
              <w:bottom w:w="60" w:type="dxa"/>
              <w:left w:w="80" w:type="dxa"/>
              <w:right w:w="80" w:type="dxa"/>
            </w:tcMar>
          </w:tcPr>
          <w:p>
            <w:pPr>
              <w:spacing w:after="0" w:line="276" w:lineRule="auto"/>
            </w:pPr>
            <w:r>
              <w:rPr>
                <w:b/>
                <w:color w:val="1E293B"/>
                <w:sz w:val="18"/>
              </w:rPr>
              <w:t>Service (Dịch vụ nghiệp vụ)</w:t>
            </w:r>
          </w:p>
        </w:tc>
        <w:tc>
          <w:tcPr>
            <w:tcW w:type="dxa" w:w="2484"/>
            <w:shd w:val="clear" w:color="auto" w:fill="F8FAFC"/>
            <w:tcMar>
              <w:top w:w="60" w:type="dxa"/>
              <w:bottom w:w="60" w:type="dxa"/>
              <w:left w:w="80" w:type="dxa"/>
              <w:right w:w="80" w:type="dxa"/>
            </w:tcMar>
          </w:tcPr>
          <w:p>
            <w:pPr>
              <w:spacing w:after="0" w:line="276" w:lineRule="auto"/>
            </w:pPr>
            <w:r>
              <w:rPr>
                <w:b/>
                <w:color w:val="1E293B"/>
                <w:sz w:val="18"/>
              </w:rPr>
              <w:t>2</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0.3%</w:t>
            </w:r>
          </w:p>
        </w:tc>
        <w:tc>
          <w:tcPr>
            <w:tcW w:type="dxa" w:w="2484"/>
            <w:shd w:val="clear" w:color="auto" w:fill="F8FAFC"/>
            <w:tcMar>
              <w:top w:w="60" w:type="dxa"/>
              <w:bottom w:w="60" w:type="dxa"/>
              <w:left w:w="80" w:type="dxa"/>
              <w:right w:w="80" w:type="dxa"/>
            </w:tcMar>
          </w:tcPr>
          <w:p>
            <w:pPr>
              <w:spacing w:after="0" w:line="276" w:lineRule="auto"/>
            </w:pPr>
            <w:r>
              <w:rPr>
                <w:color w:val="1E293B"/>
                <w:sz w:val="18"/>
              </w:rPr>
              <w:t>Dịch vụ giao dịch tập trung (TransactionService) và tích hợp AI ngoại vi</w:t>
            </w:r>
          </w:p>
        </w:tc>
      </w:tr>
      <w:tr>
        <w:tc>
          <w:tcPr>
            <w:tcW w:type="dxa" w:w="2484"/>
            <w:shd w:val="clear" w:color="auto" w:fill="F1F5F9"/>
            <w:tcMar>
              <w:top w:w="60" w:type="dxa"/>
              <w:bottom w:w="60" w:type="dxa"/>
              <w:left w:w="80" w:type="dxa"/>
              <w:right w:w="80" w:type="dxa"/>
            </w:tcMar>
          </w:tcPr>
          <w:p>
            <w:pPr>
              <w:spacing w:after="0" w:line="276" w:lineRule="auto"/>
            </w:pPr>
            <w:r>
              <w:rPr>
                <w:b/>
                <w:color w:val="1E293B"/>
                <w:sz w:val="18"/>
              </w:rPr>
              <w:t>TỔNG CỘNG ĐỈNH (NODES)</w:t>
            </w:r>
          </w:p>
        </w:tc>
        <w:tc>
          <w:tcPr>
            <w:tcW w:type="dxa" w:w="2484"/>
            <w:shd w:val="clear" w:color="auto" w:fill="F1F5F9"/>
            <w:tcMar>
              <w:top w:w="60" w:type="dxa"/>
              <w:bottom w:w="60" w:type="dxa"/>
              <w:left w:w="80" w:type="dxa"/>
              <w:right w:w="80" w:type="dxa"/>
            </w:tcMar>
          </w:tcPr>
          <w:p>
            <w:pPr>
              <w:spacing w:after="0" w:line="276" w:lineRule="auto"/>
            </w:pPr>
            <w:r>
              <w:rPr>
                <w:b/>
                <w:color w:val="1E293B"/>
                <w:sz w:val="18"/>
              </w:rPr>
              <w:t>702</w:t>
            </w:r>
          </w:p>
        </w:tc>
        <w:tc>
          <w:tcPr>
            <w:tcW w:type="dxa" w:w="2484"/>
            <w:shd w:val="clear" w:color="auto" w:fill="F1F5F9"/>
            <w:tcMar>
              <w:top w:w="60" w:type="dxa"/>
              <w:bottom w:w="60" w:type="dxa"/>
              <w:left w:w="80" w:type="dxa"/>
              <w:right w:w="80" w:type="dxa"/>
            </w:tcMar>
          </w:tcPr>
          <w:p>
            <w:pPr>
              <w:spacing w:after="0" w:line="276" w:lineRule="auto"/>
            </w:pPr>
            <w:r>
              <w:rPr>
                <w:color w:val="1E293B"/>
                <w:sz w:val="18"/>
              </w:rPr>
              <w:t>100%</w:t>
            </w:r>
          </w:p>
        </w:tc>
        <w:tc>
          <w:tcPr>
            <w:tcW w:type="dxa" w:w="2484"/>
            <w:shd w:val="clear" w:color="auto" w:fill="F1F5F9"/>
            <w:tcMar>
              <w:top w:w="60" w:type="dxa"/>
              <w:bottom w:w="60" w:type="dxa"/>
              <w:left w:w="80" w:type="dxa"/>
              <w:right w:w="80" w:type="dxa"/>
            </w:tcMar>
          </w:tcPr>
          <w:p>
            <w:pPr>
              <w:spacing w:after="0" w:line="276" w:lineRule="auto"/>
            </w:pPr>
            <w:r>
              <w:rPr>
                <w:color w:val="1E293B"/>
                <w:sz w:val="18"/>
              </w:rPr>
              <w:t>Toàn bộ thực thể cấu thành hệ sinh thái mã nguồn Tủ Sách Lưu Động</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80" w:type="dxa"/>
              <w:right w:w="180" w:type="dxa"/>
            </w:tcMar>
          </w:tcPr>
          <w:p>
            <w:pPr>
              <w:spacing w:after="40"/>
            </w:pPr>
            <w:r>
              <w:rPr>
                <w:b/>
                <w:color w:val="0284C7"/>
                <w:sz w:val="20"/>
              </w:rPr>
              <w:t>📌 PHÂN BỐ ĐỘ PHỨC TẠP MÃ NGUỒN</w:t>
              <w:br/>
            </w:r>
            <w:r>
              <w:rPr>
                <w:color w:val="334155"/>
                <w:sz w:val="19"/>
              </w:rPr>
              <w:t>Độ phức tạp mã nguồn (Code Complexity Distribution):</w:t>
              <w:br/>
              <w:t>• Đơn giản (Simple): 460 nodes (65.5%) — Các thuộc tính model cơ bản, hàm get/set, forms đơn giản.</w:t>
              <w:br/>
              <w:t>• Trung bình (Moderate): 152 nodes (21.7%) — Các Views xử lý nhiều query, QuerySet tùy biến, kịch bản gieo dữ liệu.</w:t>
              <w:br/>
              <w:t>• Phức tạp (Complex): 90 nodes (12.8%) — Tập trung tại các khối xử lý khóa bi quan chống race condition, các Celery tasks ngầm, cấu hình Django Admin có Inline và các models cốt lõi (Book, LibraryBus, BorrowRecord).</w:t>
            </w:r>
          </w:p>
        </w:tc>
      </w:tr>
    </w:tbl>
    <w:p>
      <w:pPr>
        <w:spacing w:after="80"/>
      </w:pPr>
    </w:p>
    <w:p>
      <w:pPr>
        <w:pStyle w:val="Heading1"/>
        <w:spacing w:before="280" w:after="120"/>
      </w:pPr>
      <w:r>
        <w:t>PHẦN 3: THUYẾT MINH CHI TIẾT 18 LOẠI QUAN HỆ KIẾN TRÚC PHÂN CẤP</w:t>
      </w:r>
    </w:p>
    <w:p>
      <w:r>
        <w:t>Đồ thị ghi nhận tổng cộng 1.303 cạnh liên kết có hướng. Dưới đây là bảng tổng hợp và phân tích chi tiết toàn bộ 18 loại quan hệ kiến trúc, được xếp theo nhóm nghiệp vụ và thứ tự tần suất xuất hiện: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0F172A"/>
            <w:tcMar>
              <w:top w:w="80" w:type="dxa"/>
              <w:bottom w:w="80" w:type="dxa"/>
              <w:left w:w="100" w:type="dxa"/>
              <w:right w:w="100" w:type="dxa"/>
            </w:tcMar>
          </w:tcPr>
          <w:p>
            <w:pPr>
              <w:spacing w:after="0" w:line="276" w:lineRule="auto"/>
            </w:pPr>
            <w:r>
              <w:rPr>
                <w:b/>
                <w:color w:val="FFFFFF"/>
                <w:sz w:val="18"/>
              </w:rPr>
              <w:t>STT</w:t>
            </w:r>
          </w:p>
        </w:tc>
        <w:tc>
          <w:tcPr>
            <w:tcW w:type="dxa" w:w="1656"/>
            <w:shd w:val="clear" w:color="auto" w:fill="0F172A"/>
            <w:tcMar>
              <w:top w:w="80" w:type="dxa"/>
              <w:bottom w:w="80" w:type="dxa"/>
              <w:left w:w="100" w:type="dxa"/>
              <w:right w:w="100" w:type="dxa"/>
            </w:tcMar>
          </w:tcPr>
          <w:p>
            <w:pPr>
              <w:spacing w:after="0" w:line="276" w:lineRule="auto"/>
            </w:pPr>
            <w:r>
              <w:rPr>
                <w:b/>
                <w:color w:val="FFFFFF"/>
                <w:sz w:val="18"/>
              </w:rPr>
              <w:t>Loại Quan Hệ</w:t>
            </w:r>
          </w:p>
        </w:tc>
        <w:tc>
          <w:tcPr>
            <w:tcW w:type="dxa" w:w="1656"/>
            <w:shd w:val="clear" w:color="auto" w:fill="0F172A"/>
            <w:tcMar>
              <w:top w:w="80" w:type="dxa"/>
              <w:bottom w:w="80" w:type="dxa"/>
              <w:left w:w="100" w:type="dxa"/>
              <w:right w:w="100" w:type="dxa"/>
            </w:tcMar>
          </w:tcPr>
          <w:p>
            <w:pPr>
              <w:spacing w:after="0" w:line="276" w:lineRule="auto"/>
            </w:pPr>
            <w:r>
              <w:rPr>
                <w:b/>
                <w:color w:val="FFFFFF"/>
                <w:sz w:val="18"/>
              </w:rPr>
              <w:t>Số Lượng</w:t>
            </w:r>
          </w:p>
        </w:tc>
        <w:tc>
          <w:tcPr>
            <w:tcW w:type="dxa" w:w="1656"/>
            <w:shd w:val="clear" w:color="auto" w:fill="0F172A"/>
            <w:tcMar>
              <w:top w:w="80" w:type="dxa"/>
              <w:bottom w:w="80" w:type="dxa"/>
              <w:left w:w="100" w:type="dxa"/>
              <w:right w:w="100" w:type="dxa"/>
            </w:tcMar>
          </w:tcPr>
          <w:p>
            <w:pPr>
              <w:spacing w:after="0" w:line="276" w:lineRule="auto"/>
            </w:pPr>
            <w:r>
              <w:rPr>
                <w:b/>
                <w:color w:val="FFFFFF"/>
                <w:sz w:val="18"/>
              </w:rPr>
              <w:t>Tỷ Lệ</w:t>
            </w:r>
          </w:p>
        </w:tc>
        <w:tc>
          <w:tcPr>
            <w:tcW w:type="dxa" w:w="1656"/>
            <w:shd w:val="clear" w:color="auto" w:fill="0F172A"/>
            <w:tcMar>
              <w:top w:w="80" w:type="dxa"/>
              <w:bottom w:w="80" w:type="dxa"/>
              <w:left w:w="100" w:type="dxa"/>
              <w:right w:w="100" w:type="dxa"/>
            </w:tcMar>
          </w:tcPr>
          <w:p>
            <w:pPr>
              <w:spacing w:after="0" w:line="276" w:lineRule="auto"/>
            </w:pPr>
            <w:r>
              <w:rPr>
                <w:b/>
                <w:color w:val="FFFFFF"/>
                <w:sz w:val="18"/>
              </w:rPr>
              <w:t>Cặp Đỉnh (Source ➔ Target)</w:t>
            </w:r>
          </w:p>
        </w:tc>
        <w:tc>
          <w:tcPr>
            <w:tcW w:type="dxa" w:w="1656"/>
            <w:shd w:val="clear" w:color="auto" w:fill="0F172A"/>
            <w:tcMar>
              <w:top w:w="80" w:type="dxa"/>
              <w:bottom w:w="80" w:type="dxa"/>
              <w:left w:w="100" w:type="dxa"/>
              <w:right w:w="100" w:type="dxa"/>
            </w:tcMar>
          </w:tcPr>
          <w:p>
            <w:pPr>
              <w:spacing w:after="0" w:line="276" w:lineRule="auto"/>
            </w:pPr>
            <w:r>
              <w:rPr>
                <w:b/>
                <w:color w:val="FFFFFF"/>
                <w:sz w:val="18"/>
              </w:rPr>
              <w:t>Cơ Chế Kỹ Thuật</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contains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467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35.84%</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File ➔ Class / Function</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Cú pháp khai báo class X: / def y():</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2</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exports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467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35.84%</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File ➔ Class / Function</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Quan hệ đối ứng cung cấp đối tượng ra ngoài</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3</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renders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97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7.44%</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Python View ➔ HTML Template</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render(request, template, context)</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4</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extends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96</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7.37%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HTML Template ➔ HTML Template</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Cú pháp DTL {% extends 'base.html' %}</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5</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imports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83</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6.37%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Python File ➔ Python File</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from app.models import ModelName</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6</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migrates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19</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1.46%</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Migration File ➔ Model File</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Django Migration Operations (CreateModel)</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7</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package_init</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15</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1.15%</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__init__.py ➔ AppConfig</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Khởi tạo module và nạp cấu hình app</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8</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loads_asset</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12</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0.92%</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HTML Template ➔ CSS / JS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Cú pháp DTL {% static 'css/...' %}</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9</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tested_by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0.84%</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Model / Service ➔ Test Script</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Bộ kiểm thử tự động &amp; Stress Test</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10</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documents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10</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0.77%</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Document ➔ settings.py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Tài liệu kỹ thuật Markdown neo vào cấu hình</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11</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configures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0.61%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Config File ➔ settings.py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pyproject.toml, requirements, .env</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12</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routes_to</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6</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0.46%</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Root URLconf ➔ App URLconf</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path('subpath/', include('app.urls'))</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13</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script_for</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5</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0.38%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CLI Script ➔ manage.py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Kịch bản vận hành nạp django.setup()</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14</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deploys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3</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0.23%</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Dockerfile / Compose ➔ manage.py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Chỉ thị đóng gói và khởi chạy container</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15</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triggers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0.08%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GitHub Actions ➔ tests.py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Tự động kích hoạt CI/CD khi push code</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16</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listens_to</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0.08%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signals.py ➔ models.py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Observer Pattern @receiver(post_save)</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17</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bootstraps</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0.08%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asgi.py ➔ settings.py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Khởi tạo ASGI application cho Async</w:t>
            </w:r>
          </w:p>
        </w:tc>
      </w:tr>
      <w:tr>
        <w:tc>
          <w:tcPr>
            <w:tcW w:type="dxa" w:w="1656"/>
            <w:shd w:val="clear" w:color="auto" w:fill="FFFFFF"/>
            <w:tcMar>
              <w:top w:w="60" w:type="dxa"/>
              <w:bottom w:w="60" w:type="dxa"/>
              <w:left w:w="80" w:type="dxa"/>
              <w:right w:w="80" w:type="dxa"/>
            </w:tcMar>
          </w:tcPr>
          <w:p>
            <w:pPr>
              <w:spacing w:after="0" w:line="276" w:lineRule="auto"/>
            </w:pPr>
            <w:r>
              <w:rPr>
                <w:b/>
                <w:color w:val="1E293B"/>
                <w:sz w:val="18"/>
              </w:rPr>
              <w:t>18</w:t>
            </w:r>
          </w:p>
        </w:tc>
        <w:tc>
          <w:tcPr>
            <w:tcW w:type="dxa" w:w="1656"/>
            <w:shd w:val="clear" w:color="auto" w:fill="FFFFFF"/>
            <w:tcMar>
              <w:top w:w="60" w:type="dxa"/>
              <w:bottom w:w="60" w:type="dxa"/>
              <w:left w:w="80" w:type="dxa"/>
              <w:right w:w="80" w:type="dxa"/>
            </w:tcMar>
          </w:tcPr>
          <w:p>
            <w:pPr>
              <w:spacing w:after="0" w:line="276" w:lineRule="auto"/>
            </w:pPr>
            <w:r>
              <w:rPr>
                <w:b/>
                <w:color w:val="1E293B"/>
                <w:sz w:val="18"/>
              </w:rPr>
              <w:t>configures_admin</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1</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0.08%</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admin.py ➔ models.py</w:t>
            </w:r>
          </w:p>
        </w:tc>
        <w:tc>
          <w:tcPr>
            <w:tcW w:type="dxa" w:w="1656"/>
            <w:shd w:val="clear" w:color="auto" w:fill="FFFFFF"/>
            <w:tcMar>
              <w:top w:w="60" w:type="dxa"/>
              <w:bottom w:w="60" w:type="dxa"/>
              <w:left w:w="80" w:type="dxa"/>
              <w:right w:w="80" w:type="dxa"/>
            </w:tcMar>
          </w:tcPr>
          <w:p>
            <w:pPr>
              <w:spacing w:after="0" w:line="276" w:lineRule="auto"/>
            </w:pPr>
            <w:r>
              <w:rPr>
                <w:color w:val="1E293B"/>
                <w:sz w:val="18"/>
              </w:rPr>
              <w:t>admin.site.register(Model)</w:t>
            </w:r>
          </w:p>
        </w:tc>
      </w:tr>
    </w:tbl>
    <w:p>
      <w:pPr>
        <w:spacing w:after="200"/>
      </w:pPr>
    </w:p>
    <w:p>
      <w:pPr>
        <w:pStyle w:val="Heading1"/>
        <w:spacing w:before="280" w:after="120"/>
      </w:pPr>
      <w:r>
        <w:t>PHẦN 4: PHÂN TÍCH SÂU 6 TẦNG VÒNG TRÒN ĐỒNG TÂM (THE 6 RINGS)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F172A"/>
            <w:tcMar>
              <w:top w:w="80" w:type="dxa"/>
              <w:bottom w:w="80" w:type="dxa"/>
              <w:left w:w="100" w:type="dxa"/>
              <w:right w:w="100" w:type="dxa"/>
            </w:tcMar>
          </w:tcPr>
          <w:p>
            <w:pPr>
              <w:spacing w:after="0" w:line="276" w:lineRule="auto"/>
            </w:pPr>
            <w:r>
              <w:rPr>
                <w:b/>
                <w:color w:val="FFFFFF"/>
                <w:sz w:val="18"/>
              </w:rPr>
              <w:t>Vòng (Ring)</w:t>
            </w:r>
          </w:p>
        </w:tc>
        <w:tc>
          <w:tcPr>
            <w:tcW w:type="dxa" w:w="1987"/>
            <w:shd w:val="clear" w:color="auto" w:fill="0F172A"/>
            <w:tcMar>
              <w:top w:w="80" w:type="dxa"/>
              <w:bottom w:w="80" w:type="dxa"/>
              <w:left w:w="100" w:type="dxa"/>
              <w:right w:w="100" w:type="dxa"/>
            </w:tcMar>
          </w:tcPr>
          <w:p>
            <w:pPr>
              <w:spacing w:after="0" w:line="276" w:lineRule="auto"/>
            </w:pPr>
            <w:r>
              <w:rPr>
                <w:b/>
                <w:color w:val="FFFFFF"/>
                <w:sz w:val="18"/>
              </w:rPr>
              <w:t>Bán Kính</w:t>
            </w:r>
          </w:p>
        </w:tc>
        <w:tc>
          <w:tcPr>
            <w:tcW w:type="dxa" w:w="1987"/>
            <w:shd w:val="clear" w:color="auto" w:fill="0F172A"/>
            <w:tcMar>
              <w:top w:w="80" w:type="dxa"/>
              <w:bottom w:w="80" w:type="dxa"/>
              <w:left w:w="100" w:type="dxa"/>
              <w:right w:w="100" w:type="dxa"/>
            </w:tcMar>
          </w:tcPr>
          <w:p>
            <w:pPr>
              <w:spacing w:after="0" w:line="276" w:lineRule="auto"/>
            </w:pPr>
            <w:r>
              <w:rPr>
                <w:b/>
                <w:color w:val="FFFFFF"/>
                <w:sz w:val="18"/>
              </w:rPr>
              <w:t>Mã Màu</w:t>
            </w:r>
          </w:p>
        </w:tc>
        <w:tc>
          <w:tcPr>
            <w:tcW w:type="dxa" w:w="1987"/>
            <w:shd w:val="clear" w:color="auto" w:fill="0F172A"/>
            <w:tcMar>
              <w:top w:w="80" w:type="dxa"/>
              <w:bottom w:w="80" w:type="dxa"/>
              <w:left w:w="100" w:type="dxa"/>
              <w:right w:w="100" w:type="dxa"/>
            </w:tcMar>
          </w:tcPr>
          <w:p>
            <w:pPr>
              <w:spacing w:after="0" w:line="276" w:lineRule="auto"/>
            </w:pPr>
            <w:r>
              <w:rPr>
                <w:b/>
                <w:color w:val="FFFFFF"/>
                <w:sz w:val="18"/>
              </w:rPr>
              <w:t>Quy Mô</w:t>
            </w:r>
          </w:p>
        </w:tc>
        <w:tc>
          <w:tcPr>
            <w:tcW w:type="dxa" w:w="1987"/>
            <w:shd w:val="clear" w:color="auto" w:fill="0F172A"/>
            <w:tcMar>
              <w:top w:w="80" w:type="dxa"/>
              <w:bottom w:w="80" w:type="dxa"/>
              <w:left w:w="100" w:type="dxa"/>
              <w:right w:w="100" w:type="dxa"/>
            </w:tcMar>
          </w:tcPr>
          <w:p>
            <w:pPr>
              <w:spacing w:after="0" w:line="276" w:lineRule="auto"/>
            </w:pPr>
            <w:r>
              <w:rPr>
                <w:b/>
                <w:color w:val="FFFFFF"/>
                <w:sz w:val="18"/>
              </w:rPr>
              <w:t>Đặc Tả Trách Nhiệm Kiến Trúc</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1: Core &amp; Config</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140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Sky Cyan (#38BDF8)</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30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Trọng tâm hệ thống: settings.py, manage.py, celery.py, AuditMixin, SoftDeleteModel, BaseQuerySet.</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2: Models &amp; DB</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270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Emerald Green (#10B981)</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32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Mô hình dữ liệu ORM chuẩn 3NF: Book, LibraryBus, Profile, BorrowRecord. Tối ưu hóa truy vấn chống N+1.</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3: Services &amp; Tasks</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390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Amber Orange (#F59E0B)</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7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Tầng nghiệp vụ giao dịch mượn/trả, khóa bi quan select_for_update, Celery tasks chạy ngầm, Google Gemini AI.</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4: Views &amp; Admin</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520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Indigo Blue (#6366F1)</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32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Tầng điều phối HTTP, định tuyến URL, phân quyền người dùng RBAC, Django Forms xác thực dữ liệu.</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5: Testing &amp; QA</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650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Violet Purple (#8B5CF6)</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20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Bộ kiểm thử tự động toàn diện: Unit Tests, Integration Tests, Stress QA 100 luồng và tài liệu đặc tả.</w:t>
            </w:r>
          </w:p>
        </w:tc>
      </w:tr>
      <w:tr>
        <w:tc>
          <w:tcPr>
            <w:tcW w:type="dxa" w:w="1987"/>
            <w:shd w:val="clear" w:color="auto" w:fill="FFFFFF"/>
            <w:tcMar>
              <w:top w:w="60" w:type="dxa"/>
              <w:bottom w:w="60" w:type="dxa"/>
              <w:left w:w="80" w:type="dxa"/>
              <w:right w:w="80" w:type="dxa"/>
            </w:tcMar>
          </w:tcPr>
          <w:p>
            <w:pPr>
              <w:spacing w:after="0" w:line="276" w:lineRule="auto"/>
            </w:pPr>
            <w:r>
              <w:rPr>
                <w:b/>
                <w:color w:val="1E293B"/>
                <w:sz w:val="18"/>
              </w:rPr>
              <w:t>Vòng 6-7: Templates &amp; UI</w:t>
            </w:r>
          </w:p>
        </w:tc>
        <w:tc>
          <w:tcPr>
            <w:tcW w:type="dxa" w:w="1987"/>
            <w:shd w:val="clear" w:color="auto" w:fill="FFFFFF"/>
            <w:tcMar>
              <w:top w:w="60" w:type="dxa"/>
              <w:bottom w:w="60" w:type="dxa"/>
              <w:left w:w="80" w:type="dxa"/>
              <w:right w:w="80" w:type="dxa"/>
            </w:tcMar>
          </w:tcPr>
          <w:p>
            <w:pPr>
              <w:spacing w:after="0" w:line="276" w:lineRule="auto"/>
            </w:pPr>
            <w:r>
              <w:rPr>
                <w:b/>
                <w:color w:val="1E293B"/>
                <w:sz w:val="18"/>
              </w:rPr>
              <w:t>780-920 px</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Hot Pink (#EC4899)</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114 tệp</w:t>
            </w:r>
          </w:p>
        </w:tc>
        <w:tc>
          <w:tcPr>
            <w:tcW w:type="dxa" w:w="1987"/>
            <w:shd w:val="clear" w:color="auto" w:fill="FFFFFF"/>
            <w:tcMar>
              <w:top w:w="60" w:type="dxa"/>
              <w:bottom w:w="60" w:type="dxa"/>
              <w:left w:w="80" w:type="dxa"/>
              <w:right w:w="80" w:type="dxa"/>
            </w:tcMar>
          </w:tcPr>
          <w:p>
            <w:pPr>
              <w:spacing w:after="0" w:line="276" w:lineRule="auto"/>
            </w:pPr>
            <w:r>
              <w:rPr>
                <w:color w:val="1E293B"/>
                <w:sz w:val="18"/>
              </w:rPr>
              <w:t>Tầng giao diện người dùng ngoài cùng: 114 HTML templates xếp so le 2 quỹ đạo, bảng màu Neo-Bakery, PDF Viewer.</w:t>
            </w:r>
          </w:p>
        </w:tc>
      </w:tr>
    </w:tbl>
    <w:p>
      <w:pPr>
        <w:spacing w:after="200"/>
      </w:pPr>
    </w:p>
    <w:p>
      <w:pPr>
        <w:pStyle w:val="Heading1"/>
        <w:spacing w:before="280" w:after="120"/>
      </w:pPr>
      <w:r>
        <w:t>PHẦN 5: CHI TIẾT 7 PHÂN HỆ NGHIỆP VỤ (DJANGO APPS)</w:t>
      </w:r>
    </w:p>
    <w:p>
      <w:pPr>
        <w:spacing w:after="120"/>
      </w:pPr>
      <w:r>
        <w:rPr>
          <w:b/>
          <w:color w:val="0F172A"/>
          <w:sz w:val="21"/>
        </w:rPr>
        <w:t>• 1. Phân hệ Core (Nền tảng hạ tầng chia sẻ)</w:t>
        <w:br/>
      </w:r>
      <w:r>
        <w:rPr>
          <w:color w:val="334155"/>
          <w:sz w:val="19"/>
        </w:rPr>
        <w:t>Cung cấp hạ tầng dùng chung cho toàn bộ dự án:</w:t>
        <w:br/>
        <w:t>• CacheMixin: Mô hình Cache Versioning thông minh. Thay vì xóa toàn bộ cache khi cập nhật dữ liệu, chỉ cần tăng số version của model. Đặc biệt, hệ thống tinh chỉnh bỏ qua việc tăng version nếu chỉ cập nhật các trường nhỏ như last_activity, view_count, tránh làm giảm hit-rate của hàng ngàn độc giả.</w:t>
        <w:br/>
        <w:t>• SoftDeleteModel: Cơ chế xóa mềm bằng cờ is_deleted và deleted_at, giữ toàn vẹn khóa ngoại lịch sử.</w:t>
        <w:br/>
        <w:t>• AuditMixin &amp; TimestampedModel: Tự động theo dõi created_at, updated_at, created_by, modified_by.</w:t>
      </w:r>
    </w:p>
    <w:p>
      <w:pPr>
        <w:spacing w:after="120"/>
      </w:pPr>
      <w:r>
        <w:rPr>
          <w:b/>
          <w:color w:val="0F172A"/>
          <w:sz w:val="21"/>
        </w:rPr>
        <w:t>• 2. Phân hệ Users (Độc giả, Phân quyền &amp; Hội viên VIP)</w:t>
        <w:br/>
      </w:r>
      <w:r>
        <w:rPr>
          <w:color w:val="334155"/>
          <w:sz w:val="19"/>
        </w:rPr>
        <w:t>Quản lý vòng đời người dùng và bảo mật tài khoản:</w:t>
        <w:br/>
        <w:t>• Thuật toán băm mật khẩu Argon2 (argon2-cffi) đạt tiêu chuẩn bảo mật cao nhất, chống tấn công GPU/ASIC.</w:t>
        <w:br/>
        <w:t>• Model Profile: Mở rộng User với cấp bậc hội viên (Standard, Silver, Gold, VIP), điểm thưởng tích lũy, ảnh đại diện và hạn mức mượn sách tối đa (borrow_limit).</w:t>
        <w:br/>
        <w:t>• Phân quyền vai trò người dùng (Role-Based Access Control - RBAC): Bạn đọc, Thủ thư, Tài xế xe buýt, Quản trị viên.</w:t>
      </w:r>
    </w:p>
    <w:p>
      <w:pPr>
        <w:spacing w:after="120"/>
      </w:pPr>
      <w:r>
        <w:rPr>
          <w:b/>
          <w:color w:val="0F172A"/>
          <w:sz w:val="21"/>
        </w:rPr>
        <w:t>• 3. Phân hệ Inventory (Kho sách &amp; Đội xe buýt lưu động)</w:t>
        <w:br/>
      </w:r>
      <w:r>
        <w:rPr>
          <w:color w:val="334155"/>
          <w:sz w:val="19"/>
        </w:rPr>
        <w:t>Quản lý tài sản vật lý và tài liệu số của hệ thống:</w:t>
        <w:br/>
        <w:t>• Model Book: Quản lý thông tin sách, ISBN, số lượng tồn kho theo từng xe buýt, và tệp sách điện tử PDF (file_pdf).</w:t>
        <w:br/>
        <w:t>• Model LibraryBus &amp; BusRoute: Quản lý đội xe buýt, biển số xe, tài xế phụ trách và các điểm dừng định vị GPS trên bản đồ số.</w:t>
        <w:br/>
        <w:t>• Tích hợp Trình đọc sách PDF trực tuyến (PDF Viewer) và tính năng quyên góp sách (BookDonation).</w:t>
      </w:r>
    </w:p>
    <w:p>
      <w:pPr>
        <w:spacing w:after="120"/>
      </w:pPr>
      <w:r>
        <w:rPr>
          <w:b/>
          <w:color w:val="0F172A"/>
          <w:sz w:val="21"/>
        </w:rPr>
        <w:t>• 4. Phân hệ Transactions (Mượn trả &amp; Chống Race Condition)</w:t>
        <w:br/>
      </w:r>
      <w:r>
        <w:rPr>
          <w:color w:val="334155"/>
          <w:sz w:val="19"/>
        </w:rPr>
        <w:t>Trung tâm xử lý giao dịch cốt lõi của thư viện:</w:t>
        <w:br/>
        <w:t>• Khóa bi quan select_for_update: Ngăn chặn triệt để lỗi xung đột mượn trùng sách khi có nhiều độc giả cùng bấm mượn.</w:t>
        <w:br/>
        <w:t>• Hàng đợi giữ chỗ FIFO (BookReservation Queue): Tự động chuyển quyền mượn ưu tiên cho người kế tiếp khi sách được hoàn trả.</w:t>
        <w:br/>
        <w:t>• Quản lý phí phạt trễ hạn (FinePayment) và đơn giao nhận sách tận nơi (ShippingRequest).</w:t>
      </w:r>
    </w:p>
    <w:p>
      <w:pPr>
        <w:spacing w:after="120"/>
      </w:pPr>
      <w:r>
        <w:rPr>
          <w:b/>
          <w:color w:val="0F172A"/>
          <w:sz w:val="21"/>
        </w:rPr>
        <w:t>• 5. Phân hệ Analytics (Thống kê số liệu &amp; Trí tuệ nhân tạo Gemini)</w:t>
        <w:br/>
      </w:r>
      <w:r>
        <w:rPr>
          <w:color w:val="334155"/>
          <w:sz w:val="19"/>
        </w:rPr>
        <w:t>Tổng hợp báo cáo và cá nhân hóa trải nghiệm đọc sách:</w:t>
        <w:br/>
        <w:t>• UserReadingStats &amp; BookAnalytics: Thống kê số trang đã đọc, thể loại yêu thích, bảng vàng độc giả (Leaderboard).</w:t>
        <w:br/>
        <w:t>• Tích hợp Google Gemini AI: Phân tích thói quen đọc sách và tự động sinh danh sách 5 gợi ý sách hay nhất cho từng độc giả.</w:t>
      </w:r>
    </w:p>
    <w:p>
      <w:pPr>
        <w:spacing w:after="120"/>
      </w:pPr>
      <w:r>
        <w:rPr>
          <w:b/>
          <w:color w:val="0F172A"/>
          <w:sz w:val="21"/>
        </w:rPr>
        <w:t>• 6. Phân hệ Notifications (Hệ thống thông báo đa kênh)</w:t>
        <w:br/>
      </w:r>
      <w:r>
        <w:rPr>
          <w:color w:val="334155"/>
          <w:sz w:val="19"/>
        </w:rPr>
        <w:t>Đảm bảo dòng thông tin liên tục đến người dùng:</w:t>
        <w:br/>
        <w:t>• In-app Badges: Huy hiệu số đếm thông báo chưa đọc tích hợp trực tiếp vào thanh điều hướng qua Context Processor.</w:t>
        <w:br/>
        <w:t>• Celery Email Notifications: Gửi email tự động nhắc hẹn trả sách trước 1 ngày, thông báo lịch xe buýt sắp đến trạm.</w:t>
      </w:r>
    </w:p>
    <w:p>
      <w:pPr>
        <w:spacing w:after="120"/>
      </w:pPr>
      <w:r>
        <w:rPr>
          <w:b/>
          <w:color w:val="0F172A"/>
          <w:sz w:val="21"/>
        </w:rPr>
        <w:t>• 7. Phân hệ Blog (Cổng truyền thông &amp; Tương tác cộng đồng)</w:t>
        <w:br/>
      </w:r>
      <w:r>
        <w:rPr>
          <w:color w:val="334155"/>
          <w:sz w:val="19"/>
        </w:rPr>
        <w:t>Xây dựng không gian văn hóa đọc và kết nối bạn đọc:</w:t>
        <w:br/>
        <w:t>• Quản trị bài viết, tin tức sự kiện, danh mục, bình luận và đánh giá 5 sao.</w:t>
        <w:br/>
        <w:t>• Tích hợp hệ thống bản tin định kỳ (Newsletter) gửi qua email cho độc giả đăng ký.</w:t>
      </w:r>
    </w:p>
    <w:p>
      <w:pPr>
        <w:pStyle w:val="Heading1"/>
        <w:spacing w:before="280" w:after="120"/>
      </w:pPr>
      <w:r>
        <w:t>PHẦN 6: LỘ TRÌNH KHÁM PHÁ KIẾN TRÚC 7 BƯỚC (GUIDED TOUR)</w:t>
      </w:r>
    </w:p>
    <w:p>
      <w:pPr>
        <w:spacing w:line="288" w:lineRule="auto"/>
      </w:pPr>
      <w:r>
        <w:t>Dưới đây là bản phân tích chuyên sâu cho từng chặng dừng trong Hành trình khám phá kiến trúc (Guided Tour) của understand_dashboard.html. Mỗi bước được thuyết minh chi tiết xấp xỉ 100 chữ, làm rõ cơ chế kỹ thuật, các tệp nguồn trọng tâm và giá trị vận hành thực tế:</w:t>
      </w:r>
    </w:p>
    <w:p>
      <w:pPr>
        <w:spacing w:line="288" w:lineRule="auto" w:after="160"/>
      </w:pPr>
      <w:r>
        <w:rPr>
          <w:b/>
          <w:color w:val="0284C7"/>
          <w:sz w:val="21"/>
        </w:rPr>
        <w:t>• Bước 1: Tổng quan dự án &amp; Cấu trúc Monolith (Tài liệu nền tảng)</w:t>
        <w:br/>
      </w:r>
      <w:r>
        <w:rPr>
          <w:color w:val="334155"/>
          <w:sz w:val="19"/>
        </w:rPr>
        <w:t>Bước mở đầu của hành trình dẫn dắt người xem tiếp cận bức tranh toàn cảnh về kiến trúc hệ thống thông qua hai tệp tài liệu kỹ thuật cốt lõi là PROJECT_STRUCTURE.md và README.md. Tại đây, dự án được định hình rõ nét theo mô hình High-Performance Django Modular Monolith, phân định ranh giới nghiệp vụ độc lập giữa 7 phân hệ chuyên biệt. Thay vì phân tán phức tạp như microservices hay rối ren như monolith truyền thống, kiến trúc này kết hợp sức mạnh xử lý giao dịch tập trung với khả năng đóng gói module hóa sạch sẽ. Điều này giúp các thành viên mới nhanh chóng nắm bắt luồng chảy thông tin tổng thể, tiêu chuẩn công nghệ (Django 5.2, MySQL 8.0, Redis 7, Celery 5.5) và triết lý thiết kế hệ thống chỉ trong vài phút đầu tiên.</w:t>
      </w:r>
    </w:p>
    <w:p>
      <w:pPr>
        <w:spacing w:line="288" w:lineRule="auto" w:after="160"/>
      </w:pPr>
      <w:r>
        <w:rPr>
          <w:b/>
          <w:color w:val="0284C7"/>
          <w:sz w:val="21"/>
        </w:rPr>
        <w:t>• Bước 2: Điểm vào hệ thống &amp; Cấu hình tập trung (Khởi tạo Runtime)</w:t>
        <w:br/>
      </w:r>
      <w:r>
        <w:rPr>
          <w:color w:val="334155"/>
          <w:sz w:val="19"/>
        </w:rPr>
        <w:t>Bước thứ hai tập trung vào cổng khởi động và bộ não điều khiển toàn cục của ứng dụng, đại diện bởi ba tệp: manage.py, settings.py và urls.py gốc. Tệp manage.py đóng vai trò là cửa ngõ giao tiếp dòng lệnh (CLI Gateway) để thiết lập biến môi trường và nạp runtime Django. Tiếp đó, settings.py cấu hình toàn bộ hạ tầng then chốt: kết nối CSDL MySQL 8.0 với pool kết nối tối ưu, bộ nhớ đệm phân tán Redis 7, thuật toán băm mật khẩu Argon2 siêu an toàn và đăng ký 7 ứng dụng nghiệp vụ. Cuối cùng, urls.py gốc đóng vai trò nhạc trưởng điều phối mạng lưới phân tuyến cấp cao, phân nhánh lưu lượng truy cập tới 6 nhánh URL con thông qua cú pháp include() mô-đun hóa.</w:t>
      </w:r>
    </w:p>
    <w:p>
      <w:pPr>
        <w:spacing w:line="288" w:lineRule="auto" w:after="160"/>
      </w:pPr>
      <w:r>
        <w:rPr>
          <w:b/>
          <w:color w:val="0284C7"/>
          <w:sz w:val="21"/>
        </w:rPr>
        <w:t>• Bước 3: Tầng dữ liệu cốt lõi (Core &amp; Models 3NF)</w:t>
        <w:br/>
      </w:r>
      <w:r>
        <w:rPr>
          <w:color w:val="334155"/>
          <w:sz w:val="19"/>
        </w:rPr>
        <w:t>Bước thứ ba đưa người xem thâm nhập vào tầng cấu trúc dữ liệu quan hệ chuẩn 3NF thông qua các tệp models.py của core, inventory, transactions và users. Nền tảng hạ tầng dùng chung tại core/models.py cung cấp các giải pháp tối ưu vượt trội: CacheMixin với cơ chế Versioning thông minh giúp vô hiệu hóa bộ nhớ đệm tự động mà không gây nghẽn Redis, SoftDeleteModel bảo vệ tính toàn vẹn quan hệ khóa ngoại khi xóa bản ghi, và AuditMixin ghi vết lịch sử tự động. Tại các miền nghiệp vụ, các mô hình thực thể như Book, LibraryBus, Profile và BorrowRecord được thiết lập chỉ mục (index) chặt chẽ, tối ưu hóa truy vấn chống lỗi N+1 và liên kết mạch lạc với nhau.</w:t>
      </w:r>
    </w:p>
    <w:p>
      <w:pPr>
        <w:spacing w:line="288" w:lineRule="auto" w:after="160"/>
      </w:pPr>
      <w:r>
        <w:rPr>
          <w:b/>
          <w:color w:val="0284C7"/>
          <w:sz w:val="21"/>
        </w:rPr>
        <w:t>• Bước 4: Tầng nghiệp vụ giao dịch &amp; Chống Race Condition (Khóa bi quan)</w:t>
        <w:br/>
      </w:r>
      <w:r>
        <w:rPr>
          <w:color w:val="334155"/>
          <w:sz w:val="19"/>
        </w:rPr>
        <w:t>Bước thứ tư khám phá trái tim xử lý nghiệp vụ tại transactions/services.py và transactions/views.py, nơi giải quyết triệt để bài toán xung đột dữ liệu đồng thời khi nhiều độc giả cùng mượn một cuốn sách duy nhất. Thay vì phó mặc cho ORM thông thường, hệ thống triển khai giải thuật khóa bi quan (select_for_update) kết hợp khối transaction.atomic() của MySQL. Khi một giao dịch đang diễn ra, bản ghi cuốn sách và hạn mức người dùng bị khóa ở cấp độ dòng (row-level lock), buộc các tiến trình khác phải chờ. Nếu sách hết, hệ thống tự động định tuyến độc giả vào hàng đợi giữ chỗ FIFO (BookReservation). Tác vụ phụ chỉ kích hoạt qua hook transaction.on_commit(), loại trừ hoàn toàn rủi ro âm kho sách.</w:t>
      </w:r>
    </w:p>
    <w:p>
      <w:pPr>
        <w:spacing w:line="288" w:lineRule="auto" w:after="160"/>
      </w:pPr>
      <w:r>
        <w:rPr>
          <w:b/>
          <w:color w:val="0284C7"/>
          <w:sz w:val="21"/>
        </w:rPr>
        <w:t>• Bước 5: Xử lý bất đồng bộ với Celery &amp; Redis (Tác vụ nền &amp; Gemini AI)</w:t>
        <w:br/>
      </w:r>
      <w:r>
        <w:rPr>
          <w:color w:val="334155"/>
          <w:sz w:val="19"/>
        </w:rPr>
        <w:t>Bước thứ năm làm sáng tỏ cơ chế giải phóng tài nguyên máy chủ Web thông qua hệ sinh thái xử lý tác vụ nền Celery 5.5 và Message Broker Redis 7 tại transactions/tasks.py và analytics/tasks.py. Hệ thống tách rời các công việc tốn thời gian ra khỏi vòng đời HTTP Request: bộ lập lịch Celery Beat tự động quét các phiếu mượn quá hạn lúc 00:00 hàng đêm để tính phạt trễ, và gửi email nhắc hẹn lúc 08:00 sáng. Đặc biệt, phân hệ Analytics kích hoạt các tác vụ AI chạy ngầm gọi API Google Gemini (gemini-1.5-flash), phân tích lịch sử đọc sách để sinh danh sách gợi ý cá nhân hóa và gửi thông báo in-app đến độc giả mà không gây gián đoạn trải nghiệm người dùng.</w:t>
      </w:r>
    </w:p>
    <w:p>
      <w:pPr>
        <w:spacing w:line="288" w:lineRule="auto" w:after="160"/>
      </w:pPr>
      <w:r>
        <w:rPr>
          <w:b/>
          <w:color w:val="0284C7"/>
          <w:sz w:val="21"/>
        </w:rPr>
        <w:t>• Bước 6: Giao diện người dùng &amp; Kiến trúc Template (Neo-Bakery &amp; GSAP)</w:t>
        <w:br/>
      </w:r>
      <w:r>
        <w:rPr>
          <w:color w:val="334155"/>
          <w:sz w:val="19"/>
        </w:rPr>
        <w:t>Bước thứ sáu đưa người xem ra tầng ngoại vi của hệ thống với hơn 70 giao diện mẫu HTML, đại diện bởi template/base.html và book_list.html. Toàn bộ giao diện kế thừa layout chuẩn từ base.html qua ngôn ngữ mẫu Django Template Language, đảm bảo tính nhất quán tuyệt đối về cấu trúc và điều hướng. Tầng hiển thị áp dụng hệ thống thiết kế độc bản Neo-Bakery Design System với bảng màu 6 tông ấm áp (mật ong, bơ nướng, cà phê đậm), kết hợp phông chữ hiện đại Plus Jakarta Sans. Đặc biệt, thư viện hoạt ảnh GSAP 3.x (ScrollTrigger và hiệu ứng nghiêng 3D micro-tilt) giúp giao diện đạt tốc độ phản hồi 60 FPS mượt mà, tích hợp trình đọc PDF và bản đồ trạm xe GPS sống động.</w:t>
      </w:r>
    </w:p>
    <w:p>
      <w:pPr>
        <w:spacing w:line="288" w:lineRule="auto" w:after="160"/>
      </w:pPr>
      <w:r>
        <w:rPr>
          <w:b/>
          <w:color w:val="0284C7"/>
          <w:sz w:val="21"/>
        </w:rPr>
        <w:t>• Bước 7: Đảm bảo chất lượng &amp; Bộ kiểm thử tự động (Stress QA &amp; CI/CD)</w:t>
        <w:br/>
      </w:r>
      <w:r>
        <w:rPr>
          <w:color w:val="334155"/>
          <w:sz w:val="19"/>
        </w:rPr>
        <w:t>Bước cuối cùng khẳng định độ tin cậy và sự vững chắc của toàn bộ kiến trúc thông qua mạng lưới kiểm thử tự động tại core/tests.py, transactions/tests.py, functional_test.py và kịch bản test_race_condition.py. Hệ thống sở hữu bộ test suite bao quát từ Unit Test các Mixin/Manager, Integration Test luồng mượn trả đến kịch bản kiểm thử áp lực đa luồng mô phỏng 100 threads đồng thời cùng tranh chấp tài nguyên. Mọi kịch bản đều chứng minh hệ thống không bao giờ xảy ra lỗi dữ liệu (zero negative inventory). Toàn bộ quy trình này được tích hợp vào pipeline GitHub Actions CI/CD (ci.yml), tự động kích hoạt kiểm tra nghiêm ngặt mỗi khi có commit mới, đảm bảo chất lượng phần mềm luôn đạt chuẩn trước khi release.</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60" w:type="dxa"/>
              <w:right w:w="160" w:type="dxa"/>
            </w:tcMar>
          </w:tcPr>
          <w:p>
            <w:pPr>
              <w:spacing w:after="0" w:line="276" w:lineRule="auto"/>
            </w:pPr>
            <w:r>
              <w:rPr>
                <w:rFonts w:ascii="Consolas" w:hAnsi="Consolas"/>
                <w:color w:val="E2E8F0"/>
                <w:sz w:val="17"/>
              </w:rPr>
              <w:t># Minh họa giải thuật khóa bi quan chống Race Condition trong transactions/services.py:</w:t>
              <w:br/>
              <w:t>with transaction.atomic():</w:t>
              <w:br/>
              <w:t xml:space="preserve">    # 1. Khóa bản ghi cuốn sách ngay tại CSDL MySQL (Pessimistic Row-Level Lock)</w:t>
              <w:br/>
              <w:t xml:space="preserve">    book = Book.objects.select_for_update().get(pk=book.pk)</w:t>
              <w:br/>
              <w:t xml:space="preserve">    if not book.is_available:</w:t>
              <w:br/>
              <w:t xml:space="preserve">        raise ValidationError('Sách không còn khả dụng để mượn')</w:t>
              <w:br/>
              <w:t xml:space="preserve">    </w:t>
              <w:br/>
              <w:t xml:space="preserve">    # 2. Khóa luôn người dùng để tránh mượn vượt quá hạn mức đồng thời (TOCTOU Race)</w:t>
              <w:br/>
              <w:t xml:space="preserve">    User.objects.select_for_update().get(pk=user.pk)</w:t>
              <w:br/>
              <w:t xml:space="preserve">    active_count = BorrowRecord.objects.filter(user=user, return_date__isnull=True).count()</w:t>
              <w:br/>
              <w:t xml:space="preserve">    if active_count &gt;= user.profile.borrow_limit:</w:t>
              <w:br/>
              <w:t xml:space="preserve">        raise ValidationError('Người dùng đã đạt giới hạn mượn sách')</w:t>
              <w:br/>
              <w:t xml:space="preserve">    </w:t>
              <w:br/>
              <w:t xml:space="preserve">    # 3. Tạo phiếu mượn và cập nhật trạng thái kho</w:t>
              <w:br/>
              <w:t xml:space="preserve">    borrow = BorrowRecord.objects.create(user=user, book=book, ...)</w:t>
              <w:br/>
              <w:t xml:space="preserve">    book.change_status('checked_out')</w:t>
              <w:br/>
              <w:t xml:space="preserve">    </w:t>
              <w:br/>
              <w:t xml:space="preserve">    # 4. Kích hoạt task ngầm sau khi commit DB thành công</w:t>
              <w:br/>
              <w:t xml:space="preserve">    transaction.on_commit(trigger_borrow_analytics)</w:t>
            </w:r>
          </w:p>
        </w:tc>
      </w:tr>
    </w:tbl>
    <w:p>
      <w:pPr>
        <w:spacing w:after="80"/>
      </w:pPr>
    </w:p>
    <w:p>
      <w:pPr>
        <w:pStyle w:val="Heading1"/>
        <w:spacing w:before="280" w:after="120"/>
      </w:pPr>
      <w:r>
        <w:t>PHẦN 7: CÁC TÍNH NĂNG TƯƠNG TÁC TRÊN DASHBOARD</w:t>
      </w:r>
    </w:p>
    <w:p>
      <w:pPr>
        <w:spacing w:after="80"/>
      </w:pPr>
      <w:r>
        <w:rPr>
          <w:b/>
          <w:color w:val="0F172A"/>
        </w:rPr>
        <w:t xml:space="preserve">• Bộ lọc theo Ứng dụng (App Filter Bar): </w:t>
      </w:r>
      <w:r>
        <w:rPr>
          <w:color w:val="334155"/>
        </w:rPr>
        <w:t>Cho phép người dùng cô lập nhanh đồ thị theo từng phân hệ (Transactions, Inventory, Users, Analytics, Notifications, Blog, Core &amp; Config, Templates) hoặc xem toàn cảnh hệ thống.</w:t>
      </w:r>
    </w:p>
    <w:p>
      <w:pPr>
        <w:spacing w:after="80"/>
      </w:pPr>
      <w:r>
        <w:rPr>
          <w:b/>
          <w:color w:val="0F172A"/>
        </w:rPr>
        <w:t xml:space="preserve">• Thanh tìm kiếm tức thì (Instant Search Box): </w:t>
      </w:r>
      <w:r>
        <w:rPr>
          <w:color w:val="334155"/>
        </w:rPr>
        <w:t>Tìm kiếm file, model, view, hàm theo từ khóa. Khi tìm thấy, canvas kích hoạt hoạt ảnh phóng to (Scale 1.3x) và căn giữa (Focus Animation) trong 500ms vào node tương ứng.</w:t>
      </w:r>
    </w:p>
    <w:p>
      <w:pPr>
        <w:spacing w:after="80"/>
      </w:pPr>
      <w:r>
        <w:rPr>
          <w:b/>
          <w:color w:val="0F172A"/>
        </w:rPr>
        <w:t xml:space="preserve">• Bảng thanh tra chi tiết (Inspector Panel): </w:t>
      </w:r>
      <w:r>
        <w:rPr>
          <w:color w:val="334155"/>
        </w:rPr>
        <w:t>Mở ra ở góc phải màn hình khi click vào node/ring. Cung cấp badge phân loại, tóm tắt nghiệp vụ, danh sách 2 chiều: 'Được tham chiếu bởi' (Incoming) và 'Kết nối / Trực thuộc' (Outgoing), hỗ trợ click để di chuyển sâu (drill-down).</w:t>
      </w:r>
    </w:p>
    <w:p>
      <w:pPr>
        <w:spacing w:after="80"/>
      </w:pPr>
      <w:r>
        <w:rPr>
          <w:b/>
          <w:color w:val="0F172A"/>
        </w:rPr>
        <w:t xml:space="preserve">• Điều khiển mật độ nhãn &amp; Lọc bớt Templates: </w:t>
      </w:r>
      <w:r>
        <w:rPr>
          <w:color w:val="334155"/>
        </w:rPr>
        <w:t>Cung cấp 2 checkbox tùy biến: 'Hiện nhãn tất cả file' và 'Ẩn bớt 114 Templates' giúp tối ưu hóa không gian hiển thị khi kỹ sư chỉ muốn tập trung nghiên cứu mã nguồn backend.</w:t>
      </w:r>
    </w:p>
    <w:p>
      <w:pPr>
        <w:spacing w:after="80"/>
      </w:pPr>
      <w:r>
        <w:rPr>
          <w:b/>
          <w:color w:val="0F172A"/>
        </w:rPr>
        <w:t xml:space="preserve">• Vòng quỹ đạo phát sáng (Concentric Canvas Hooks): </w:t>
      </w:r>
      <w:r>
        <w:rPr>
          <w:color w:val="334155"/>
        </w:rPr>
        <w:t>Sử dụng sự kiện network.on('beforeDrawing') của Vis.js để vẽ 6 vòng tròn phát sáng mờ với nét đứt và hiển thị watermark tên tầng trực tiếp trên canvas.</w:t>
      </w:r>
    </w:p>
    <w:p>
      <w:pPr>
        <w:pStyle w:val="Heading1"/>
        <w:spacing w:before="280" w:after="120"/>
      </w:pPr>
      <w:r>
        <w:t>PHẦN 8: HƯỚNG DẪN VẬN HÀNH &amp; BẢO TRÌ</w:t>
      </w:r>
    </w:p>
    <w:p>
      <w:pPr>
        <w:spacing w:line="300" w:lineRule="auto"/>
      </w:pPr>
      <w:r>
        <w:t>1. Khởi chạy Dashboard:</w:t>
        <w:br/>
        <w:t>Nhấp đúp chuột vào tệp understand_dashboard.html trên máy tính để mở bằng Google Chrome, Microsoft Edge, Firefox hoặc Safari. Không cần cài đặt Python, Node.js hay bất kỳ máy chủ web nào.</w:t>
        <w:br/>
        <w:br/>
        <w:t>2. Quy trình cập nhật dữ liệu khi mã nguồn thay đổi:</w:t>
        <w:br/>
        <w:t>Khi hệ thống bổ sung thêm model, view hoặc ứng dụng mới, kịch bản phân tích mã nguồn sẽ quét lại toàn bộ thư mục library_bus_project/ và xuất ra chuỗi JSON mới. Kỹ sư chỉ cần cập nhật chuỗi JSON này vào giữa cặp thẻ:</w:t>
        <w:br/>
        <w:t xml:space="preserve">    &lt;script id="ua-graph-data" type="application/json"&gt; ... &lt;/script&gt;</w:t>
        <w:br/>
        <w:t>Lưu file HTML và làm mới trình duyệt (F5) để biểu đồ tự động cập nhật toàn bộ 6 vòng tròn và các liên kết mới.</w:t>
        <w:br/>
        <w:br/>
        <w:t>3. Đảm bảo hiệu năng &amp; Tính ổn định:</w:t>
        <w:br/>
        <w:t>Giữ nguyên cấu hình physics: { enabled: false } để đồ thị luôn cố định theo hình tròn đồng tâm, tránh việc đồ thị bị trôi dạt hoặc tiêu tốn CPU của trình duyệt.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