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5E3E" w14:textId="5812BE1C" w:rsidR="0056759F" w:rsidRPr="00347FC1" w:rsidRDefault="67361397" w:rsidP="0056759F">
      <w:pPr>
        <w:rPr>
          <w:rFonts w:ascii="Segoe UI Semibold" w:hAnsi="Segoe UI Semibold" w:cs="Segoe UI Semibold"/>
          <w:b/>
          <w:bCs/>
          <w:sz w:val="40"/>
          <w:szCs w:val="40"/>
        </w:rPr>
      </w:pPr>
      <w:commentRangeStart w:id="0"/>
      <w:commentRangeStart w:id="1"/>
      <w:r w:rsidRPr="683E46C0">
        <w:rPr>
          <w:rFonts w:ascii="Segoe UI Semibold" w:hAnsi="Segoe UI Semibold" w:cs="Segoe UI Semibold"/>
          <w:b/>
          <w:bCs/>
          <w:sz w:val="40"/>
          <w:szCs w:val="40"/>
        </w:rPr>
        <w:t>Microsoft</w:t>
      </w:r>
      <w:commentRangeEnd w:id="1"/>
      <w:r w:rsidRPr="683E46C0">
        <w:rPr>
          <w:rStyle w:val="CommentReference"/>
          <w:rFonts w:ascii="Segoe UI Semibold" w:hAnsi="Segoe UI Semibold" w:cs="Segoe UI Semibold"/>
          <w:b/>
          <w:bCs/>
          <w:sz w:val="40"/>
          <w:szCs w:val="40"/>
        </w:rPr>
        <w:commentReference w:id="1"/>
      </w:r>
      <w:r w:rsidRPr="683E46C0">
        <w:rPr>
          <w:rFonts w:ascii="Segoe UI Semibold" w:hAnsi="Segoe UI Semibold" w:cs="Segoe UI Semibold"/>
          <w:b/>
          <w:bCs/>
          <w:sz w:val="40"/>
          <w:szCs w:val="40"/>
        </w:rPr>
        <w:t xml:space="preserve"> Foundry </w:t>
      </w:r>
      <w:r w:rsidR="160DBDF5" w:rsidRPr="683E46C0">
        <w:rPr>
          <w:rFonts w:ascii="Segoe UI Semibold" w:hAnsi="Segoe UI Semibold" w:cs="Segoe UI Semibold"/>
          <w:b/>
          <w:bCs/>
          <w:sz w:val="40"/>
          <w:szCs w:val="40"/>
        </w:rPr>
        <w:t>adoption</w:t>
      </w:r>
      <w:r w:rsidRPr="683E46C0">
        <w:rPr>
          <w:rFonts w:ascii="Segoe UI Semibold" w:hAnsi="Segoe UI Semibold" w:cs="Segoe UI Semibold"/>
          <w:b/>
          <w:bCs/>
          <w:sz w:val="40"/>
          <w:szCs w:val="40"/>
        </w:rPr>
        <w:t xml:space="preserve"> across </w:t>
      </w:r>
      <w:r w:rsidR="009A7624">
        <w:rPr>
          <w:rFonts w:ascii="Segoe UI Semibold" w:hAnsi="Segoe UI Semibold" w:cs="Segoe UI Semibold"/>
          <w:b/>
          <w:bCs/>
          <w:sz w:val="40"/>
          <w:szCs w:val="40"/>
        </w:rPr>
        <w:t>your</w:t>
      </w:r>
      <w:r w:rsidRPr="683E46C0">
        <w:rPr>
          <w:rFonts w:ascii="Segoe UI Semibold" w:hAnsi="Segoe UI Semibold" w:cs="Segoe UI Semibold"/>
          <w:b/>
          <w:bCs/>
          <w:sz w:val="40"/>
          <w:szCs w:val="40"/>
        </w:rPr>
        <w:t xml:space="preserve"> organizatio</w:t>
      </w:r>
      <w:r w:rsidR="7A2E0AA3" w:rsidRPr="683E46C0">
        <w:rPr>
          <w:rFonts w:ascii="Segoe UI Semibold" w:hAnsi="Segoe UI Semibold" w:cs="Segoe UI Semibold"/>
          <w:b/>
          <w:bCs/>
          <w:sz w:val="40"/>
          <w:szCs w:val="40"/>
        </w:rPr>
        <w:t>n</w:t>
      </w:r>
      <w:commentRangeEnd w:id="0"/>
      <w:r w:rsidRPr="00347FC1">
        <w:rPr>
          <w:rStyle w:val="CommentReference"/>
          <w:rFonts w:ascii="Segoe UI Semibold" w:hAnsi="Segoe UI Semibold" w:cs="Segoe UI Semibold"/>
          <w:b/>
          <w:bCs/>
          <w:sz w:val="40"/>
          <w:szCs w:val="40"/>
        </w:rPr>
        <w:commentReference w:id="0"/>
      </w:r>
    </w:p>
    <w:p w14:paraId="009B922F" w14:textId="504EB1AA" w:rsidR="005D3400" w:rsidRDefault="005D3400" w:rsidP="0056759F">
      <w:r>
        <w:t>Written by Alex Ruiz, Ayan Banerjee, Chris Tava</w:t>
      </w:r>
    </w:p>
    <w:p w14:paraId="599A0C3B" w14:textId="2C91A4B0" w:rsidR="00347FC1" w:rsidRDefault="67361397" w:rsidP="0056759F">
      <w:r>
        <w:t xml:space="preserve">This guide presents options for planning adoption of Microsoft Foundry across your organization. It is important to </w:t>
      </w:r>
      <w:r w:rsidR="009A7624">
        <w:t>define your target use cases and design your Foundry architecture accordingly</w:t>
      </w:r>
      <w:r w:rsidR="160DBDF5">
        <w:t xml:space="preserve">. </w:t>
      </w:r>
    </w:p>
    <w:p w14:paraId="2A88BA35" w14:textId="3242BBFE" w:rsidR="00347FC1" w:rsidRDefault="00347FC1" w:rsidP="0056759F">
      <w:r>
        <w:t>The focus of this article is to assist customers in adopting Foundry for development purposes for the first time; there is a separate article targeted at production rollouts for agents and models created inside of Foundry.</w:t>
      </w:r>
    </w:p>
    <w:p w14:paraId="114CE549" w14:textId="77777777" w:rsidR="00347FC1" w:rsidRPr="00347FC1" w:rsidRDefault="00347FC1" w:rsidP="0056759F">
      <w:pPr>
        <w:rPr>
          <w:rFonts w:ascii="Segoe UI Semibold" w:hAnsi="Segoe UI Semibold" w:cs="Segoe UI Semibold"/>
          <w:b/>
          <w:bCs/>
          <w:sz w:val="36"/>
          <w:szCs w:val="36"/>
        </w:rPr>
      </w:pPr>
      <w:r w:rsidRPr="00347FC1">
        <w:rPr>
          <w:rFonts w:ascii="Segoe UI Semibold" w:hAnsi="Segoe UI Semibold" w:cs="Segoe UI Semibold"/>
          <w:b/>
          <w:bCs/>
          <w:sz w:val="36"/>
          <w:szCs w:val="36"/>
        </w:rPr>
        <w:t>Prerequisites</w:t>
      </w:r>
    </w:p>
    <w:p w14:paraId="5062F273" w14:textId="77777777" w:rsidR="00347FC1" w:rsidRDefault="00347FC1" w:rsidP="0056759F">
      <w:r>
        <w:t>Before you begin adoption planning, confirm that you have:</w:t>
      </w:r>
    </w:p>
    <w:p w14:paraId="5AD3A343" w14:textId="0DBEB71B" w:rsidR="0056759F" w:rsidRDefault="00347FC1" w:rsidP="00347FC1">
      <w:pPr>
        <w:pStyle w:val="ListParagraph"/>
        <w:numPr>
          <w:ilvl w:val="0"/>
          <w:numId w:val="6"/>
        </w:numPr>
      </w:pPr>
      <w:r>
        <w:t xml:space="preserve">A target Azure subscription(s) and resource group(s) strategy for development and testing environments. This article does not cover production, which is tackled in its </w:t>
      </w:r>
      <w:r w:rsidR="005D2E5B">
        <w:t>own</w:t>
      </w:r>
      <w:r>
        <w:t xml:space="preserve"> separate article. </w:t>
      </w:r>
    </w:p>
    <w:p w14:paraId="311B32BB" w14:textId="6A46F3F5" w:rsidR="00347FC1" w:rsidRDefault="00347FC1" w:rsidP="00347FC1">
      <w:pPr>
        <w:pStyle w:val="ListParagraph"/>
        <w:numPr>
          <w:ilvl w:val="0"/>
          <w:numId w:val="6"/>
        </w:numPr>
      </w:pPr>
      <w:r>
        <w:t>Microsoft Entra ID groups (or equivalent identity groups) should be defined for administrators, project managers, and project users to ensure role-based access governance.</w:t>
      </w:r>
    </w:p>
    <w:p w14:paraId="0ABCBFA9" w14:textId="7AABF2EF" w:rsidR="00347FC1" w:rsidRDefault="00347FC1" w:rsidP="00347FC1">
      <w:pPr>
        <w:pStyle w:val="ListParagraph"/>
        <w:numPr>
          <w:ilvl w:val="0"/>
          <w:numId w:val="6"/>
        </w:numPr>
      </w:pPr>
      <w:r>
        <w:t xml:space="preserve">Reviewed your data residency constraints and identified an initial region plan based on model and feature availability. Certain industries, such as healthcare or financial services, have strict compliance requirements for where data must reside and/or be processed. For details, see </w:t>
      </w:r>
      <w:hyperlink r:id="rId9" w:history="1">
        <w:r w:rsidRPr="000202F8">
          <w:rPr>
            <w:rStyle w:val="Hyperlink"/>
          </w:rPr>
          <w:t>feature availability across cloud regions</w:t>
        </w:r>
      </w:hyperlink>
      <w:r>
        <w:t xml:space="preserve">, our </w:t>
      </w:r>
      <w:hyperlink r:id="rId10" w:history="1">
        <w:r w:rsidRPr="00594F3D">
          <w:rPr>
            <w:rStyle w:val="Hyperlink"/>
          </w:rPr>
          <w:t>model deployment guide</w:t>
        </w:r>
      </w:hyperlink>
      <w:r>
        <w:t xml:space="preserve">, and our </w:t>
      </w:r>
      <w:hyperlink r:id="rId11" w:history="1">
        <w:r w:rsidRPr="00BB3D76">
          <w:rPr>
            <w:rStyle w:val="Hyperlink"/>
          </w:rPr>
          <w:t>data processing &amp; privacy article</w:t>
        </w:r>
      </w:hyperlink>
      <w:r>
        <w:t xml:space="preserve">. </w:t>
      </w:r>
    </w:p>
    <w:p w14:paraId="779EBE7E" w14:textId="03B32AB4" w:rsidR="00347FC1" w:rsidRDefault="00347FC1" w:rsidP="00347FC1">
      <w:pPr>
        <w:pStyle w:val="ListParagraph"/>
        <w:numPr>
          <w:ilvl w:val="0"/>
          <w:numId w:val="6"/>
        </w:numPr>
      </w:pPr>
      <w:r>
        <w:t>Reviewed your organization’s security requirements for private networking, encryption, cloud access, and data isolation. It is recommended that your security teams are a part of Foundry adoption planning efforts.</w:t>
      </w:r>
    </w:p>
    <w:p w14:paraId="2171C835" w14:textId="60936A0D" w:rsidR="00CA1C79" w:rsidRDefault="00CA1C79" w:rsidP="00347FC1">
      <w:pPr>
        <w:pStyle w:val="ListParagraph"/>
        <w:numPr>
          <w:ilvl w:val="0"/>
          <w:numId w:val="6"/>
        </w:numPr>
      </w:pPr>
      <w:r>
        <w:t xml:space="preserve">Familiarized yourself with the concepts of the </w:t>
      </w:r>
      <w:hyperlink r:id="rId12" w:history="1">
        <w:r w:rsidRPr="00CA1C79">
          <w:rPr>
            <w:rStyle w:val="Hyperlink"/>
          </w:rPr>
          <w:t>agent development lifecycle</w:t>
        </w:r>
      </w:hyperlink>
      <w:r>
        <w:t xml:space="preserve"> for Microsoft Foundry. </w:t>
      </w:r>
    </w:p>
    <w:p w14:paraId="5F940EE8" w14:textId="2BF4CE0F" w:rsidR="00347FC1" w:rsidRDefault="00347FC1" w:rsidP="00347FC1">
      <w:pPr>
        <w:rPr>
          <w:rFonts w:ascii="Segoe UI Semibold" w:hAnsi="Segoe UI Semibold" w:cs="Segoe UI Semibold"/>
          <w:b/>
          <w:bCs/>
          <w:sz w:val="36"/>
          <w:szCs w:val="36"/>
        </w:rPr>
      </w:pPr>
      <w:r w:rsidRPr="00286994">
        <w:rPr>
          <w:rFonts w:ascii="Segoe UI Semibold" w:hAnsi="Segoe UI Semibold" w:cs="Segoe UI Semibold"/>
          <w:b/>
          <w:bCs/>
          <w:sz w:val="36"/>
          <w:szCs w:val="36"/>
        </w:rPr>
        <w:t>How are customers adopting Foundry? What are they using it for?</w:t>
      </w:r>
    </w:p>
    <w:p w14:paraId="3AFD4201" w14:textId="7DB72AF3" w:rsidR="00D35E1A" w:rsidRDefault="03073202" w:rsidP="00347FC1">
      <w:pPr>
        <w:rPr>
          <w:rFonts w:cs="Segoe UI"/>
        </w:rPr>
      </w:pPr>
      <w:r w:rsidRPr="7E8E4603">
        <w:rPr>
          <w:rFonts w:cs="Segoe UI"/>
        </w:rPr>
        <w:t xml:space="preserve">Across our customers, when it comes to artificial intelligence, we </w:t>
      </w:r>
      <w:r w:rsidR="0DD7FB72" w:rsidRPr="7E8E4603">
        <w:rPr>
          <w:rFonts w:cs="Segoe UI"/>
        </w:rPr>
        <w:t>see</w:t>
      </w:r>
      <w:r w:rsidRPr="7E8E4603">
        <w:rPr>
          <w:rFonts w:cs="Segoe UI"/>
        </w:rPr>
        <w:t xml:space="preserve"> two main adoption</w:t>
      </w:r>
      <w:r w:rsidR="27318C19" w:rsidRPr="7E8E4603">
        <w:rPr>
          <w:rFonts w:cs="Segoe UI"/>
        </w:rPr>
        <w:t xml:space="preserve">s </w:t>
      </w:r>
      <w:r w:rsidRPr="7E8E4603">
        <w:rPr>
          <w:rFonts w:cs="Segoe UI"/>
        </w:rPr>
        <w:t xml:space="preserve">across enterprises: Generative AI software-as-a-service tools (i.e. </w:t>
      </w:r>
      <w:commentRangeStart w:id="2"/>
      <w:r w:rsidRPr="7E8E4603">
        <w:rPr>
          <w:rFonts w:cs="Segoe UI"/>
        </w:rPr>
        <w:t>Co</w:t>
      </w:r>
      <w:r w:rsidR="00426D80">
        <w:rPr>
          <w:rFonts w:cs="Segoe UI"/>
        </w:rPr>
        <w:t>p</w:t>
      </w:r>
      <w:r w:rsidRPr="7E8E4603">
        <w:rPr>
          <w:rFonts w:cs="Segoe UI"/>
        </w:rPr>
        <w:t xml:space="preserve">ilot </w:t>
      </w:r>
      <w:commentRangeEnd w:id="2"/>
      <w:r w:rsidR="0057558B" w:rsidRPr="7E8E4603">
        <w:rPr>
          <w:rStyle w:val="CommentReference"/>
          <w:rFonts w:cs="Segoe UI"/>
          <w:sz w:val="24"/>
          <w:szCs w:val="24"/>
        </w:rPr>
        <w:commentReference w:id="2"/>
      </w:r>
      <w:r w:rsidRPr="7E8E4603">
        <w:rPr>
          <w:rFonts w:cs="Segoe UI"/>
        </w:rPr>
        <w:t xml:space="preserve">Studio) and customizable, </w:t>
      </w:r>
      <w:r w:rsidR="5B4F21A8" w:rsidRPr="7E8E4603">
        <w:rPr>
          <w:rFonts w:cs="Segoe UI"/>
        </w:rPr>
        <w:t xml:space="preserve">enterprise-wide, </w:t>
      </w:r>
      <w:r w:rsidRPr="7E8E4603">
        <w:rPr>
          <w:rFonts w:cs="Segoe UI"/>
        </w:rPr>
        <w:t xml:space="preserve">cloud-based AI platforms (i.e. Microsoft Foundry). </w:t>
      </w:r>
    </w:p>
    <w:p w14:paraId="5A975753" w14:textId="46C06605" w:rsidR="00D93B40" w:rsidRDefault="00D35E1A" w:rsidP="00347FC1">
      <w:pPr>
        <w:rPr>
          <w:rFonts w:cs="Segoe UI"/>
        </w:rPr>
      </w:pPr>
      <w:r>
        <w:rPr>
          <w:rFonts w:cs="Segoe UI"/>
        </w:rPr>
        <w:t xml:space="preserve">Some customers want their users to create and consume agents in an easy-to-use tool, and CoPilot Studio squarely fits this need. Other customers lean more to the pro-code developer approach or have compliance or security restrictions that require more control and configurability over agentic development, and so they lean more on Microsoft Foundry. </w:t>
      </w:r>
    </w:p>
    <w:p w14:paraId="1AE1E116" w14:textId="7CAED02F" w:rsidR="00D93B40" w:rsidRDefault="5B4F21A8" w:rsidP="00347FC1">
      <w:pPr>
        <w:rPr>
          <w:rFonts w:cs="Segoe UI"/>
        </w:rPr>
      </w:pPr>
      <w:commentRangeStart w:id="3"/>
      <w:r w:rsidRPr="7E8E4603">
        <w:rPr>
          <w:rFonts w:cs="Segoe UI"/>
        </w:rPr>
        <w:t>These</w:t>
      </w:r>
      <w:commentRangeEnd w:id="3"/>
      <w:r w:rsidR="00E65F2E">
        <w:rPr>
          <w:rStyle w:val="CommentReference"/>
          <w:rFonts w:cs="Segoe UI"/>
          <w:sz w:val="24"/>
          <w:szCs w:val="24"/>
        </w:rPr>
        <w:commentReference w:id="3"/>
      </w:r>
      <w:r w:rsidR="009B15FD">
        <w:rPr>
          <w:rFonts w:cs="Segoe UI"/>
        </w:rPr>
        <w:t xml:space="preserve"> approaches tend to coexist, as organizations aim to leverage the full breadth of their employees’ capabilities while making AI widely accessible across the enterprise</w:t>
      </w:r>
      <w:r w:rsidR="5757A8FE" w:rsidRPr="7E8E4603">
        <w:rPr>
          <w:rFonts w:cs="Segoe UI"/>
        </w:rPr>
        <w:t xml:space="preserve"> </w:t>
      </w:r>
      <w:r w:rsidR="27318C19" w:rsidRPr="7E8E4603">
        <w:rPr>
          <w:rFonts w:cs="Segoe UI"/>
        </w:rPr>
        <w:t>(</w:t>
      </w:r>
      <w:r w:rsidRPr="7E8E4603">
        <w:rPr>
          <w:rFonts w:cs="Segoe UI"/>
        </w:rPr>
        <w:t xml:space="preserve">we’ll </w:t>
      </w:r>
      <w:r w:rsidR="009B15FD">
        <w:rPr>
          <w:rFonts w:cs="Segoe UI"/>
        </w:rPr>
        <w:t>explore</w:t>
      </w:r>
      <w:r w:rsidRPr="7E8E4603">
        <w:rPr>
          <w:rFonts w:cs="Segoe UI"/>
        </w:rPr>
        <w:t xml:space="preserve"> the </w:t>
      </w:r>
      <w:r w:rsidR="09833D62" w:rsidRPr="7E8E4603">
        <w:rPr>
          <w:rFonts w:cs="Segoe UI"/>
        </w:rPr>
        <w:t>enterprise-wide AI platform later in this article</w:t>
      </w:r>
      <w:r w:rsidR="5757A8FE" w:rsidRPr="7E8E4603">
        <w:rPr>
          <w:rFonts w:cs="Segoe UI"/>
        </w:rPr>
        <w:t>)</w:t>
      </w:r>
      <w:r w:rsidR="09833D62" w:rsidRPr="7E8E4603">
        <w:rPr>
          <w:rFonts w:cs="Segoe UI"/>
        </w:rPr>
        <w:t xml:space="preserve">. </w:t>
      </w:r>
    </w:p>
    <w:p w14:paraId="13D79E0F" w14:textId="09FBADF4" w:rsidR="00A162DB" w:rsidRDefault="00D638C0" w:rsidP="00347FC1">
      <w:pPr>
        <w:rPr>
          <w:rFonts w:cs="Segoe UI"/>
        </w:rPr>
      </w:pPr>
      <w:r>
        <w:rPr>
          <w:rFonts w:cs="Segoe UI"/>
        </w:rPr>
        <w:t>In development scenarios, w</w:t>
      </w:r>
      <w:r w:rsidR="00E57CBD">
        <w:rPr>
          <w:rFonts w:cs="Segoe UI"/>
        </w:rPr>
        <w:t>e are seeing Foundry primarily tackle 3 use cases</w:t>
      </w:r>
      <w:r w:rsidR="00A162DB">
        <w:rPr>
          <w:rFonts w:cs="Segoe UI"/>
        </w:rPr>
        <w:t>:</w:t>
      </w:r>
    </w:p>
    <w:p w14:paraId="5DADF16F" w14:textId="7DA9858F" w:rsidR="00E57CBD" w:rsidRDefault="009B15FD" w:rsidP="00A162DB">
      <w:pPr>
        <w:pStyle w:val="ListParagraph"/>
        <w:numPr>
          <w:ilvl w:val="0"/>
          <w:numId w:val="10"/>
        </w:numPr>
        <w:rPr>
          <w:rFonts w:cs="Segoe UI"/>
        </w:rPr>
      </w:pPr>
      <w:r>
        <w:rPr>
          <w:rFonts w:cs="Segoe UI"/>
          <w:b/>
          <w:bCs/>
        </w:rPr>
        <w:t>P</w:t>
      </w:r>
      <w:commentRangeStart w:id="4"/>
      <w:r w:rsidR="356F6402" w:rsidRPr="7E8E4603">
        <w:rPr>
          <w:rFonts w:cs="Segoe UI"/>
          <w:b/>
          <w:bCs/>
        </w:rPr>
        <w:t>layground</w:t>
      </w:r>
      <w:commentRangeEnd w:id="4"/>
      <w:r w:rsidR="00A44A40">
        <w:rPr>
          <w:rStyle w:val="CommentReference"/>
          <w:rFonts w:cs="Segoe UI"/>
          <w:b/>
          <w:bCs/>
          <w:sz w:val="24"/>
          <w:szCs w:val="24"/>
        </w:rPr>
        <w:commentReference w:id="4"/>
      </w:r>
      <w:r>
        <w:rPr>
          <w:rFonts w:cs="Segoe UI"/>
          <w:b/>
          <w:bCs/>
        </w:rPr>
        <w:t>-based experimentation</w:t>
      </w:r>
      <w:r w:rsidR="356F6402" w:rsidRPr="7E8E4603">
        <w:rPr>
          <w:rFonts w:cs="Segoe UI"/>
          <w:b/>
          <w:bCs/>
        </w:rPr>
        <w:t>:</w:t>
      </w:r>
      <w:r w:rsidR="6430DAEA" w:rsidRPr="7E8E4603">
        <w:rPr>
          <w:rFonts w:cs="Segoe UI"/>
        </w:rPr>
        <w:t xml:space="preserve"> first-time developers leverage the Playgrounds experience in Foundry to try out different models, prompts, and evaluations in the ideation phase of development.</w:t>
      </w:r>
    </w:p>
    <w:p w14:paraId="1A4D2F46" w14:textId="0CBFD152" w:rsidR="00A44A40" w:rsidRDefault="00A44A40" w:rsidP="00A162DB">
      <w:pPr>
        <w:pStyle w:val="ListParagraph"/>
        <w:numPr>
          <w:ilvl w:val="0"/>
          <w:numId w:val="10"/>
        </w:numPr>
        <w:rPr>
          <w:rFonts w:cs="Segoe UI"/>
        </w:rPr>
      </w:pPr>
      <w:r w:rsidRPr="00181884">
        <w:rPr>
          <w:rFonts w:cs="Segoe UI"/>
          <w:b/>
          <w:bCs/>
        </w:rPr>
        <w:t>Model API Hosting</w:t>
      </w:r>
      <w:r w:rsidR="00A821A5" w:rsidRPr="00181884">
        <w:rPr>
          <w:rFonts w:cs="Segoe UI"/>
          <w:b/>
          <w:bCs/>
        </w:rPr>
        <w:t>:</w:t>
      </w:r>
      <w:r w:rsidR="00181884">
        <w:rPr>
          <w:rFonts w:cs="Segoe UI"/>
        </w:rPr>
        <w:t xml:space="preserve"> seasoned developers feel more at home in their IDE of choice, and so platform administrators may provide policy-compliant model endpoints for developers to consume as they please.</w:t>
      </w:r>
    </w:p>
    <w:p w14:paraId="610AB8B3" w14:textId="533EAFDC" w:rsidR="00D03F50" w:rsidRPr="00A162DB" w:rsidRDefault="00D03F50" w:rsidP="00A162DB">
      <w:pPr>
        <w:pStyle w:val="ListParagraph"/>
        <w:numPr>
          <w:ilvl w:val="0"/>
          <w:numId w:val="10"/>
        </w:numPr>
        <w:rPr>
          <w:rFonts w:cs="Segoe UI"/>
        </w:rPr>
      </w:pPr>
      <w:r w:rsidRPr="008E11DB">
        <w:rPr>
          <w:rFonts w:cs="Segoe UI"/>
          <w:b/>
          <w:bCs/>
        </w:rPr>
        <w:t>End-to-end AI pipelines:</w:t>
      </w:r>
      <w:r>
        <w:rPr>
          <w:rFonts w:cs="Segoe UI"/>
        </w:rPr>
        <w:t xml:space="preserve"> </w:t>
      </w:r>
      <w:r w:rsidR="00E27877">
        <w:rPr>
          <w:rFonts w:cs="Segoe UI"/>
        </w:rPr>
        <w:t xml:space="preserve">developers may choose to build complete solutions with Foundry that take advantage of models, agents, evaluations tools, </w:t>
      </w:r>
      <w:r w:rsidR="008E11DB">
        <w:rPr>
          <w:rFonts w:cs="Segoe UI"/>
        </w:rPr>
        <w:t xml:space="preserve">and content safety features. </w:t>
      </w:r>
    </w:p>
    <w:p w14:paraId="6A769CD3" w14:textId="2E748005" w:rsidR="00C57825" w:rsidRDefault="000479A8" w:rsidP="00347FC1">
      <w:pPr>
        <w:rPr>
          <w:rFonts w:cs="Segoe UI"/>
        </w:rPr>
      </w:pPr>
      <w:r>
        <w:rPr>
          <w:rFonts w:cs="Segoe UI"/>
        </w:rPr>
        <w:t>The content of this article is geared toward (1) &amp; (2), with a more robust article around complete production rollouts available elsewhere.</w:t>
      </w:r>
    </w:p>
    <w:tbl>
      <w:tblPr>
        <w:tblStyle w:val="TableGrid"/>
        <w:tblW w:w="0" w:type="auto"/>
        <w:tblLook w:val="04A0" w:firstRow="1" w:lastRow="0" w:firstColumn="1" w:lastColumn="0" w:noHBand="0" w:noVBand="1"/>
      </w:tblPr>
      <w:tblGrid>
        <w:gridCol w:w="9350"/>
      </w:tblGrid>
      <w:tr w:rsidR="001F432C" w14:paraId="3172CB08" w14:textId="77777777" w:rsidTr="7E8E4603">
        <w:tc>
          <w:tcPr>
            <w:tcW w:w="9350" w:type="dxa"/>
            <w:shd w:val="clear" w:color="auto" w:fill="D9F2D0" w:themeFill="accent6" w:themeFillTint="33"/>
          </w:tcPr>
          <w:p w14:paraId="63708260" w14:textId="77777777" w:rsidR="001F432C" w:rsidRDefault="001F432C" w:rsidP="00F615F3">
            <w:pPr>
              <w:rPr>
                <w:b/>
                <w:bCs/>
                <w:color w:val="501549" w:themeColor="accent5" w:themeShade="80"/>
              </w:rPr>
            </w:pPr>
          </w:p>
          <w:p w14:paraId="6E4688FE" w14:textId="1F58AF06" w:rsidR="001F432C" w:rsidRDefault="6FE1E07B" w:rsidP="00F615F3">
            <w:pPr>
              <w:rPr>
                <w:color w:val="501549" w:themeColor="accent5" w:themeShade="80"/>
              </w:rPr>
            </w:pPr>
            <w:r w:rsidRPr="7E8E4603">
              <w:rPr>
                <w:b/>
                <w:bCs/>
                <w:color w:val="196B24" w:themeColor="accent3"/>
              </w:rPr>
              <w:t xml:space="preserve">TIP: </w:t>
            </w:r>
            <w:r w:rsidRPr="7E8E4603">
              <w:rPr>
                <w:color w:val="196B24" w:themeColor="accent3"/>
              </w:rPr>
              <w:t>We</w:t>
            </w:r>
            <w:r w:rsidR="738C5A5D" w:rsidRPr="7E8E4603">
              <w:rPr>
                <w:color w:val="196B24" w:themeColor="accent3"/>
              </w:rPr>
              <w:t xml:space="preserve"> highly recommend familiarizing yourself with the </w:t>
            </w:r>
            <w:hyperlink r:id="rId13">
              <w:r w:rsidR="738C5A5D" w:rsidRPr="7E8E4603">
                <w:rPr>
                  <w:rStyle w:val="Hyperlink"/>
                  <w:color w:val="196B24" w:themeColor="accent3"/>
                </w:rPr>
                <w:t>agent development lifecycle in Microsoft Foundry</w:t>
              </w:r>
            </w:hyperlink>
            <w:r w:rsidR="738C5A5D" w:rsidRPr="7E8E4603">
              <w:rPr>
                <w:color w:val="196B24" w:themeColor="accent3"/>
              </w:rPr>
              <w:t xml:space="preserve"> </w:t>
            </w:r>
            <w:r w:rsidR="738C5A5D" w:rsidRPr="7E8E4603">
              <w:rPr>
                <w:i/>
                <w:iCs/>
                <w:color w:val="196B24" w:themeColor="accent3"/>
              </w:rPr>
              <w:t>before</w:t>
            </w:r>
            <w:r w:rsidR="738C5A5D" w:rsidRPr="7E8E4603">
              <w:rPr>
                <w:color w:val="196B24" w:themeColor="accent3"/>
              </w:rPr>
              <w:t xml:space="preserve"> proceeding with the remainder of the article. Concepts from the lifecycle will be </w:t>
            </w:r>
            <w:r w:rsidR="009B15FD">
              <w:rPr>
                <w:color w:val="196B24" w:themeColor="accent3"/>
              </w:rPr>
              <w:t>addressed in later sections of</w:t>
            </w:r>
            <w:commentRangeStart w:id="5"/>
            <w:r w:rsidR="738C5A5D" w:rsidRPr="7E8E4603">
              <w:rPr>
                <w:color w:val="196B24" w:themeColor="accent3"/>
              </w:rPr>
              <w:t xml:space="preserve"> the article</w:t>
            </w:r>
            <w:commentRangeEnd w:id="5"/>
            <w:r w:rsidR="00CA1C79" w:rsidRPr="7E8E4603">
              <w:rPr>
                <w:rStyle w:val="CommentReference"/>
                <w:color w:val="196B24" w:themeColor="accent3"/>
                <w:sz w:val="24"/>
                <w:szCs w:val="24"/>
              </w:rPr>
              <w:commentReference w:id="5"/>
            </w:r>
            <w:r w:rsidR="738C5A5D" w:rsidRPr="7E8E4603">
              <w:rPr>
                <w:color w:val="196B24" w:themeColor="accent3"/>
              </w:rPr>
              <w:t xml:space="preserve"> when we cover observability, governance, and monitoring.</w:t>
            </w:r>
            <w:r w:rsidR="00CA1C79">
              <w:tab/>
            </w:r>
          </w:p>
          <w:p w14:paraId="23027C99" w14:textId="77777777" w:rsidR="001F432C" w:rsidRDefault="001F432C" w:rsidP="00F615F3">
            <w:pPr>
              <w:rPr>
                <w:color w:val="EE0000"/>
              </w:rPr>
            </w:pPr>
          </w:p>
        </w:tc>
      </w:tr>
    </w:tbl>
    <w:p w14:paraId="6EA2C0C3" w14:textId="77777777" w:rsidR="000479A8" w:rsidRPr="00FE1CBF" w:rsidRDefault="000479A8" w:rsidP="00347FC1">
      <w:pPr>
        <w:rPr>
          <w:rFonts w:cs="Segoe UI"/>
        </w:rPr>
      </w:pPr>
    </w:p>
    <w:p w14:paraId="2EE0806F" w14:textId="2800EFC1" w:rsidR="005D3400" w:rsidRDefault="005D3400" w:rsidP="0056759F">
      <w:pPr>
        <w:rPr>
          <w:rFonts w:ascii="Segoe UI Semibold" w:hAnsi="Segoe UI Semibold" w:cs="Segoe UI Semibold"/>
          <w:b/>
          <w:bCs/>
          <w:sz w:val="36"/>
          <w:szCs w:val="36"/>
        </w:rPr>
      </w:pPr>
      <w:r>
        <w:rPr>
          <w:rFonts w:ascii="Segoe UI Semibold" w:hAnsi="Segoe UI Semibold" w:cs="Segoe UI Semibold"/>
          <w:b/>
          <w:bCs/>
          <w:sz w:val="36"/>
          <w:szCs w:val="36"/>
        </w:rPr>
        <w:t>Microsoft Foundry adoption checklist</w:t>
      </w:r>
    </w:p>
    <w:p w14:paraId="162C816E" w14:textId="51F233B0" w:rsidR="005D3400" w:rsidRPr="00931AAC" w:rsidRDefault="005D3400" w:rsidP="0056759F">
      <w:pPr>
        <w:rPr>
          <w:rFonts w:cs="Segoe UI Semibold"/>
        </w:rPr>
      </w:pPr>
      <w:r w:rsidRPr="00931AAC">
        <w:rPr>
          <w:rFonts w:cs="Segoe UI Semibold"/>
        </w:rPr>
        <w:t>Many customers find it useful to have an adoption checklist handy that outlines the important components of adopting a new technology platform. We’ve provided an adoption checklist below for you to use as a starting point:</w:t>
      </w:r>
    </w:p>
    <w:tbl>
      <w:tblPr>
        <w:tblStyle w:val="TableGrid"/>
        <w:tblW w:w="0" w:type="auto"/>
        <w:tblLook w:val="04A0" w:firstRow="1" w:lastRow="0" w:firstColumn="1" w:lastColumn="0" w:noHBand="0" w:noVBand="1"/>
      </w:tblPr>
      <w:tblGrid>
        <w:gridCol w:w="715"/>
        <w:gridCol w:w="8635"/>
      </w:tblGrid>
      <w:tr w:rsidR="005D3400" w14:paraId="23873A1A" w14:textId="77777777" w:rsidTr="1CEF8FBA">
        <w:tc>
          <w:tcPr>
            <w:tcW w:w="715" w:type="dxa"/>
          </w:tcPr>
          <w:p w14:paraId="1C8A47EE"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7FF6361F" w14:textId="28A4F1F4" w:rsidR="005D3400" w:rsidRPr="005D3400" w:rsidRDefault="005D3400" w:rsidP="005D3400">
            <w:pPr>
              <w:rPr>
                <w:rFonts w:ascii="Segoe UI Semibold" w:hAnsi="Segoe UI Semibold" w:cs="Segoe UI Semibold"/>
                <w:b/>
                <w:bCs/>
                <w:sz w:val="36"/>
                <w:szCs w:val="36"/>
              </w:rPr>
            </w:pPr>
            <w:r w:rsidRPr="005D3400">
              <w:t>Define your environment boundaries across development, testing, and production.</w:t>
            </w:r>
          </w:p>
        </w:tc>
      </w:tr>
      <w:tr w:rsidR="005D3400" w14:paraId="23E52F5D" w14:textId="77777777" w:rsidTr="1CEF8FBA">
        <w:tc>
          <w:tcPr>
            <w:tcW w:w="715" w:type="dxa"/>
          </w:tcPr>
          <w:p w14:paraId="15CCAE39"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68446BB7" w14:textId="5AE2F4C8" w:rsidR="005D3400" w:rsidRPr="005D3400" w:rsidRDefault="005D3400" w:rsidP="005D3400">
            <w:pPr>
              <w:rPr>
                <w:rFonts w:ascii="Segoe UI Semibold" w:hAnsi="Segoe UI Semibold" w:cs="Segoe UI Semibold"/>
                <w:b/>
                <w:bCs/>
                <w:sz w:val="36"/>
                <w:szCs w:val="36"/>
              </w:rPr>
            </w:pPr>
            <w:r w:rsidRPr="005D3400">
              <w:t>Identify or assign ownership for each Foundry resource and project scope. Leverage the approaches to organizing Foundry section of this article to determine how your organization will adopt Foundry.</w:t>
            </w:r>
          </w:p>
        </w:tc>
      </w:tr>
      <w:tr w:rsidR="005D3400" w14:paraId="6357015F" w14:textId="77777777" w:rsidTr="1CEF8FBA">
        <w:tc>
          <w:tcPr>
            <w:tcW w:w="715" w:type="dxa"/>
          </w:tcPr>
          <w:p w14:paraId="2A56BB22"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5C55D19B" w14:textId="4FD58003" w:rsidR="005D3400" w:rsidRPr="005D3400" w:rsidRDefault="005D3400" w:rsidP="005D3400">
            <w:pPr>
              <w:rPr>
                <w:rFonts w:ascii="Segoe UI Semibold" w:hAnsi="Segoe UI Semibold" w:cs="Segoe UI Semibold"/>
                <w:b/>
                <w:bCs/>
                <w:sz w:val="36"/>
                <w:szCs w:val="36"/>
              </w:rPr>
            </w:pPr>
            <w:r w:rsidRPr="005D3400">
              <w:t>Identify any resource connection requirements for your Foundry projects.</w:t>
            </w:r>
          </w:p>
        </w:tc>
      </w:tr>
      <w:tr w:rsidR="005D3400" w14:paraId="71F57D73" w14:textId="77777777" w:rsidTr="1CEF8FBA">
        <w:tc>
          <w:tcPr>
            <w:tcW w:w="715" w:type="dxa"/>
          </w:tcPr>
          <w:p w14:paraId="6C0D5E0B"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57DDC5AE" w14:textId="4C9CC762" w:rsidR="005D3400" w:rsidRPr="005D3400" w:rsidRDefault="005D3400" w:rsidP="005D3400">
            <w:pPr>
              <w:rPr>
                <w:rFonts w:ascii="Segoe UI Semibold" w:hAnsi="Segoe UI Semibold" w:cs="Segoe UI Semibold"/>
                <w:b/>
                <w:bCs/>
                <w:sz w:val="36"/>
                <w:szCs w:val="36"/>
              </w:rPr>
            </w:pPr>
            <w:r w:rsidRPr="005D3400">
              <w:t xml:space="preserve">Define your network configuration for Foundry based on the three recommended patterns presented in this article. Leverage infrastructure-as-code templates wherever possible. </w:t>
            </w:r>
          </w:p>
        </w:tc>
      </w:tr>
      <w:tr w:rsidR="005D3400" w14:paraId="03FCE1F4" w14:textId="77777777" w:rsidTr="1CEF8FBA">
        <w:tc>
          <w:tcPr>
            <w:tcW w:w="715" w:type="dxa"/>
          </w:tcPr>
          <w:p w14:paraId="1BDC8017"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752ABF61" w14:textId="3599E1B4" w:rsidR="005D3400" w:rsidRPr="005D3400" w:rsidRDefault="005D3400" w:rsidP="005D3400">
            <w:pPr>
              <w:rPr>
                <w:rFonts w:ascii="Segoe UI Semibold" w:hAnsi="Segoe UI Semibold" w:cs="Segoe UI Semibold"/>
                <w:b/>
                <w:bCs/>
                <w:sz w:val="36"/>
                <w:szCs w:val="36"/>
              </w:rPr>
            </w:pPr>
            <w:r w:rsidRPr="005D3400">
              <w:t>Determine whether customer-managed keys are required by policy. This is an important consideration for highly regulated industries such as healthcare.</w:t>
            </w:r>
          </w:p>
        </w:tc>
      </w:tr>
      <w:tr w:rsidR="005D3400" w14:paraId="5083AF4F" w14:textId="77777777" w:rsidTr="1CEF8FBA">
        <w:tc>
          <w:tcPr>
            <w:tcW w:w="715" w:type="dxa"/>
          </w:tcPr>
          <w:p w14:paraId="17750EE8"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00C995C7" w14:textId="6B748DD4" w:rsidR="005D3400" w:rsidRPr="005D3400" w:rsidRDefault="005D3400" w:rsidP="005D3400">
            <w:pPr>
              <w:rPr>
                <w:rFonts w:ascii="Segoe UI Semibold" w:hAnsi="Segoe UI Semibold" w:cs="Segoe UI Semibold"/>
                <w:b/>
                <w:bCs/>
                <w:sz w:val="36"/>
                <w:szCs w:val="36"/>
              </w:rPr>
            </w:pPr>
            <w:r w:rsidRPr="005D3400">
              <w:t xml:space="preserve">Define a model deployment strategy to ensure model capacity and that your organization remains compliant with any data residency or processing requirements. </w:t>
            </w:r>
          </w:p>
        </w:tc>
      </w:tr>
      <w:tr w:rsidR="005D3400" w14:paraId="6D1BE8C6" w14:textId="77777777" w:rsidTr="1CEF8FBA">
        <w:tc>
          <w:tcPr>
            <w:tcW w:w="715" w:type="dxa"/>
          </w:tcPr>
          <w:p w14:paraId="66E9567F"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20A8218D" w14:textId="1E2CC6AF" w:rsidR="005D3400" w:rsidRPr="005D3400" w:rsidRDefault="4F666109" w:rsidP="005D3400">
            <w:pPr>
              <w:rPr>
                <w:rFonts w:ascii="Segoe UI Semibold" w:hAnsi="Segoe UI Semibold" w:cs="Segoe UI Semibold"/>
                <w:b/>
                <w:bCs/>
                <w:sz w:val="36"/>
                <w:szCs w:val="36"/>
              </w:rPr>
            </w:pPr>
            <w:commentRangeStart w:id="6"/>
            <w:r>
              <w:t xml:space="preserve">Identify environment-wide policies that are required to apply to model and agent deployments – i.e. </w:t>
            </w:r>
            <w:commentRangeStart w:id="7"/>
            <w:r>
              <w:t>token</w:t>
            </w:r>
            <w:r w:rsidR="009B15FD">
              <w:t xml:space="preserve"> and rate </w:t>
            </w:r>
            <w:r>
              <w:t>limit</w:t>
            </w:r>
            <w:commentRangeEnd w:id="7"/>
            <w:r>
              <w:rPr>
                <w:rStyle w:val="CommentReference"/>
                <w:sz w:val="24"/>
                <w:szCs w:val="24"/>
              </w:rPr>
              <w:commentReference w:id="7"/>
            </w:r>
            <w:r>
              <w:t xml:space="preserve"> policies via APIM, </w:t>
            </w:r>
            <w:r w:rsidR="00171B81">
              <w:t xml:space="preserve">Foundry guardrails, </w:t>
            </w:r>
            <w:r>
              <w:t>Azure Policies restricting certain model usage, etc.</w:t>
            </w:r>
            <w:commentRangeEnd w:id="6"/>
            <w:r w:rsidRPr="005D3400">
              <w:rPr>
                <w:rStyle w:val="CommentReference"/>
                <w:rFonts w:ascii="Segoe UI Semibold" w:hAnsi="Segoe UI Semibold" w:cs="Segoe UI Semibold"/>
                <w:b/>
                <w:bCs/>
                <w:sz w:val="36"/>
                <w:szCs w:val="36"/>
              </w:rPr>
              <w:commentReference w:id="6"/>
            </w:r>
          </w:p>
        </w:tc>
      </w:tr>
      <w:tr w:rsidR="005D3400" w14:paraId="1C41423D" w14:textId="77777777" w:rsidTr="1CEF8FBA">
        <w:tc>
          <w:tcPr>
            <w:tcW w:w="715" w:type="dxa"/>
          </w:tcPr>
          <w:p w14:paraId="794E1B78"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469487BF" w14:textId="77777777" w:rsidR="005D3400" w:rsidRPr="005D3400" w:rsidRDefault="005D3400" w:rsidP="005D3400">
            <w:pPr>
              <w:rPr>
                <w:b/>
                <w:bCs/>
              </w:rPr>
            </w:pPr>
            <w:r w:rsidRPr="005D3400">
              <w:t>Define role-based access control assignments for platform administrators, project managers, and project users. Root your assignments in the Microsoft best practice of least-privilege.</w:t>
            </w:r>
          </w:p>
          <w:p w14:paraId="4480CCE5" w14:textId="77777777" w:rsidR="005D3400" w:rsidRPr="005D3400" w:rsidRDefault="005D3400" w:rsidP="005D3400"/>
        </w:tc>
      </w:tr>
      <w:tr w:rsidR="005D3400" w14:paraId="2BD3DD7A" w14:textId="77777777" w:rsidTr="1CEF8FBA">
        <w:tc>
          <w:tcPr>
            <w:tcW w:w="715" w:type="dxa"/>
          </w:tcPr>
          <w:p w14:paraId="7B75D1C7"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5BA075D3" w14:textId="77777777" w:rsidR="005D3400" w:rsidRPr="005D3400" w:rsidRDefault="005D3400" w:rsidP="005D3400">
            <w:pPr>
              <w:rPr>
                <w:b/>
                <w:bCs/>
              </w:rPr>
            </w:pPr>
            <w:r w:rsidRPr="005D3400">
              <w:t>Determine your cost management strategy for tracking costs associated with Foundry, such as model, agent, and tool calling, or associate resources.</w:t>
            </w:r>
          </w:p>
          <w:p w14:paraId="71FDAC9C" w14:textId="77777777" w:rsidR="005D3400" w:rsidRPr="005D3400" w:rsidRDefault="005D3400" w:rsidP="005D3400"/>
        </w:tc>
      </w:tr>
      <w:tr w:rsidR="005D3400" w14:paraId="198B01F5" w14:textId="77777777" w:rsidTr="1CEF8FBA">
        <w:tc>
          <w:tcPr>
            <w:tcW w:w="715" w:type="dxa"/>
          </w:tcPr>
          <w:p w14:paraId="295CE1EE" w14:textId="77777777" w:rsidR="005D3400" w:rsidRPr="005D3400" w:rsidRDefault="005D3400" w:rsidP="005D3400">
            <w:pPr>
              <w:pStyle w:val="ListParagraph"/>
              <w:numPr>
                <w:ilvl w:val="0"/>
                <w:numId w:val="11"/>
              </w:numPr>
              <w:ind w:left="504"/>
              <w:rPr>
                <w:rFonts w:ascii="Segoe UI Semibold" w:hAnsi="Segoe UI Semibold" w:cs="Segoe UI Semibold"/>
                <w:b/>
                <w:bCs/>
                <w:sz w:val="36"/>
                <w:szCs w:val="36"/>
              </w:rPr>
            </w:pPr>
          </w:p>
        </w:tc>
        <w:tc>
          <w:tcPr>
            <w:tcW w:w="8635" w:type="dxa"/>
          </w:tcPr>
          <w:p w14:paraId="42DCDB3F" w14:textId="77777777" w:rsidR="005D3400" w:rsidRPr="005D3400" w:rsidRDefault="005D3400" w:rsidP="005D3400">
            <w:pPr>
              <w:rPr>
                <w:b/>
                <w:bCs/>
              </w:rPr>
            </w:pPr>
            <w:r w:rsidRPr="005D3400">
              <w:t>Enable monitoring capabilities to capture information related to your Foundry environment and the agents created there.</w:t>
            </w:r>
          </w:p>
          <w:p w14:paraId="6B543BE7" w14:textId="77777777" w:rsidR="005D3400" w:rsidRPr="005D3400" w:rsidRDefault="005D3400" w:rsidP="005D3400"/>
        </w:tc>
      </w:tr>
    </w:tbl>
    <w:p w14:paraId="0E8B5061" w14:textId="77777777" w:rsidR="00931AAC" w:rsidRDefault="00931AAC" w:rsidP="0056759F">
      <w:pPr>
        <w:rPr>
          <w:rFonts w:cs="Segoe UI Semibold"/>
        </w:rPr>
      </w:pPr>
    </w:p>
    <w:p w14:paraId="0D9C2F62" w14:textId="12418402" w:rsidR="005D3400" w:rsidRPr="00931AAC" w:rsidRDefault="00931AAC" w:rsidP="0056759F">
      <w:pPr>
        <w:rPr>
          <w:rFonts w:cs="Segoe UI Semibold"/>
        </w:rPr>
      </w:pPr>
      <w:r>
        <w:rPr>
          <w:rFonts w:cs="Segoe UI Semibold"/>
        </w:rPr>
        <w:t xml:space="preserve">We’ll start with the considerations to keep in mind for organizing projects </w:t>
      </w:r>
      <w:r w:rsidR="00B449BA">
        <w:rPr>
          <w:rFonts w:cs="Segoe UI Semibold"/>
        </w:rPr>
        <w:t>inside</w:t>
      </w:r>
      <w:r>
        <w:rPr>
          <w:rFonts w:cs="Segoe UI Semibold"/>
        </w:rPr>
        <w:t xml:space="preserve"> Microsoft Foundry.</w:t>
      </w:r>
    </w:p>
    <w:p w14:paraId="743AA425" w14:textId="75ABF3D8" w:rsidR="0056759F" w:rsidRPr="00347FC1" w:rsidRDefault="005D3400" w:rsidP="0056759F">
      <w:pPr>
        <w:rPr>
          <w:rFonts w:ascii="Segoe UI Semibold" w:hAnsi="Segoe UI Semibold" w:cs="Segoe UI Semibold"/>
          <w:b/>
          <w:bCs/>
          <w:sz w:val="36"/>
          <w:szCs w:val="36"/>
        </w:rPr>
      </w:pPr>
      <w:r>
        <w:rPr>
          <w:rFonts w:ascii="Segoe UI Semibold" w:hAnsi="Segoe UI Semibold" w:cs="Segoe UI Semibold"/>
          <w:b/>
          <w:bCs/>
          <w:sz w:val="36"/>
          <w:szCs w:val="36"/>
        </w:rPr>
        <w:t>P</w:t>
      </w:r>
      <w:r w:rsidR="005D2E5B">
        <w:rPr>
          <w:rFonts w:ascii="Segoe UI Semibold" w:hAnsi="Segoe UI Semibold" w:cs="Segoe UI Semibold"/>
          <w:b/>
          <w:bCs/>
          <w:sz w:val="36"/>
          <w:szCs w:val="36"/>
        </w:rPr>
        <w:t>roject s</w:t>
      </w:r>
      <w:r w:rsidR="0056759F" w:rsidRPr="00347FC1">
        <w:rPr>
          <w:rFonts w:ascii="Segoe UI Semibold" w:hAnsi="Segoe UI Semibold" w:cs="Segoe UI Semibold"/>
          <w:b/>
          <w:bCs/>
          <w:sz w:val="36"/>
          <w:szCs w:val="36"/>
        </w:rPr>
        <w:t>etup considerations for adopting Foundry</w:t>
      </w:r>
    </w:p>
    <w:p w14:paraId="08B809B2" w14:textId="77777777" w:rsidR="0056759F" w:rsidRPr="00931AAC" w:rsidRDefault="0056759F" w:rsidP="0056759F">
      <w:pPr>
        <w:rPr>
          <w:rFonts w:ascii="Segoe UI Semibold" w:hAnsi="Segoe UI Semibold" w:cs="Segoe UI Semibold"/>
          <w:b/>
          <w:bCs/>
          <w:sz w:val="32"/>
          <w:szCs w:val="32"/>
        </w:rPr>
      </w:pPr>
      <w:r w:rsidRPr="00931AAC">
        <w:rPr>
          <w:rFonts w:ascii="Segoe UI Semibold" w:hAnsi="Segoe UI Semibold" w:cs="Segoe UI Semibold"/>
          <w:b/>
          <w:bCs/>
          <w:sz w:val="32"/>
          <w:szCs w:val="32"/>
        </w:rPr>
        <w:t>What are Foundry Projects?</w:t>
      </w:r>
    </w:p>
    <w:p w14:paraId="175894A9" w14:textId="6EE71BAF" w:rsidR="0056759F" w:rsidRDefault="0056759F" w:rsidP="0056759F">
      <w:commentRangeStart w:id="8"/>
      <w:r>
        <w:t xml:space="preserve">Microsoft Foundry uses a </w:t>
      </w:r>
      <w:r w:rsidR="00CA398F">
        <w:t xml:space="preserve">Foundry account </w:t>
      </w:r>
      <w:r>
        <w:t xml:space="preserve">resource and </w:t>
      </w:r>
      <w:r w:rsidR="00CA398F">
        <w:t xml:space="preserve">Foundry </w:t>
      </w:r>
      <w:r>
        <w:t xml:space="preserve">project distinction for resource organization – </w:t>
      </w:r>
      <w:r w:rsidR="00931AAC">
        <w:t>like</w:t>
      </w:r>
      <w:r>
        <w:t xml:space="preserve"> a parent / child relationship.</w:t>
      </w:r>
      <w:commentRangeEnd w:id="8"/>
      <w:r>
        <w:rPr>
          <w:rStyle w:val="CommentReference"/>
          <w:sz w:val="24"/>
          <w:szCs w:val="24"/>
        </w:rPr>
        <w:commentReference w:id="8"/>
      </w:r>
      <w:r>
        <w:t xml:space="preserve"> </w:t>
      </w:r>
      <w:r w:rsidR="00A62EF2">
        <w:t xml:space="preserve">The </w:t>
      </w:r>
      <w:r w:rsidR="00CA398F">
        <w:t>Foundry account resourc</w:t>
      </w:r>
      <w:r w:rsidR="0068734C">
        <w:t xml:space="preserve">e </w:t>
      </w:r>
      <w:r w:rsidR="00A62EF2">
        <w:t xml:space="preserve">provides the shared control plane, governance, and core AI capabilities such as models, services, and management for all associated Foundry projects. </w:t>
      </w:r>
      <w:r>
        <w:t xml:space="preserve">Foundry projects are designed to represent specific use cases for developers to work on. They’re containers to organize components such as agents or files for an application. While they inherit security settings from their parent </w:t>
      </w:r>
      <w:r w:rsidR="0068734C">
        <w:t xml:space="preserve">Foundry </w:t>
      </w:r>
      <w:r>
        <w:t>resource, they can also implement their own access controls, resource connections, and other governance controls.</w:t>
      </w:r>
    </w:p>
    <w:p w14:paraId="3C4BC434" w14:textId="77777777" w:rsidR="0056759F" w:rsidRPr="00227EC6" w:rsidRDefault="0056759F" w:rsidP="0056759F">
      <w:pPr>
        <w:rPr>
          <w:b/>
          <w:bCs/>
          <w:sz w:val="36"/>
          <w:szCs w:val="36"/>
        </w:rPr>
      </w:pPr>
      <w:r>
        <w:t>You can have many Foundry projects within a Foundry resource, as seen below:</w:t>
      </w:r>
    </w:p>
    <w:p w14:paraId="41B2CA32" w14:textId="77777777" w:rsidR="0056759F" w:rsidRDefault="0056759F" w:rsidP="0056759F">
      <w:pPr>
        <w:jc w:val="center"/>
      </w:pPr>
      <w:r w:rsidRPr="00A23D03">
        <w:rPr>
          <w:noProof/>
        </w:rPr>
        <w:drawing>
          <wp:inline distT="0" distB="0" distL="0" distR="0" wp14:anchorId="71C7E622" wp14:editId="1CD4AA9A">
            <wp:extent cx="4508864" cy="2211572"/>
            <wp:effectExtent l="0" t="0" r="6350" b="0"/>
            <wp:docPr id="987309833" name="Picture 1">
              <a:extLst xmlns:a="http://schemas.openxmlformats.org/drawingml/2006/main">
                <a:ext uri="{FF2B5EF4-FFF2-40B4-BE49-F238E27FC236}">
                  <a16:creationId xmlns:a16="http://schemas.microsoft.com/office/drawing/2014/main" id="{CA9EBD36-CE51-47D5-9DED-B4AC59734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09833" name=""/>
                    <pic:cNvPicPr/>
                  </pic:nvPicPr>
                  <pic:blipFill>
                    <a:blip r:embed="rId14"/>
                    <a:stretch>
                      <a:fillRect/>
                    </a:stretch>
                  </pic:blipFill>
                  <pic:spPr>
                    <a:xfrm>
                      <a:off x="0" y="0"/>
                      <a:ext cx="4512710" cy="2213458"/>
                    </a:xfrm>
                    <a:prstGeom prst="rect">
                      <a:avLst/>
                    </a:prstGeom>
                  </pic:spPr>
                </pic:pic>
              </a:graphicData>
            </a:graphic>
          </wp:inline>
        </w:drawing>
      </w:r>
    </w:p>
    <w:p w14:paraId="0303A8B3" w14:textId="77777777" w:rsidR="0056759F" w:rsidRPr="00931AAC" w:rsidRDefault="0056759F" w:rsidP="0056759F">
      <w:pPr>
        <w:rPr>
          <w:rFonts w:ascii="Segoe UI Semibold" w:hAnsi="Segoe UI Semibold" w:cs="Segoe UI Semibold"/>
          <w:b/>
          <w:bCs/>
          <w:sz w:val="32"/>
          <w:szCs w:val="32"/>
        </w:rPr>
      </w:pPr>
      <w:r w:rsidRPr="00931AAC">
        <w:rPr>
          <w:rFonts w:ascii="Segoe UI Semibold" w:hAnsi="Segoe UI Semibold" w:cs="Segoe UI Semibold"/>
          <w:b/>
          <w:bCs/>
          <w:sz w:val="32"/>
          <w:szCs w:val="32"/>
        </w:rPr>
        <w:t>Approaches to organizing Foundry</w:t>
      </w:r>
    </w:p>
    <w:p w14:paraId="3E6B87E9" w14:textId="77777777" w:rsidR="0056759F" w:rsidRDefault="0056759F" w:rsidP="0056759F">
      <w:r>
        <w:t xml:space="preserve">There are two perspectives to consider when approaching Foundry adoption: the enterprise-wide perspective and the department-level perspective. </w:t>
      </w:r>
    </w:p>
    <w:p w14:paraId="3E49C7EB" w14:textId="6D9FEE9C" w:rsidR="0056759F" w:rsidRPr="00931AAC" w:rsidRDefault="00931AAC" w:rsidP="0056759F">
      <w:pPr>
        <w:rPr>
          <w:rFonts w:ascii="Segoe UI Semibold" w:hAnsi="Segoe UI Semibold" w:cs="Segoe UI Semibold"/>
          <w:b/>
          <w:bCs/>
          <w:sz w:val="28"/>
          <w:szCs w:val="28"/>
        </w:rPr>
      </w:pPr>
      <w:r w:rsidRPr="00931AAC">
        <w:rPr>
          <w:rFonts w:ascii="Segoe UI Semibold" w:hAnsi="Segoe UI Semibold" w:cs="Segoe UI Semibold"/>
          <w:b/>
          <w:bCs/>
          <w:sz w:val="28"/>
          <w:szCs w:val="28"/>
        </w:rPr>
        <w:t>The “</w:t>
      </w:r>
      <w:r w:rsidR="0056759F" w:rsidRPr="00931AAC">
        <w:rPr>
          <w:rFonts w:ascii="Segoe UI Semibold" w:hAnsi="Segoe UI Semibold" w:cs="Segoe UI Semibold"/>
          <w:b/>
          <w:bCs/>
          <w:sz w:val="28"/>
          <w:szCs w:val="28"/>
        </w:rPr>
        <w:t>Enterprise-Wide</w:t>
      </w:r>
      <w:r w:rsidRPr="00931AAC">
        <w:rPr>
          <w:rFonts w:ascii="Segoe UI Semibold" w:hAnsi="Segoe UI Semibold" w:cs="Segoe UI Semibold"/>
          <w:b/>
          <w:bCs/>
          <w:sz w:val="28"/>
          <w:szCs w:val="28"/>
        </w:rPr>
        <w:t>”</w:t>
      </w:r>
      <w:r w:rsidR="0056759F" w:rsidRPr="00931AAC">
        <w:rPr>
          <w:rFonts w:ascii="Segoe UI Semibold" w:hAnsi="Segoe UI Semibold" w:cs="Segoe UI Semibold"/>
          <w:b/>
          <w:bCs/>
          <w:sz w:val="28"/>
          <w:szCs w:val="28"/>
        </w:rPr>
        <w:t xml:space="preserve"> Perspective</w:t>
      </w:r>
    </w:p>
    <w:p w14:paraId="2F875DC9" w14:textId="77777777" w:rsidR="0056759F" w:rsidRDefault="0056759F" w:rsidP="0056759F">
      <w:r>
        <w:t>Many organizations gravitate towards viewing Foundry as their next generation AI platform, and leaders will naturally want to build a single, enterprise-wide AI platform around Foundry.</w:t>
      </w:r>
    </w:p>
    <w:tbl>
      <w:tblPr>
        <w:tblStyle w:val="TableGrid"/>
        <w:tblW w:w="0" w:type="auto"/>
        <w:tblLook w:val="04A0" w:firstRow="1" w:lastRow="0" w:firstColumn="1" w:lastColumn="0" w:noHBand="0" w:noVBand="1"/>
      </w:tblPr>
      <w:tblGrid>
        <w:gridCol w:w="9350"/>
      </w:tblGrid>
      <w:tr w:rsidR="0056759F" w14:paraId="20E7BB5A" w14:textId="77777777" w:rsidTr="2F50081F">
        <w:tc>
          <w:tcPr>
            <w:tcW w:w="9350" w:type="dxa"/>
            <w:shd w:val="clear" w:color="auto" w:fill="C1F0C7" w:themeFill="accent3" w:themeFillTint="33"/>
          </w:tcPr>
          <w:p w14:paraId="7725B292" w14:textId="77777777" w:rsidR="0056759F" w:rsidRDefault="0056759F" w:rsidP="00F615F3">
            <w:pPr>
              <w:rPr>
                <w:b/>
                <w:bCs/>
              </w:rPr>
            </w:pPr>
          </w:p>
          <w:p w14:paraId="7C4080F9" w14:textId="77777777" w:rsidR="0056759F" w:rsidRPr="00227EC6" w:rsidRDefault="0056759F" w:rsidP="00F615F3">
            <w:pPr>
              <w:rPr>
                <w:color w:val="0C3512" w:themeColor="accent3" w:themeShade="80"/>
              </w:rPr>
            </w:pPr>
            <w:commentRangeStart w:id="9"/>
            <w:commentRangeStart w:id="10"/>
            <w:commentRangeStart w:id="11"/>
            <w:r w:rsidRPr="2F50081F">
              <w:rPr>
                <w:b/>
                <w:bCs/>
                <w:color w:val="0C3512" w:themeColor="accent3" w:themeShade="80"/>
              </w:rPr>
              <w:t>TIP:</w:t>
            </w:r>
            <w:r w:rsidRPr="2F50081F">
              <w:rPr>
                <w:color w:val="0C3512" w:themeColor="accent3" w:themeShade="80"/>
              </w:rPr>
              <w:t xml:space="preserve"> It is crucial to view Foundry as a </w:t>
            </w:r>
            <w:r w:rsidRPr="2F50081F">
              <w:rPr>
                <w:i/>
                <w:iCs/>
                <w:color w:val="0C3512" w:themeColor="accent3" w:themeShade="80"/>
              </w:rPr>
              <w:t>development</w:t>
            </w:r>
            <w:r w:rsidRPr="2F50081F">
              <w:rPr>
                <w:color w:val="0C3512" w:themeColor="accent3" w:themeShade="80"/>
              </w:rPr>
              <w:t xml:space="preserve"> platform, not a </w:t>
            </w:r>
            <w:r w:rsidRPr="2F50081F">
              <w:rPr>
                <w:i/>
                <w:iCs/>
                <w:color w:val="0C3512" w:themeColor="accent3" w:themeShade="80"/>
              </w:rPr>
              <w:t>consumption</w:t>
            </w:r>
            <w:r w:rsidRPr="2F50081F">
              <w:rPr>
                <w:color w:val="0C3512" w:themeColor="accent3" w:themeShade="80"/>
              </w:rPr>
              <w:t xml:space="preserve"> platform. It is acceptable and, in some cases, encouraged to pursue an enterprise-wide AI platform, where many users can log on and consume models and agents from one secure application.</w:t>
            </w:r>
            <w:commentRangeEnd w:id="9"/>
            <w:r w:rsidRPr="00227EC6">
              <w:rPr>
                <w:rStyle w:val="CommentReference"/>
                <w:color w:val="0C3512" w:themeColor="accent3" w:themeShade="80"/>
                <w:sz w:val="24"/>
                <w:szCs w:val="24"/>
              </w:rPr>
              <w:commentReference w:id="9"/>
            </w:r>
            <w:commentRangeEnd w:id="10"/>
            <w:r w:rsidR="00714E76" w:rsidRPr="00227EC6">
              <w:rPr>
                <w:rStyle w:val="CommentReference"/>
                <w:color w:val="0C3512" w:themeColor="accent3" w:themeShade="80"/>
                <w:sz w:val="24"/>
                <w:szCs w:val="24"/>
              </w:rPr>
              <w:commentReference w:id="10"/>
            </w:r>
            <w:commentRangeEnd w:id="11"/>
            <w:r w:rsidR="00714E76" w:rsidRPr="00227EC6">
              <w:rPr>
                <w:rStyle w:val="CommentReference"/>
                <w:color w:val="0C3512" w:themeColor="accent3" w:themeShade="80"/>
                <w:sz w:val="24"/>
                <w:szCs w:val="24"/>
              </w:rPr>
              <w:commentReference w:id="11"/>
            </w:r>
          </w:p>
          <w:p w14:paraId="51A0CD10" w14:textId="77777777" w:rsidR="0056759F" w:rsidRDefault="0056759F" w:rsidP="00F615F3"/>
        </w:tc>
      </w:tr>
    </w:tbl>
    <w:p w14:paraId="750B2BAE" w14:textId="77777777" w:rsidR="0056759F" w:rsidRDefault="0056759F" w:rsidP="0056759F"/>
    <w:p w14:paraId="4897B70F" w14:textId="77777777" w:rsidR="0056759F" w:rsidRDefault="0056759F" w:rsidP="0056759F">
      <w:r>
        <w:t xml:space="preserve">When tasked with an enterprise-wide adoption of Foundry, you will want to urge decision makers towards segmenting Foundry deployments across logical boundaries such as data domains or business units to ensure developer autonomy. See an example below: </w:t>
      </w:r>
    </w:p>
    <w:p w14:paraId="7F56963C" w14:textId="77777777" w:rsidR="0056759F" w:rsidRDefault="0056759F" w:rsidP="0056759F">
      <w:pPr>
        <w:jc w:val="center"/>
      </w:pPr>
      <w:r w:rsidRPr="00C14ACD">
        <w:rPr>
          <w:noProof/>
        </w:rPr>
        <w:drawing>
          <wp:inline distT="0" distB="0" distL="0" distR="0" wp14:anchorId="25A1A05A" wp14:editId="44915E55">
            <wp:extent cx="5943600" cy="3538855"/>
            <wp:effectExtent l="0" t="0" r="0" b="4445"/>
            <wp:docPr id="727424285" name="Picture 1">
              <a:extLst xmlns:a="http://schemas.openxmlformats.org/drawingml/2006/main">
                <a:ext uri="{FF2B5EF4-FFF2-40B4-BE49-F238E27FC236}">
                  <a16:creationId xmlns:a16="http://schemas.microsoft.com/office/drawing/2014/main" id="{162BC7C8-5363-41EE-95EE-3C29441670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4285" name=""/>
                    <pic:cNvPicPr/>
                  </pic:nvPicPr>
                  <pic:blipFill>
                    <a:blip r:embed="rId15"/>
                    <a:stretch>
                      <a:fillRect/>
                    </a:stretch>
                  </pic:blipFill>
                  <pic:spPr>
                    <a:xfrm>
                      <a:off x="0" y="0"/>
                      <a:ext cx="5943600" cy="3538855"/>
                    </a:xfrm>
                    <a:prstGeom prst="rect">
                      <a:avLst/>
                    </a:prstGeom>
                  </pic:spPr>
                </pic:pic>
              </a:graphicData>
            </a:graphic>
          </wp:inline>
        </w:drawing>
      </w:r>
    </w:p>
    <w:p w14:paraId="37CE6931" w14:textId="77777777" w:rsidR="0056759F" w:rsidRDefault="0056759F" w:rsidP="0056759F">
      <w:r>
        <w:t>To fulfill this “enterprise-wide” vision, you will have:</w:t>
      </w:r>
    </w:p>
    <w:p w14:paraId="04A65E23" w14:textId="77777777" w:rsidR="0056759F" w:rsidRDefault="0056759F" w:rsidP="0056759F">
      <w:pPr>
        <w:pStyle w:val="ListParagraph"/>
        <w:numPr>
          <w:ilvl w:val="0"/>
          <w:numId w:val="3"/>
        </w:numPr>
      </w:pPr>
      <w:r w:rsidRPr="00227EC6">
        <w:rPr>
          <w:b/>
          <w:bCs/>
        </w:rPr>
        <w:t>Department-level development environments:</w:t>
      </w:r>
      <w:r>
        <w:t xml:space="preserve"> Many Foundry resources, each for your different departments to use for development purposes, </w:t>
      </w:r>
    </w:p>
    <w:p w14:paraId="7D761650" w14:textId="77777777" w:rsidR="0056759F" w:rsidRDefault="0056759F" w:rsidP="0056759F">
      <w:pPr>
        <w:pStyle w:val="ListParagraph"/>
        <w:numPr>
          <w:ilvl w:val="0"/>
          <w:numId w:val="3"/>
        </w:numPr>
      </w:pPr>
      <w:r w:rsidRPr="00227EC6">
        <w:rPr>
          <w:b/>
          <w:bCs/>
        </w:rPr>
        <w:t>Source Control &amp; DevOps:</w:t>
      </w:r>
      <w:r>
        <w:t xml:space="preserve"> a process by which to check-in and promote your agentic code, or deploy your created agents across your development, test, and production environments, </w:t>
      </w:r>
    </w:p>
    <w:p w14:paraId="364304B5" w14:textId="596226BC" w:rsidR="0056759F" w:rsidRDefault="0056759F" w:rsidP="0056759F">
      <w:pPr>
        <w:pStyle w:val="ListParagraph"/>
        <w:numPr>
          <w:ilvl w:val="0"/>
          <w:numId w:val="3"/>
        </w:numPr>
      </w:pPr>
      <w:r w:rsidRPr="00227EC6">
        <w:rPr>
          <w:b/>
          <w:bCs/>
        </w:rPr>
        <w:t>API Governance:</w:t>
      </w:r>
      <w:r>
        <w:t xml:space="preserve"> a governance layer using Azure API Management, where rate limiting and token limit policies are applied to your models and agents APIs </w:t>
      </w:r>
      <w:r w:rsidR="005D2E5B">
        <w:t>to</w:t>
      </w:r>
      <w:r>
        <w:t xml:space="preserve"> control usage and costs.</w:t>
      </w:r>
    </w:p>
    <w:p w14:paraId="44186128" w14:textId="56E51B2F" w:rsidR="0056759F" w:rsidRDefault="0056759F" w:rsidP="0056759F">
      <w:pPr>
        <w:pStyle w:val="ListParagraph"/>
        <w:numPr>
          <w:ilvl w:val="0"/>
          <w:numId w:val="3"/>
        </w:numPr>
      </w:pPr>
      <w:r w:rsidRPr="00227EC6">
        <w:rPr>
          <w:b/>
          <w:bCs/>
        </w:rPr>
        <w:t>Consumption Platform:</w:t>
      </w:r>
      <w:r>
        <w:t xml:space="preserve"> an application layer where users can consume your agents or models – such as CoPilot Studio, or your own custom application</w:t>
      </w:r>
      <w:r w:rsidR="00931AAC">
        <w:t xml:space="preserve"> where you expose deployed models and agents</w:t>
      </w:r>
      <w:r>
        <w:t xml:space="preserve">. </w:t>
      </w:r>
    </w:p>
    <w:p w14:paraId="7654075B" w14:textId="77777777" w:rsidR="0056759F" w:rsidRPr="00931AAC" w:rsidRDefault="0056759F" w:rsidP="0056759F">
      <w:pPr>
        <w:rPr>
          <w:rFonts w:ascii="Segoe UI Semibold" w:hAnsi="Segoe UI Semibold" w:cs="Segoe UI Semibold"/>
          <w:b/>
          <w:bCs/>
          <w:sz w:val="28"/>
          <w:szCs w:val="28"/>
        </w:rPr>
      </w:pPr>
      <w:r w:rsidRPr="00931AAC">
        <w:rPr>
          <w:rFonts w:ascii="Segoe UI Semibold" w:hAnsi="Segoe UI Semibold" w:cs="Segoe UI Semibold"/>
          <w:b/>
          <w:bCs/>
          <w:sz w:val="28"/>
          <w:szCs w:val="28"/>
        </w:rPr>
        <w:t>The “Department-level” Perspective</w:t>
      </w:r>
    </w:p>
    <w:p w14:paraId="10AB275F" w14:textId="77777777" w:rsidR="0056759F" w:rsidRDefault="0056759F" w:rsidP="0056759F">
      <w:r>
        <w:t xml:space="preserve">Let’s double click into the department-level approach to organizing Foundry. We’ve seen that organizations want to enable their departments or business groups to take advantage of emerging AI technologies such as agents to deliver impact by solving real business problems. </w:t>
      </w:r>
    </w:p>
    <w:p w14:paraId="11121DFD" w14:textId="77777777" w:rsidR="0056759F" w:rsidRDefault="0056759F" w:rsidP="0056759F">
      <w:r>
        <w:t>These developers need an environment where they can test models, build agents, and implement evaluations – either programmatically, or through a GUI – with a certain level of autonomy. Developer teams may need to access sensitive, department-level data or track costs specific to their budget; it is for this reason that we recommend segmenting your Foundry resources across these department-level boundaries, as seen below:</w:t>
      </w:r>
    </w:p>
    <w:p w14:paraId="7F152868" w14:textId="77777777" w:rsidR="0056759F" w:rsidRDefault="0056759F" w:rsidP="0056759F">
      <w:pPr>
        <w:jc w:val="center"/>
      </w:pPr>
      <w:r w:rsidRPr="004F6EBA">
        <w:rPr>
          <w:noProof/>
        </w:rPr>
        <w:drawing>
          <wp:inline distT="0" distB="0" distL="0" distR="0" wp14:anchorId="17DCC137" wp14:editId="0AED28C2">
            <wp:extent cx="5943600" cy="2100580"/>
            <wp:effectExtent l="0" t="0" r="0" b="0"/>
            <wp:docPr id="1861946407" name="Picture 1">
              <a:extLst xmlns:a="http://schemas.openxmlformats.org/drawingml/2006/main">
                <a:ext uri="{FF2B5EF4-FFF2-40B4-BE49-F238E27FC236}">
                  <a16:creationId xmlns:a16="http://schemas.microsoft.com/office/drawing/2014/main" id="{6C6C4235-2675-42DE-ADB1-D08A35A8F3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46407" name=""/>
                    <pic:cNvPicPr/>
                  </pic:nvPicPr>
                  <pic:blipFill>
                    <a:blip r:embed="rId16"/>
                    <a:stretch>
                      <a:fillRect/>
                    </a:stretch>
                  </pic:blipFill>
                  <pic:spPr>
                    <a:xfrm>
                      <a:off x="0" y="0"/>
                      <a:ext cx="5943600" cy="2100580"/>
                    </a:xfrm>
                    <a:prstGeom prst="rect">
                      <a:avLst/>
                    </a:prstGeom>
                  </pic:spPr>
                </pic:pic>
              </a:graphicData>
            </a:graphic>
          </wp:inline>
        </w:drawing>
      </w:r>
    </w:p>
    <w:p w14:paraId="69BC1225" w14:textId="77777777" w:rsidR="0056759F" w:rsidRDefault="0056759F" w:rsidP="0056759F">
      <w:r>
        <w:t>In this approach, you’ll give developers or developer teams their own projects inside of their respective Foundry resource and leverage shared connected resources – like storage and search indexes – across all those projects. This way, you’re keeping development scoped at the department-level, while still consolidating costs and maintaining a degree of collaboration.</w:t>
      </w:r>
    </w:p>
    <w:tbl>
      <w:tblPr>
        <w:tblStyle w:val="TableGrid"/>
        <w:tblW w:w="0" w:type="auto"/>
        <w:tblLook w:val="04A0" w:firstRow="1" w:lastRow="0" w:firstColumn="1" w:lastColumn="0" w:noHBand="0" w:noVBand="1"/>
      </w:tblPr>
      <w:tblGrid>
        <w:gridCol w:w="9350"/>
      </w:tblGrid>
      <w:tr w:rsidR="007B3DB1" w14:paraId="589D93E5" w14:textId="77777777" w:rsidTr="7E8E4603">
        <w:tc>
          <w:tcPr>
            <w:tcW w:w="9350" w:type="dxa"/>
            <w:shd w:val="clear" w:color="auto" w:fill="C1F0C7" w:themeFill="accent3" w:themeFillTint="33"/>
          </w:tcPr>
          <w:p w14:paraId="1BAF1A62" w14:textId="77777777" w:rsidR="007B3DB1" w:rsidRDefault="007B3DB1" w:rsidP="00F615F3">
            <w:pPr>
              <w:rPr>
                <w:b/>
                <w:bCs/>
                <w:color w:val="0C3512" w:themeColor="accent3" w:themeShade="80"/>
              </w:rPr>
            </w:pPr>
          </w:p>
          <w:p w14:paraId="57E18B4F" w14:textId="294DC3E8" w:rsidR="007B3DB1" w:rsidRDefault="69D9A2BD" w:rsidP="007B3DB1">
            <w:pPr>
              <w:rPr>
                <w:color w:val="0C3512" w:themeColor="accent3" w:themeShade="80"/>
              </w:rPr>
            </w:pPr>
            <w:r w:rsidRPr="7E8E4603">
              <w:rPr>
                <w:b/>
                <w:bCs/>
                <w:color w:val="0C3512" w:themeColor="accent3" w:themeShade="80"/>
              </w:rPr>
              <w:t>TIP:</w:t>
            </w:r>
            <w:r w:rsidRPr="7E8E4603">
              <w:rPr>
                <w:color w:val="0C3512" w:themeColor="accent3" w:themeShade="80"/>
              </w:rPr>
              <w:t xml:space="preserve"> You may be asking, “How many model deployments should I have inside each Foundry resource?”, “Is it recommended that users share model deployments?”, or “Should I give each user their own model deployment?”</w:t>
            </w:r>
            <w:r w:rsidR="0D99AA19" w:rsidRPr="7E8E4603">
              <w:rPr>
                <w:color w:val="0C3512" w:themeColor="accent3" w:themeShade="80"/>
              </w:rPr>
              <w:t xml:space="preserve"> T</w:t>
            </w:r>
            <w:commentRangeStart w:id="12"/>
            <w:r w:rsidR="0D99AA19" w:rsidRPr="7E8E4603">
              <w:rPr>
                <w:color w:val="0C3512" w:themeColor="accent3" w:themeShade="80"/>
              </w:rPr>
              <w:t>he answer here depends on your cost management/tracking requirements</w:t>
            </w:r>
            <w:commentRangeEnd w:id="12"/>
            <w:r w:rsidR="007B3DB1" w:rsidRPr="7E8E4603">
              <w:rPr>
                <w:rStyle w:val="CommentReference"/>
                <w:color w:val="0C3512" w:themeColor="accent3" w:themeShade="80"/>
                <w:sz w:val="24"/>
                <w:szCs w:val="24"/>
              </w:rPr>
              <w:commentReference w:id="12"/>
            </w:r>
            <w:r w:rsidR="0D99AA19" w:rsidRPr="7E8E4603">
              <w:rPr>
                <w:color w:val="0C3512" w:themeColor="accent3" w:themeShade="80"/>
              </w:rPr>
              <w:t xml:space="preserve">. </w:t>
            </w:r>
          </w:p>
          <w:p w14:paraId="65AEA122" w14:textId="77777777" w:rsidR="00444D70" w:rsidRDefault="00444D70" w:rsidP="007B3DB1">
            <w:pPr>
              <w:rPr>
                <w:color w:val="0C3512" w:themeColor="accent3" w:themeShade="80"/>
              </w:rPr>
            </w:pPr>
          </w:p>
          <w:p w14:paraId="02AA4173" w14:textId="77777777" w:rsidR="007B3DB1" w:rsidRDefault="007B3DB1" w:rsidP="00F615F3"/>
        </w:tc>
      </w:tr>
    </w:tbl>
    <w:p w14:paraId="303F9E19" w14:textId="77777777" w:rsidR="007B3DB1" w:rsidRPr="00931AAC" w:rsidRDefault="007B3DB1" w:rsidP="007B3DB1">
      <w:pPr>
        <w:rPr>
          <w:rFonts w:cs="Segoe UI Semibold"/>
        </w:rPr>
      </w:pPr>
    </w:p>
    <w:p w14:paraId="7B26D465" w14:textId="77777777" w:rsidR="007B3DB1" w:rsidRDefault="007B3DB1" w:rsidP="0056759F"/>
    <w:p w14:paraId="6F10F2B9" w14:textId="77777777" w:rsidR="0056759F" w:rsidRPr="00931AAC" w:rsidRDefault="0056759F" w:rsidP="0056759F">
      <w:pPr>
        <w:rPr>
          <w:rFonts w:ascii="Segoe UI Semibold" w:hAnsi="Segoe UI Semibold" w:cs="Segoe UI Semibold"/>
          <w:b/>
          <w:bCs/>
          <w:sz w:val="28"/>
          <w:szCs w:val="28"/>
        </w:rPr>
      </w:pPr>
      <w:r w:rsidRPr="00931AAC">
        <w:rPr>
          <w:rFonts w:ascii="Segoe UI Semibold" w:hAnsi="Segoe UI Semibold" w:cs="Segoe UI Semibold"/>
          <w:b/>
          <w:bCs/>
          <w:sz w:val="28"/>
          <w:szCs w:val="28"/>
        </w:rPr>
        <w:t>Department-level Enclaves</w:t>
      </w:r>
    </w:p>
    <w:p w14:paraId="783CA8E0" w14:textId="77777777" w:rsidR="0056759F" w:rsidRDefault="0056759F" w:rsidP="0056759F">
      <w:r>
        <w:t>We recognize that in some more restricted industries, such as healthcare or financial services, there are stricter requirements over the sensitivity and handling of data; these industries require more segmentation and more granular control over Foundry, and so we introduce the concept of the “department-level enclave”:</w:t>
      </w:r>
    </w:p>
    <w:p w14:paraId="4A279B60" w14:textId="77777777" w:rsidR="0056759F" w:rsidRDefault="0056759F" w:rsidP="0056759F">
      <w:pPr>
        <w:jc w:val="center"/>
      </w:pPr>
      <w:r w:rsidRPr="00E94F81">
        <w:rPr>
          <w:noProof/>
        </w:rPr>
        <w:drawing>
          <wp:inline distT="0" distB="0" distL="0" distR="0" wp14:anchorId="474162C8" wp14:editId="3277775C">
            <wp:extent cx="5943600" cy="2514600"/>
            <wp:effectExtent l="0" t="0" r="0" b="0"/>
            <wp:docPr id="2101855542" name="Picture 1">
              <a:extLst xmlns:a="http://schemas.openxmlformats.org/drawingml/2006/main">
                <a:ext uri="{FF2B5EF4-FFF2-40B4-BE49-F238E27FC236}">
                  <a16:creationId xmlns:a16="http://schemas.microsoft.com/office/drawing/2014/main" id="{1A59433B-C2C6-41C3-AA6D-5FF419C09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55542" name=""/>
                    <pic:cNvPicPr/>
                  </pic:nvPicPr>
                  <pic:blipFill>
                    <a:blip r:embed="rId17"/>
                    <a:stretch>
                      <a:fillRect/>
                    </a:stretch>
                  </pic:blipFill>
                  <pic:spPr>
                    <a:xfrm>
                      <a:off x="0" y="0"/>
                      <a:ext cx="5943600" cy="2514600"/>
                    </a:xfrm>
                    <a:prstGeom prst="rect">
                      <a:avLst/>
                    </a:prstGeom>
                  </pic:spPr>
                </pic:pic>
              </a:graphicData>
            </a:graphic>
          </wp:inline>
        </w:drawing>
      </w:r>
    </w:p>
    <w:p w14:paraId="74F9738E" w14:textId="276632FD" w:rsidR="00931AAC" w:rsidRDefault="00931AAC" w:rsidP="0056759F">
      <w:r>
        <w:t xml:space="preserve">Here, each project receives their own respective resources, and users are </w:t>
      </w:r>
      <w:r w:rsidRPr="00931AAC">
        <w:rPr>
          <w:i/>
          <w:iCs/>
        </w:rPr>
        <w:t>strictly</w:t>
      </w:r>
      <w:r>
        <w:t xml:space="preserve"> given role-based access to only their project and its supporting resources.</w:t>
      </w:r>
    </w:p>
    <w:p w14:paraId="6C809168" w14:textId="64E5A9FC" w:rsidR="0056759F" w:rsidRDefault="67361397" w:rsidP="0056759F">
      <w:commentRangeStart w:id="13"/>
      <w:r>
        <w:t>T</w:t>
      </w:r>
      <w:commentRangeEnd w:id="13"/>
      <w:r>
        <w:rPr>
          <w:rStyle w:val="CommentReference"/>
          <w:sz w:val="24"/>
          <w:szCs w:val="24"/>
        </w:rPr>
        <w:commentReference w:id="13"/>
      </w:r>
      <w:r w:rsidR="00C9549D">
        <w:t>his approach involves trade-offs between compliance and operational complexity. While it enables greater resource segmentation and supports the governance of sensitive use cases with appropriate safeguards, it also increases environmental complexity and associated costs.</w:t>
      </w:r>
      <w:r>
        <w:t xml:space="preserve"> There are also limitations </w:t>
      </w:r>
      <w:r w:rsidR="00C9549D">
        <w:t>to be aware of</w:t>
      </w:r>
      <w:r>
        <w:t xml:space="preserve">, </w:t>
      </w:r>
      <w:hyperlink r:id="rId18" w:history="1">
        <w:r w:rsidR="004C3A36" w:rsidRPr="009877E8">
          <w:rPr>
            <w:rStyle w:val="Hyperlink"/>
          </w:rPr>
          <w:t>such as private endpoint sharing rules or maximum connections per project</w:t>
        </w:r>
      </w:hyperlink>
      <w:r w:rsidR="009877E8">
        <w:t xml:space="preserve">, </w:t>
      </w:r>
      <w:r w:rsidR="00C9549D">
        <w:t>that are important to understand.</w:t>
      </w:r>
    </w:p>
    <w:tbl>
      <w:tblPr>
        <w:tblStyle w:val="TableGrid"/>
        <w:tblW w:w="0" w:type="auto"/>
        <w:tblLook w:val="04A0" w:firstRow="1" w:lastRow="0" w:firstColumn="1" w:lastColumn="0" w:noHBand="0" w:noVBand="1"/>
      </w:tblPr>
      <w:tblGrid>
        <w:gridCol w:w="9350"/>
      </w:tblGrid>
      <w:tr w:rsidR="0056759F" w14:paraId="5120C8E5" w14:textId="77777777" w:rsidTr="00F615F3">
        <w:tc>
          <w:tcPr>
            <w:tcW w:w="9350" w:type="dxa"/>
            <w:shd w:val="clear" w:color="auto" w:fill="C1F0C7" w:themeFill="accent3" w:themeFillTint="33"/>
          </w:tcPr>
          <w:p w14:paraId="042C5FF7" w14:textId="77777777" w:rsidR="00286994" w:rsidRDefault="00286994" w:rsidP="00F615F3">
            <w:pPr>
              <w:rPr>
                <w:b/>
                <w:bCs/>
                <w:color w:val="0C3512" w:themeColor="accent3" w:themeShade="80"/>
              </w:rPr>
            </w:pPr>
          </w:p>
          <w:p w14:paraId="1B573353" w14:textId="40331EAB" w:rsidR="0056759F" w:rsidRPr="00227EC6" w:rsidRDefault="0056759F" w:rsidP="00F615F3">
            <w:pPr>
              <w:rPr>
                <w:color w:val="0C3512" w:themeColor="accent3" w:themeShade="80"/>
              </w:rPr>
            </w:pPr>
            <w:r w:rsidRPr="00227EC6">
              <w:rPr>
                <w:b/>
                <w:bCs/>
                <w:color w:val="0C3512" w:themeColor="accent3" w:themeShade="80"/>
              </w:rPr>
              <w:t>TIP:</w:t>
            </w:r>
            <w:r w:rsidRPr="00227EC6">
              <w:rPr>
                <w:color w:val="0C3512" w:themeColor="accent3" w:themeShade="80"/>
              </w:rPr>
              <w:t xml:space="preserve"> When it comes to setting up an enclave, carefully consider each use case before you create a new project. Ask questions such as:</w:t>
            </w:r>
          </w:p>
          <w:p w14:paraId="7B58CA65" w14:textId="77777777" w:rsidR="0056759F" w:rsidRPr="00227EC6" w:rsidRDefault="0056759F" w:rsidP="0056759F">
            <w:pPr>
              <w:pStyle w:val="ListParagraph"/>
              <w:numPr>
                <w:ilvl w:val="0"/>
                <w:numId w:val="8"/>
              </w:numPr>
              <w:rPr>
                <w:color w:val="0C3512" w:themeColor="accent3" w:themeShade="80"/>
              </w:rPr>
            </w:pPr>
            <w:r w:rsidRPr="00227EC6">
              <w:rPr>
                <w:color w:val="0C3512" w:themeColor="accent3" w:themeShade="80"/>
              </w:rPr>
              <w:t>What kind of data will this project require?</w:t>
            </w:r>
          </w:p>
          <w:p w14:paraId="18597D54" w14:textId="5C5AC7FF" w:rsidR="0056759F" w:rsidRPr="00227EC6" w:rsidRDefault="0056759F" w:rsidP="0056759F">
            <w:pPr>
              <w:pStyle w:val="ListParagraph"/>
              <w:numPr>
                <w:ilvl w:val="0"/>
                <w:numId w:val="8"/>
              </w:numPr>
              <w:rPr>
                <w:color w:val="0C3512" w:themeColor="accent3" w:themeShade="80"/>
              </w:rPr>
            </w:pPr>
            <w:r w:rsidRPr="00227EC6">
              <w:rPr>
                <w:color w:val="0C3512" w:themeColor="accent3" w:themeShade="80"/>
              </w:rPr>
              <w:t>Will de-identified data suffice? If not, does the data need to be stored separately?</w:t>
            </w:r>
          </w:p>
          <w:p w14:paraId="3C29C413" w14:textId="77777777" w:rsidR="0056759F" w:rsidRPr="00227EC6" w:rsidRDefault="0056759F" w:rsidP="0056759F">
            <w:pPr>
              <w:pStyle w:val="ListParagraph"/>
              <w:numPr>
                <w:ilvl w:val="0"/>
                <w:numId w:val="8"/>
              </w:numPr>
              <w:rPr>
                <w:color w:val="0C3512" w:themeColor="accent3" w:themeShade="80"/>
              </w:rPr>
            </w:pPr>
            <w:r w:rsidRPr="00227EC6">
              <w:rPr>
                <w:color w:val="0C3512" w:themeColor="accent3" w:themeShade="80"/>
              </w:rPr>
              <w:t>Will indexed data need to be treated similarly?</w:t>
            </w:r>
          </w:p>
          <w:p w14:paraId="2953EE76" w14:textId="77777777" w:rsidR="0056759F" w:rsidRPr="00227EC6" w:rsidRDefault="0056759F" w:rsidP="0056759F">
            <w:pPr>
              <w:pStyle w:val="ListParagraph"/>
              <w:numPr>
                <w:ilvl w:val="0"/>
                <w:numId w:val="8"/>
              </w:numPr>
              <w:rPr>
                <w:color w:val="0C3512" w:themeColor="accent3" w:themeShade="80"/>
              </w:rPr>
            </w:pPr>
            <w:r w:rsidRPr="00227EC6">
              <w:rPr>
                <w:color w:val="0C3512" w:themeColor="accent3" w:themeShade="80"/>
              </w:rPr>
              <w:t>Does this use case require robust logging and security of conversation threads?</w:t>
            </w:r>
          </w:p>
          <w:p w14:paraId="13EFEB61" w14:textId="77777777" w:rsidR="0056759F" w:rsidRPr="00227EC6" w:rsidRDefault="0056759F" w:rsidP="00F615F3">
            <w:pPr>
              <w:rPr>
                <w:color w:val="0C3512" w:themeColor="accent3" w:themeShade="80"/>
              </w:rPr>
            </w:pPr>
          </w:p>
          <w:p w14:paraId="762598CA" w14:textId="77777777" w:rsidR="0056759F" w:rsidRDefault="0056759F" w:rsidP="00F615F3">
            <w:pPr>
              <w:rPr>
                <w:color w:val="0C3512" w:themeColor="accent3" w:themeShade="80"/>
              </w:rPr>
            </w:pPr>
            <w:r w:rsidRPr="00227EC6">
              <w:rPr>
                <w:color w:val="0C3512" w:themeColor="accent3" w:themeShade="80"/>
              </w:rPr>
              <w:t xml:space="preserve">If yes, then you may benefit from the enclave scenario. You may find that some resources can be shared, while others may not. </w:t>
            </w:r>
          </w:p>
          <w:p w14:paraId="1B637233" w14:textId="77777777" w:rsidR="0056759F" w:rsidRDefault="0056759F" w:rsidP="00F615F3"/>
        </w:tc>
      </w:tr>
    </w:tbl>
    <w:p w14:paraId="2A0ED135" w14:textId="77777777" w:rsidR="00594F3D" w:rsidRPr="00931AAC" w:rsidRDefault="00594F3D" w:rsidP="0056759F">
      <w:pPr>
        <w:rPr>
          <w:rFonts w:cs="Segoe UI Semibold"/>
        </w:rPr>
      </w:pPr>
    </w:p>
    <w:p w14:paraId="06C2A4D8" w14:textId="3F6B214A" w:rsidR="0056759F" w:rsidRPr="00931AAC" w:rsidRDefault="00594F3D" w:rsidP="0056759F">
      <w:pPr>
        <w:rPr>
          <w:rFonts w:cs="Segoe UI Semibold"/>
        </w:rPr>
      </w:pPr>
      <w:r w:rsidRPr="00931AAC">
        <w:rPr>
          <w:rFonts w:cs="Segoe UI Semibold"/>
        </w:rPr>
        <w:t xml:space="preserve">A key piece of the department-level approach is defining your organization’s model strategy. </w:t>
      </w:r>
      <w:r w:rsidR="00931AAC">
        <w:rPr>
          <w:rFonts w:cs="Segoe UI Semibold"/>
        </w:rPr>
        <w:t xml:space="preserve">Certain models are only available in certain regions and in certain deployment configurations, which can impact where data is processed. </w:t>
      </w:r>
      <w:r w:rsidRPr="00931AAC">
        <w:rPr>
          <w:rFonts w:cs="Segoe UI Semibold"/>
        </w:rPr>
        <w:t xml:space="preserve">It is important to understand model availability as well as model deployment configurations and plan accordingly. We will cover that later in this article. </w:t>
      </w:r>
    </w:p>
    <w:p w14:paraId="043C913A" w14:textId="1D27465A" w:rsidR="0056759F" w:rsidRPr="00286994" w:rsidRDefault="0056759F" w:rsidP="0056759F">
      <w:pPr>
        <w:rPr>
          <w:rFonts w:ascii="Segoe UI Semibold" w:hAnsi="Segoe UI Semibold" w:cs="Segoe UI Semibold"/>
          <w:b/>
          <w:bCs/>
          <w:sz w:val="36"/>
          <w:szCs w:val="36"/>
        </w:rPr>
      </w:pPr>
      <w:commentRangeStart w:id="14"/>
      <w:commentRangeStart w:id="15"/>
      <w:r w:rsidRPr="683E46C0">
        <w:rPr>
          <w:rFonts w:ascii="Segoe UI Semibold" w:hAnsi="Segoe UI Semibold" w:cs="Segoe UI Semibold"/>
          <w:b/>
          <w:bCs/>
          <w:sz w:val="36"/>
          <w:szCs w:val="36"/>
        </w:rPr>
        <w:t>Securing your Foundry environment</w:t>
      </w:r>
      <w:commentRangeEnd w:id="14"/>
      <w:r w:rsidRPr="00286994">
        <w:rPr>
          <w:rStyle w:val="CommentReference"/>
          <w:rFonts w:ascii="Segoe UI Semibold" w:hAnsi="Segoe UI Semibold" w:cs="Segoe UI Semibold"/>
          <w:b/>
          <w:bCs/>
          <w:sz w:val="36"/>
          <w:szCs w:val="36"/>
        </w:rPr>
        <w:commentReference w:id="14"/>
      </w:r>
      <w:commentRangeEnd w:id="15"/>
      <w:r w:rsidR="00B103DF" w:rsidRPr="00286994">
        <w:rPr>
          <w:rStyle w:val="CommentReference"/>
          <w:rFonts w:ascii="Segoe UI Semibold" w:hAnsi="Segoe UI Semibold" w:cs="Segoe UI Semibold"/>
          <w:b/>
          <w:bCs/>
          <w:sz w:val="36"/>
          <w:szCs w:val="36"/>
        </w:rPr>
        <w:commentReference w:id="15"/>
      </w:r>
    </w:p>
    <w:p w14:paraId="229C09D5" w14:textId="7B4CCFF0" w:rsidR="0056759F" w:rsidRPr="0056759F" w:rsidRDefault="67361397" w:rsidP="0056759F">
      <w:r>
        <w:t xml:space="preserve">There are 3 primary ways to configure network security for your Foundry environment: </w:t>
      </w:r>
      <w:r w:rsidRPr="7E8E4603">
        <w:rPr>
          <w:i/>
          <w:iCs/>
        </w:rPr>
        <w:t>public</w:t>
      </w:r>
      <w:r>
        <w:t xml:space="preserve">, </w:t>
      </w:r>
      <w:r w:rsidRPr="7E8E4603">
        <w:rPr>
          <w:i/>
          <w:iCs/>
        </w:rPr>
        <w:t>private</w:t>
      </w:r>
      <w:r>
        <w:t xml:space="preserve">, and </w:t>
      </w:r>
      <w:r w:rsidRPr="7E8E4603">
        <w:rPr>
          <w:i/>
          <w:iCs/>
        </w:rPr>
        <w:t>hybrid</w:t>
      </w:r>
      <w:r>
        <w:t xml:space="preserve">. </w:t>
      </w:r>
      <w:r w:rsidR="00441DF7">
        <w:t>The following section outlines</w:t>
      </w:r>
      <w:commentRangeStart w:id="16"/>
      <w:r>
        <w:t xml:space="preserve"> each of these configurations and provides</w:t>
      </w:r>
      <w:r w:rsidR="00441DF7">
        <w:t xml:space="preserve"> the underlying</w:t>
      </w:r>
      <w:r>
        <w:t xml:space="preserve"> rationale</w:t>
      </w:r>
      <w:commentRangeEnd w:id="16"/>
      <w:r w:rsidR="0056759F">
        <w:rPr>
          <w:rStyle w:val="CommentReference"/>
          <w:sz w:val="24"/>
          <w:szCs w:val="24"/>
        </w:rPr>
        <w:commentReference w:id="16"/>
      </w:r>
      <w:r>
        <w:t>, as well as infrastructure-as-code templates you can use to get started with your deployment.</w:t>
      </w:r>
    </w:p>
    <w:tbl>
      <w:tblPr>
        <w:tblStyle w:val="TableGrid"/>
        <w:tblW w:w="0" w:type="auto"/>
        <w:tblLook w:val="04A0" w:firstRow="1" w:lastRow="0" w:firstColumn="1" w:lastColumn="0" w:noHBand="0" w:noVBand="1"/>
      </w:tblPr>
      <w:tblGrid>
        <w:gridCol w:w="9350"/>
      </w:tblGrid>
      <w:tr w:rsidR="0056759F" w14:paraId="19974EFE" w14:textId="77777777" w:rsidTr="00F615F3">
        <w:tc>
          <w:tcPr>
            <w:tcW w:w="9350" w:type="dxa"/>
            <w:shd w:val="clear" w:color="auto" w:fill="F2CEED" w:themeFill="accent5" w:themeFillTint="33"/>
          </w:tcPr>
          <w:p w14:paraId="5731E6DA" w14:textId="77777777" w:rsidR="0056759F" w:rsidRDefault="0056759F" w:rsidP="00F615F3">
            <w:pPr>
              <w:rPr>
                <w:b/>
                <w:bCs/>
                <w:color w:val="501549" w:themeColor="accent5" w:themeShade="80"/>
              </w:rPr>
            </w:pPr>
          </w:p>
          <w:p w14:paraId="3072150F" w14:textId="77777777" w:rsidR="0056759F" w:rsidRDefault="0056759F" w:rsidP="00F615F3">
            <w:pPr>
              <w:rPr>
                <w:color w:val="501549" w:themeColor="accent5" w:themeShade="80"/>
              </w:rPr>
            </w:pPr>
            <w:r w:rsidRPr="00227EC6">
              <w:rPr>
                <w:b/>
                <w:bCs/>
                <w:color w:val="501549" w:themeColor="accent5" w:themeShade="80"/>
              </w:rPr>
              <w:t>NOTE:</w:t>
            </w:r>
            <w:r w:rsidRPr="00227EC6">
              <w:rPr>
                <w:color w:val="501549" w:themeColor="accent5" w:themeShade="80"/>
              </w:rPr>
              <w:t xml:space="preserve"> All of these configurations are </w:t>
            </w:r>
            <w:r>
              <w:rPr>
                <w:color w:val="501549" w:themeColor="accent5" w:themeShade="80"/>
              </w:rPr>
              <w:t>variations</w:t>
            </w:r>
            <w:r w:rsidRPr="00227EC6">
              <w:rPr>
                <w:color w:val="501549" w:themeColor="accent5" w:themeShade="80"/>
              </w:rPr>
              <w:t xml:space="preserve"> of the </w:t>
            </w:r>
            <w:hyperlink r:id="rId19" w:history="1">
              <w:r w:rsidRPr="00227EC6">
                <w:rPr>
                  <w:rStyle w:val="Hyperlink"/>
                  <w:color w:val="501549" w:themeColor="accent5" w:themeShade="80"/>
                </w:rPr>
                <w:t>Standard Agent Setup</w:t>
              </w:r>
            </w:hyperlink>
            <w:r w:rsidRPr="00227EC6">
              <w:rPr>
                <w:color w:val="501549" w:themeColor="accent5" w:themeShade="80"/>
              </w:rPr>
              <w:t>.</w:t>
            </w:r>
            <w:r>
              <w:rPr>
                <w:color w:val="501549" w:themeColor="accent5" w:themeShade="80"/>
              </w:rPr>
              <w:t xml:space="preserve"> If you are looking for a quick, easy-to-deploy Foundry configuration where all underlying components are managed by Microsoft, please see the basic agent setup.</w:t>
            </w:r>
            <w:r w:rsidRPr="00227EC6">
              <w:rPr>
                <w:color w:val="501549" w:themeColor="accent5" w:themeShade="80"/>
              </w:rPr>
              <w:tab/>
            </w:r>
          </w:p>
          <w:p w14:paraId="239EAE74" w14:textId="77777777" w:rsidR="0056759F" w:rsidRDefault="0056759F" w:rsidP="00F615F3">
            <w:pPr>
              <w:rPr>
                <w:color w:val="EE0000"/>
              </w:rPr>
            </w:pPr>
          </w:p>
        </w:tc>
      </w:tr>
    </w:tbl>
    <w:p w14:paraId="557091CA" w14:textId="77777777" w:rsidR="00B527AB" w:rsidRDefault="00B527AB" w:rsidP="00B527AB"/>
    <w:p w14:paraId="708D7801" w14:textId="432F508A" w:rsidR="00B527AB" w:rsidRDefault="00AD3B72" w:rsidP="0056759F">
      <w:r>
        <w:t>The decision matrix below can help orient you towards which environment configuration is appropriate for your organization:</w:t>
      </w:r>
    </w:p>
    <w:p w14:paraId="31E85BBC" w14:textId="77777777" w:rsidR="00441DF7" w:rsidRPr="00B527AB" w:rsidRDefault="00441DF7" w:rsidP="0056759F"/>
    <w:p w14:paraId="03B52F03" w14:textId="77777777" w:rsidR="0056759F" w:rsidRPr="00286994" w:rsidRDefault="0056759F" w:rsidP="0056759F">
      <w:pPr>
        <w:rPr>
          <w:rFonts w:ascii="Segoe UI Semibold" w:hAnsi="Segoe UI Semibold" w:cs="Segoe UI Semibold"/>
          <w:sz w:val="28"/>
          <w:szCs w:val="28"/>
        </w:rPr>
      </w:pPr>
      <w:commentRangeStart w:id="17"/>
      <w:r w:rsidRPr="683E46C0">
        <w:rPr>
          <w:rFonts w:ascii="Segoe UI Semibold" w:hAnsi="Segoe UI Semibold" w:cs="Segoe UI Semibold"/>
          <w:sz w:val="28"/>
          <w:szCs w:val="28"/>
        </w:rPr>
        <w:t xml:space="preserve">Deployment 1 – Standard Agent Setup (Public) </w:t>
      </w:r>
      <w:commentRangeEnd w:id="17"/>
      <w:r w:rsidRPr="00286994">
        <w:rPr>
          <w:rStyle w:val="CommentReference"/>
          <w:rFonts w:ascii="Segoe UI Semibold" w:hAnsi="Segoe UI Semibold" w:cs="Segoe UI Semibold"/>
          <w:sz w:val="28"/>
          <w:szCs w:val="28"/>
        </w:rPr>
        <w:commentReference w:id="17"/>
      </w:r>
    </w:p>
    <w:p w14:paraId="58D93ECF" w14:textId="0248FD1C" w:rsidR="0056759F" w:rsidRPr="0056759F" w:rsidRDefault="0056759F" w:rsidP="0056759F">
      <w:r w:rsidRPr="0056759F">
        <w:t>The public standard agent setup is the recommended configuration for customers looking for a complete Foundry deployment that includes all its ancillary Azure services but aren’t restricted by a requirement to deploy an environment with private networking.</w:t>
      </w:r>
    </w:p>
    <w:p w14:paraId="214B784C" w14:textId="77777777" w:rsidR="0056759F" w:rsidRDefault="0056759F" w:rsidP="0056759F">
      <w:pPr>
        <w:jc w:val="center"/>
        <w:rPr>
          <w:color w:val="EE0000"/>
        </w:rPr>
      </w:pPr>
      <w:r w:rsidRPr="0073482E">
        <w:rPr>
          <w:noProof/>
          <w:color w:val="EE0000"/>
        </w:rPr>
        <w:drawing>
          <wp:inline distT="0" distB="0" distL="0" distR="0" wp14:anchorId="00778B6C" wp14:editId="052C54FA">
            <wp:extent cx="2827265" cy="2796782"/>
            <wp:effectExtent l="0" t="0" r="0" b="3810"/>
            <wp:docPr id="110917889" name="Picture 1">
              <a:extLst xmlns:a="http://schemas.openxmlformats.org/drawingml/2006/main">
                <a:ext uri="{FF2B5EF4-FFF2-40B4-BE49-F238E27FC236}">
                  <a16:creationId xmlns:a16="http://schemas.microsoft.com/office/drawing/2014/main" id="{52F1018C-1700-477A-B412-8547B637D9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889" name=""/>
                    <pic:cNvPicPr/>
                  </pic:nvPicPr>
                  <pic:blipFill>
                    <a:blip r:embed="rId20"/>
                    <a:stretch>
                      <a:fillRect/>
                    </a:stretch>
                  </pic:blipFill>
                  <pic:spPr>
                    <a:xfrm>
                      <a:off x="0" y="0"/>
                      <a:ext cx="2827265" cy="2796782"/>
                    </a:xfrm>
                    <a:prstGeom prst="rect">
                      <a:avLst/>
                    </a:prstGeom>
                  </pic:spPr>
                </pic:pic>
              </a:graphicData>
            </a:graphic>
          </wp:inline>
        </w:drawing>
      </w:r>
    </w:p>
    <w:p w14:paraId="6752C111" w14:textId="77777777" w:rsidR="0056759F" w:rsidRPr="0056759F" w:rsidRDefault="0056759F" w:rsidP="0056759F">
      <w:r w:rsidRPr="0056759F">
        <w:t>With this deployment configuration, you’ll get the following resources deployed into your resource group:</w:t>
      </w:r>
    </w:p>
    <w:p w14:paraId="6CC591A0" w14:textId="12FB7F5C" w:rsidR="0056759F" w:rsidRPr="0056759F" w:rsidRDefault="0056759F" w:rsidP="0056759F">
      <w:pPr>
        <w:pStyle w:val="ListParagraph"/>
        <w:numPr>
          <w:ilvl w:val="0"/>
          <w:numId w:val="5"/>
        </w:numPr>
        <w:rPr>
          <w:b/>
          <w:bCs/>
        </w:rPr>
      </w:pPr>
      <w:r w:rsidRPr="0056759F">
        <w:rPr>
          <w:b/>
          <w:bCs/>
        </w:rPr>
        <w:t xml:space="preserve">Microsoft Foundry account &amp; project: </w:t>
      </w:r>
      <w:r w:rsidRPr="0056759F">
        <w:t>parent resource and one project in which to work in by default.</w:t>
      </w:r>
    </w:p>
    <w:p w14:paraId="727088E7" w14:textId="77777777" w:rsidR="0056759F" w:rsidRPr="0056759F" w:rsidRDefault="0056759F" w:rsidP="0056759F">
      <w:pPr>
        <w:pStyle w:val="ListParagraph"/>
        <w:numPr>
          <w:ilvl w:val="0"/>
          <w:numId w:val="5"/>
        </w:numPr>
      </w:pPr>
      <w:hyperlink r:id="rId21" w:history="1">
        <w:r w:rsidRPr="0056759F">
          <w:rPr>
            <w:rStyle w:val="Hyperlink"/>
            <w:b/>
            <w:bCs/>
            <w:color w:val="auto"/>
          </w:rPr>
          <w:t>Foundry project capability host</w:t>
        </w:r>
      </w:hyperlink>
      <w:r w:rsidRPr="0056759F">
        <w:rPr>
          <w:b/>
          <w:bCs/>
        </w:rPr>
        <w:t>:</w:t>
      </w:r>
      <w:r w:rsidRPr="0056759F">
        <w:t xml:space="preserve"> this sub-resource allows you to bring your own Azure resources and specifies resources for storing agent states such as conversation history, file uploads, and vector stores.</w:t>
      </w:r>
    </w:p>
    <w:p w14:paraId="624107C4" w14:textId="77777777" w:rsidR="0056759F" w:rsidRPr="0056759F" w:rsidRDefault="0056759F" w:rsidP="0056759F">
      <w:pPr>
        <w:pStyle w:val="ListParagraph"/>
        <w:numPr>
          <w:ilvl w:val="0"/>
          <w:numId w:val="5"/>
        </w:numPr>
      </w:pPr>
      <w:r w:rsidRPr="0056759F">
        <w:rPr>
          <w:b/>
          <w:bCs/>
        </w:rPr>
        <w:t>Azure Cosmos DB:</w:t>
      </w:r>
      <w:r w:rsidRPr="0056759F">
        <w:t xml:space="preserve"> stores conversation history and threads.</w:t>
      </w:r>
    </w:p>
    <w:p w14:paraId="73D3E229" w14:textId="77777777" w:rsidR="0056759F" w:rsidRPr="0056759F" w:rsidRDefault="0056759F" w:rsidP="0056759F">
      <w:pPr>
        <w:pStyle w:val="ListParagraph"/>
        <w:numPr>
          <w:ilvl w:val="0"/>
          <w:numId w:val="5"/>
        </w:numPr>
      </w:pPr>
      <w:r w:rsidRPr="0056759F">
        <w:rPr>
          <w:b/>
          <w:bCs/>
        </w:rPr>
        <w:t>Azure Storage:</w:t>
      </w:r>
      <w:r w:rsidRPr="0056759F">
        <w:t xml:space="preserve"> stores data or files produced by your Agents, models, or Speech and Language services.</w:t>
      </w:r>
    </w:p>
    <w:p w14:paraId="229837AE" w14:textId="77777777" w:rsidR="0056759F" w:rsidRPr="0056759F" w:rsidRDefault="0056759F" w:rsidP="0056759F">
      <w:pPr>
        <w:pStyle w:val="ListParagraph"/>
        <w:numPr>
          <w:ilvl w:val="0"/>
          <w:numId w:val="5"/>
        </w:numPr>
      </w:pPr>
      <w:r w:rsidRPr="0056759F">
        <w:rPr>
          <w:b/>
          <w:bCs/>
        </w:rPr>
        <w:t>Azure AI Search:</w:t>
      </w:r>
      <w:r w:rsidRPr="0056759F">
        <w:t xml:space="preserve"> stores embeddings and vector data.</w:t>
      </w:r>
    </w:p>
    <w:p w14:paraId="449CE08F" w14:textId="77777777" w:rsidR="0056759F" w:rsidRPr="0056759F" w:rsidRDefault="0056759F" w:rsidP="0056759F">
      <w:pPr>
        <w:pStyle w:val="ListParagraph"/>
        <w:numPr>
          <w:ilvl w:val="0"/>
          <w:numId w:val="5"/>
        </w:numPr>
      </w:pPr>
      <w:r w:rsidRPr="0056759F">
        <w:rPr>
          <w:b/>
          <w:bCs/>
        </w:rPr>
        <w:t>Azure Key Vault:</w:t>
      </w:r>
      <w:r w:rsidRPr="0056759F">
        <w:t xml:space="preserve"> stores encrypted keys that are used to connect across resources or APIs.</w:t>
      </w:r>
    </w:p>
    <w:p w14:paraId="515F9954" w14:textId="77777777" w:rsidR="0056759F" w:rsidRPr="00227EC6" w:rsidRDefault="0056759F" w:rsidP="0056759F">
      <w:pPr>
        <w:rPr>
          <w:i/>
          <w:iCs/>
          <w:color w:val="EE0000"/>
        </w:rPr>
      </w:pPr>
      <w:r w:rsidRPr="0056759F">
        <w:t xml:space="preserve">You can find an infrastructure-as-code template for this deployment configuration here: </w:t>
      </w:r>
      <w:hyperlink r:id="rId22" w:history="1">
        <w:r w:rsidRPr="00227EC6">
          <w:rPr>
            <w:rStyle w:val="Hyperlink"/>
            <w:i/>
            <w:iCs/>
          </w:rPr>
          <w:t xml:space="preserve">foundry-samples/infrastructure/infrastructure-setup-bicep/41-standard-agent-setup at main </w:t>
        </w:r>
        <w:r w:rsidRPr="00227EC6">
          <w:rPr>
            <w:rStyle w:val="Hyperlink"/>
            <w:rFonts w:hint="eastAsia"/>
            <w:i/>
            <w:iCs/>
          </w:rPr>
          <w:t>·</w:t>
        </w:r>
        <w:r w:rsidRPr="00227EC6">
          <w:rPr>
            <w:rStyle w:val="Hyperlink"/>
            <w:i/>
            <w:iCs/>
          </w:rPr>
          <w:t xml:space="preserve"> microsoft-foundry/foundry-samples</w:t>
        </w:r>
      </w:hyperlink>
    </w:p>
    <w:tbl>
      <w:tblPr>
        <w:tblStyle w:val="TableGrid"/>
        <w:tblW w:w="0" w:type="auto"/>
        <w:tblLook w:val="04A0" w:firstRow="1" w:lastRow="0" w:firstColumn="1" w:lastColumn="0" w:noHBand="0" w:noVBand="1"/>
      </w:tblPr>
      <w:tblGrid>
        <w:gridCol w:w="9350"/>
      </w:tblGrid>
      <w:tr w:rsidR="0056759F" w14:paraId="5AEC3265" w14:textId="77777777" w:rsidTr="00F615F3">
        <w:tc>
          <w:tcPr>
            <w:tcW w:w="9350" w:type="dxa"/>
            <w:shd w:val="clear" w:color="auto" w:fill="F2CEED" w:themeFill="accent5" w:themeFillTint="33"/>
          </w:tcPr>
          <w:p w14:paraId="5B89FB03" w14:textId="77777777" w:rsidR="0056759F" w:rsidRDefault="0056759F" w:rsidP="00F615F3">
            <w:pPr>
              <w:rPr>
                <w:b/>
                <w:bCs/>
                <w:color w:val="501549" w:themeColor="accent5" w:themeShade="80"/>
              </w:rPr>
            </w:pPr>
          </w:p>
          <w:p w14:paraId="576F9794" w14:textId="77777777" w:rsidR="0056759F" w:rsidRDefault="0056759F" w:rsidP="00F615F3">
            <w:pPr>
              <w:rPr>
                <w:color w:val="501549" w:themeColor="accent5" w:themeShade="80"/>
              </w:rPr>
            </w:pPr>
            <w:r w:rsidRPr="00227EC6">
              <w:rPr>
                <w:b/>
                <w:bCs/>
                <w:color w:val="501549" w:themeColor="accent5" w:themeShade="80"/>
              </w:rPr>
              <w:t>NOTE:</w:t>
            </w:r>
            <w:r w:rsidRPr="00227EC6">
              <w:rPr>
                <w:color w:val="501549" w:themeColor="accent5" w:themeShade="80"/>
              </w:rPr>
              <w:t xml:space="preserve"> You have the option to point the template to existing resources or have the template create new ones. In either case, these dependencies are customer-managed resources, not Microsoft-managed resources (as is the case in the basic agent setup). </w:t>
            </w:r>
          </w:p>
          <w:p w14:paraId="6F16DB69" w14:textId="77777777" w:rsidR="0056759F" w:rsidRDefault="0056759F" w:rsidP="00F615F3">
            <w:pPr>
              <w:rPr>
                <w:color w:val="EE0000"/>
              </w:rPr>
            </w:pPr>
          </w:p>
        </w:tc>
      </w:tr>
    </w:tbl>
    <w:p w14:paraId="32563238" w14:textId="77777777" w:rsidR="0056759F" w:rsidRDefault="0056759F" w:rsidP="0056759F">
      <w:pPr>
        <w:rPr>
          <w:color w:val="EE0000"/>
        </w:rPr>
      </w:pPr>
    </w:p>
    <w:p w14:paraId="5A550A23" w14:textId="77777777" w:rsidR="0056759F" w:rsidRDefault="0056759F" w:rsidP="0056759F">
      <w:pPr>
        <w:rPr>
          <w:rFonts w:ascii="Segoe UI Semibold" w:hAnsi="Segoe UI Semibold" w:cs="Segoe UI Semibold"/>
          <w:sz w:val="28"/>
          <w:szCs w:val="28"/>
        </w:rPr>
      </w:pPr>
      <w:r w:rsidRPr="0056759F">
        <w:rPr>
          <w:rFonts w:ascii="Segoe UI Semibold" w:hAnsi="Segoe UI Semibold" w:cs="Segoe UI Semibold"/>
          <w:sz w:val="28"/>
          <w:szCs w:val="28"/>
        </w:rPr>
        <w:t xml:space="preserve">Deployment 2 </w:t>
      </w:r>
      <w:r w:rsidRPr="0056759F">
        <w:rPr>
          <w:rFonts w:ascii="Segoe UI Semibold" w:hAnsi="Segoe UI Semibold" w:cs="Segoe UI Semibold" w:hint="eastAsia"/>
          <w:sz w:val="28"/>
          <w:szCs w:val="28"/>
        </w:rPr>
        <w:t>–</w:t>
      </w:r>
      <w:r w:rsidRPr="0056759F">
        <w:rPr>
          <w:rFonts w:ascii="Segoe UI Semibold" w:hAnsi="Segoe UI Semibold" w:cs="Segoe UI Semibold"/>
          <w:sz w:val="28"/>
          <w:szCs w:val="28"/>
        </w:rPr>
        <w:t xml:space="preserve"> Standard Agent Setup (Private)</w:t>
      </w:r>
    </w:p>
    <w:p w14:paraId="2FD16CE8" w14:textId="094C974D" w:rsidR="0056759F" w:rsidRPr="0056759F" w:rsidRDefault="0056759F" w:rsidP="0056759F">
      <w:r w:rsidRPr="0056759F">
        <w:t xml:space="preserve">The private standard agent setup includes everything that the public standard agent setup includes, however all the resources are deployed in your own virtual network alongside private endpoints for each of the respective Azure resources. For customers in regulated industries such as healthcare or financial services, this is generally the recommended approach for deploying Foundry. There’s a more detailed article around setting up this environment found </w:t>
      </w:r>
      <w:hyperlink r:id="rId23" w:history="1">
        <w:r w:rsidRPr="0056759F">
          <w:rPr>
            <w:rStyle w:val="Hyperlink"/>
            <w:color w:val="auto"/>
          </w:rPr>
          <w:t>here</w:t>
        </w:r>
      </w:hyperlink>
      <w:r w:rsidRPr="0056759F">
        <w:t xml:space="preserve">. </w:t>
      </w:r>
    </w:p>
    <w:tbl>
      <w:tblPr>
        <w:tblStyle w:val="TableGrid"/>
        <w:tblW w:w="0" w:type="auto"/>
        <w:tblLook w:val="04A0" w:firstRow="1" w:lastRow="0" w:firstColumn="1" w:lastColumn="0" w:noHBand="0" w:noVBand="1"/>
      </w:tblPr>
      <w:tblGrid>
        <w:gridCol w:w="9350"/>
      </w:tblGrid>
      <w:tr w:rsidR="0056759F" w14:paraId="122A4652" w14:textId="77777777" w:rsidTr="00F615F3">
        <w:tc>
          <w:tcPr>
            <w:tcW w:w="9350" w:type="dxa"/>
            <w:shd w:val="clear" w:color="auto" w:fill="F2CEED" w:themeFill="accent5" w:themeFillTint="33"/>
          </w:tcPr>
          <w:p w14:paraId="104BBC9A" w14:textId="77777777" w:rsidR="0056759F" w:rsidRDefault="0056759F" w:rsidP="00F615F3">
            <w:pPr>
              <w:rPr>
                <w:b/>
                <w:bCs/>
                <w:color w:val="501549" w:themeColor="accent5" w:themeShade="80"/>
              </w:rPr>
            </w:pPr>
          </w:p>
          <w:p w14:paraId="448F1BE3" w14:textId="77777777" w:rsidR="0056759F" w:rsidRDefault="0056759F" w:rsidP="00F615F3">
            <w:pPr>
              <w:rPr>
                <w:color w:val="501549" w:themeColor="accent5" w:themeShade="80"/>
              </w:rPr>
            </w:pPr>
            <w:r w:rsidRPr="00227EC6">
              <w:rPr>
                <w:b/>
                <w:bCs/>
                <w:color w:val="501549" w:themeColor="accent5" w:themeShade="80"/>
              </w:rPr>
              <w:t>NOTE:</w:t>
            </w:r>
            <w:r w:rsidRPr="00227EC6">
              <w:rPr>
                <w:color w:val="501549" w:themeColor="accent5" w:themeShade="80"/>
              </w:rPr>
              <w:t xml:space="preserve"> There is also support for a variation of this deployment but with a Microsoft-managed VNET, you can read more about that </w:t>
            </w:r>
            <w:hyperlink r:id="rId24" w:history="1">
              <w:r w:rsidRPr="00227EC6">
                <w:rPr>
                  <w:rStyle w:val="Hyperlink"/>
                  <w:color w:val="501549" w:themeColor="accent5" w:themeShade="80"/>
                </w:rPr>
                <w:t>here</w:t>
              </w:r>
            </w:hyperlink>
            <w:r w:rsidRPr="00227EC6">
              <w:rPr>
                <w:color w:val="501549" w:themeColor="accent5" w:themeShade="80"/>
              </w:rPr>
              <w:t>.</w:t>
            </w:r>
          </w:p>
          <w:p w14:paraId="412DB94B" w14:textId="77777777" w:rsidR="0056759F" w:rsidRDefault="0056759F" w:rsidP="00F615F3">
            <w:pPr>
              <w:rPr>
                <w:color w:val="EE0000"/>
              </w:rPr>
            </w:pPr>
          </w:p>
        </w:tc>
      </w:tr>
    </w:tbl>
    <w:p w14:paraId="7AD8639E" w14:textId="77777777" w:rsidR="0056759F" w:rsidRDefault="0056759F" w:rsidP="0056759F">
      <w:pPr>
        <w:rPr>
          <w:color w:val="EE0000"/>
        </w:rPr>
      </w:pPr>
    </w:p>
    <w:p w14:paraId="5A72AE91" w14:textId="77777777" w:rsidR="0056759F" w:rsidRDefault="0056759F" w:rsidP="0056759F">
      <w:pPr>
        <w:jc w:val="center"/>
        <w:rPr>
          <w:color w:val="EE0000"/>
        </w:rPr>
      </w:pPr>
      <w:r>
        <w:rPr>
          <w:noProof/>
        </w:rPr>
        <w:drawing>
          <wp:inline distT="0" distB="0" distL="0" distR="0" wp14:anchorId="10C4AAC7" wp14:editId="3158F6B1">
            <wp:extent cx="4752975" cy="3136659"/>
            <wp:effectExtent l="0" t="0" r="0" b="6985"/>
            <wp:docPr id="1754768764" name="Picture 6" descr="Diagram of the recommended network isolation for Foundry.">
              <a:extLst xmlns:a="http://schemas.openxmlformats.org/drawingml/2006/main">
                <a:ext uri="{FF2B5EF4-FFF2-40B4-BE49-F238E27FC236}">
                  <a16:creationId xmlns:a16="http://schemas.microsoft.com/office/drawing/2014/main" id="{BB19393E-A3D6-4D84-8EE7-A2F2F6266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 of the recommended network isolation for Foundr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1251" cy="3142121"/>
                    </a:xfrm>
                    <a:prstGeom prst="rect">
                      <a:avLst/>
                    </a:prstGeom>
                    <a:noFill/>
                    <a:ln>
                      <a:noFill/>
                    </a:ln>
                  </pic:spPr>
                </pic:pic>
              </a:graphicData>
            </a:graphic>
          </wp:inline>
        </w:drawing>
      </w:r>
    </w:p>
    <w:p w14:paraId="7C9FC86A" w14:textId="70F4B51B" w:rsidR="0056759F" w:rsidRPr="0056759F" w:rsidRDefault="67361397" w:rsidP="0056759F">
      <w:r>
        <w:t xml:space="preserve">An important callout for this private setup is the introduction of the Agents subnet – also called the delegated subnet – where your agents are deployed into. Although you may bring your own Azure resources, deployed agents (also called </w:t>
      </w:r>
      <w:commentRangeStart w:id="18"/>
      <w:r>
        <w:t>prompt</w:t>
      </w:r>
      <w:r w:rsidR="00B103DF">
        <w:t>-based</w:t>
      </w:r>
      <w:r>
        <w:t xml:space="preserve"> agents</w:t>
      </w:r>
      <w:commentRangeEnd w:id="18"/>
      <w:r w:rsidR="0056759F">
        <w:rPr>
          <w:rStyle w:val="CommentReference"/>
          <w:sz w:val="24"/>
          <w:szCs w:val="24"/>
        </w:rPr>
        <w:commentReference w:id="18"/>
      </w:r>
      <w:r>
        <w:t>) always get deployed into this subnet onto Microsoft-managed container applications where the agent runtimes are hosted. Two key points:</w:t>
      </w:r>
    </w:p>
    <w:p w14:paraId="18D87F40" w14:textId="77777777" w:rsidR="0056759F" w:rsidRPr="0056759F" w:rsidRDefault="0056759F" w:rsidP="0056759F">
      <w:pPr>
        <w:pStyle w:val="ListParagraph"/>
        <w:numPr>
          <w:ilvl w:val="0"/>
          <w:numId w:val="4"/>
        </w:numPr>
      </w:pPr>
      <w:r w:rsidRPr="0056759F">
        <w:t xml:space="preserve">Those container applications exist inside of the delegated subnet and are not seen or managed by customers. </w:t>
      </w:r>
    </w:p>
    <w:p w14:paraId="44966DBA" w14:textId="176D9265" w:rsidR="0056759F" w:rsidRPr="0056759F" w:rsidRDefault="0056759F" w:rsidP="0056759F">
      <w:pPr>
        <w:pStyle w:val="ListParagraph"/>
        <w:numPr>
          <w:ilvl w:val="0"/>
          <w:numId w:val="4"/>
        </w:numPr>
      </w:pPr>
      <w:r w:rsidRPr="0056759F">
        <w:t>Customers are not charged for those container applications but are charged for the calls made to agents that run on those containers.</w:t>
      </w:r>
    </w:p>
    <w:p w14:paraId="59FC4A3E" w14:textId="77777777" w:rsidR="0056759F" w:rsidRDefault="0056759F" w:rsidP="0056759F">
      <w:pPr>
        <w:rPr>
          <w:i/>
          <w:iCs/>
          <w:color w:val="EE0000"/>
        </w:rPr>
      </w:pPr>
      <w:r w:rsidRPr="0056759F">
        <w:t xml:space="preserve">You can find a deployment template for this configuration here: </w:t>
      </w:r>
      <w:hyperlink r:id="rId26" w:history="1">
        <w:r w:rsidRPr="00227EC6">
          <w:rPr>
            <w:rStyle w:val="Hyperlink"/>
            <w:i/>
            <w:iCs/>
          </w:rPr>
          <w:t xml:space="preserve">foundry-samples/infrastructure/infrastructure-setup-bicep/15-private-network-standard-agent-setup at main </w:t>
        </w:r>
        <w:r w:rsidRPr="00227EC6">
          <w:rPr>
            <w:rStyle w:val="Hyperlink"/>
            <w:rFonts w:hint="eastAsia"/>
            <w:i/>
            <w:iCs/>
          </w:rPr>
          <w:t>·</w:t>
        </w:r>
        <w:r w:rsidRPr="00227EC6">
          <w:rPr>
            <w:rStyle w:val="Hyperlink"/>
            <w:i/>
            <w:iCs/>
          </w:rPr>
          <w:t xml:space="preserve"> microsoft-foundry/foundry-samples</w:t>
        </w:r>
      </w:hyperlink>
    </w:p>
    <w:p w14:paraId="31E3DAEF" w14:textId="5E9CC4FD" w:rsidR="0056759F" w:rsidRPr="0056759F" w:rsidRDefault="0056759F" w:rsidP="0056759F">
      <w:r w:rsidRPr="0056759F">
        <w:t>There is also a modified version of this template that support</w:t>
      </w:r>
      <w:r>
        <w:t>s</w:t>
      </w:r>
      <w:r w:rsidRPr="0056759F">
        <w:t xml:space="preserve"> customer-managed keys</w:t>
      </w:r>
      <w:r>
        <w:t>.</w:t>
      </w:r>
    </w:p>
    <w:tbl>
      <w:tblPr>
        <w:tblStyle w:val="TableGrid"/>
        <w:tblW w:w="0" w:type="auto"/>
        <w:tblLook w:val="04A0" w:firstRow="1" w:lastRow="0" w:firstColumn="1" w:lastColumn="0" w:noHBand="0" w:noVBand="1"/>
      </w:tblPr>
      <w:tblGrid>
        <w:gridCol w:w="9350"/>
      </w:tblGrid>
      <w:tr w:rsidR="0056759F" w14:paraId="23A02234" w14:textId="77777777" w:rsidTr="683E46C0">
        <w:tc>
          <w:tcPr>
            <w:tcW w:w="9350" w:type="dxa"/>
            <w:shd w:val="clear" w:color="auto" w:fill="F2CEED" w:themeFill="accent5" w:themeFillTint="33"/>
          </w:tcPr>
          <w:p w14:paraId="3EB905EA" w14:textId="77777777" w:rsidR="0056759F" w:rsidRDefault="0056759F" w:rsidP="00F615F3">
            <w:pPr>
              <w:rPr>
                <w:b/>
                <w:bCs/>
                <w:color w:val="EE0000"/>
              </w:rPr>
            </w:pPr>
          </w:p>
          <w:p w14:paraId="5B24B03B" w14:textId="605330BE" w:rsidR="0056759F" w:rsidRPr="00227EC6" w:rsidRDefault="0056759F" w:rsidP="00F615F3">
            <w:pPr>
              <w:rPr>
                <w:color w:val="501549" w:themeColor="accent5" w:themeShade="80"/>
              </w:rPr>
            </w:pPr>
            <w:r w:rsidRPr="683E46C0">
              <w:rPr>
                <w:b/>
                <w:bCs/>
                <w:color w:val="501549" w:themeColor="accent5" w:themeShade="80"/>
              </w:rPr>
              <w:t>NOTE:</w:t>
            </w:r>
            <w:r w:rsidRPr="683E46C0">
              <w:rPr>
                <w:color w:val="501549" w:themeColor="accent5" w:themeShade="80"/>
              </w:rPr>
              <w:t xml:space="preserve"> As agentic platform capabilities continue to mature, we are seeing customers move towards including Azure API Management as a core component of their Foundry deployments to manage model and agent APIs via policies. While there is a </w:t>
            </w:r>
            <w:hyperlink r:id="rId27">
              <w:r w:rsidRPr="683E46C0">
                <w:rPr>
                  <w:rStyle w:val="Hyperlink"/>
                  <w:color w:val="501549" w:themeColor="accent5" w:themeShade="80"/>
                </w:rPr>
                <w:t>deployment template of this private standard agent setup that includes APIM</w:t>
              </w:r>
            </w:hyperlink>
            <w:r w:rsidRPr="683E46C0">
              <w:rPr>
                <w:color w:val="501549" w:themeColor="accent5" w:themeShade="80"/>
              </w:rPr>
              <w:t xml:space="preserve">, there are efforts underway to integrate </w:t>
            </w:r>
            <w:commentRangeStart w:id="19"/>
            <w:commentRangeStart w:id="20"/>
            <w:r w:rsidRPr="683E46C0">
              <w:rPr>
                <w:color w:val="501549" w:themeColor="accent5" w:themeShade="80"/>
              </w:rPr>
              <w:t xml:space="preserve">APIM and Foundry via the </w:t>
            </w:r>
            <w:hyperlink r:id="rId28">
              <w:r w:rsidRPr="683E46C0">
                <w:rPr>
                  <w:rStyle w:val="Hyperlink"/>
                  <w:color w:val="501549" w:themeColor="accent5" w:themeShade="80"/>
                </w:rPr>
                <w:t>AI Gateway feature</w:t>
              </w:r>
            </w:hyperlink>
            <w:r w:rsidRPr="683E46C0">
              <w:rPr>
                <w:color w:val="501549" w:themeColor="accent5" w:themeShade="80"/>
              </w:rPr>
              <w:t xml:space="preserve"> (currently in public preview). </w:t>
            </w:r>
            <w:commentRangeEnd w:id="19"/>
            <w:r w:rsidRPr="00227EC6">
              <w:rPr>
                <w:rStyle w:val="CommentReference"/>
                <w:color w:val="501549" w:themeColor="accent5" w:themeShade="80"/>
                <w:sz w:val="24"/>
                <w:szCs w:val="24"/>
              </w:rPr>
              <w:commentReference w:id="19"/>
            </w:r>
            <w:commentRangeEnd w:id="20"/>
            <w:r w:rsidR="00BE1C90" w:rsidRPr="00227EC6">
              <w:rPr>
                <w:rStyle w:val="CommentReference"/>
                <w:color w:val="501549" w:themeColor="accent5" w:themeShade="80"/>
                <w:sz w:val="24"/>
                <w:szCs w:val="24"/>
              </w:rPr>
              <w:commentReference w:id="20"/>
            </w:r>
          </w:p>
          <w:p w14:paraId="2989B98D" w14:textId="77777777" w:rsidR="0056759F" w:rsidRDefault="0056759F" w:rsidP="00F615F3">
            <w:pPr>
              <w:rPr>
                <w:color w:val="EE0000"/>
              </w:rPr>
            </w:pPr>
          </w:p>
        </w:tc>
      </w:tr>
    </w:tbl>
    <w:p w14:paraId="514CDF69" w14:textId="77777777" w:rsidR="0056759F" w:rsidRPr="00227EC6" w:rsidRDefault="0056759F" w:rsidP="0056759F">
      <w:pPr>
        <w:rPr>
          <w:color w:val="EE0000"/>
        </w:rPr>
      </w:pPr>
    </w:p>
    <w:p w14:paraId="0D2393AB" w14:textId="77777777" w:rsidR="0056759F" w:rsidRPr="0056759F" w:rsidRDefault="0056759F" w:rsidP="0056759F">
      <w:pPr>
        <w:rPr>
          <w:rFonts w:ascii="Segoe UI Semibold" w:hAnsi="Segoe UI Semibold" w:cs="Segoe UI Semibold"/>
          <w:sz w:val="28"/>
          <w:szCs w:val="28"/>
        </w:rPr>
      </w:pPr>
      <w:r w:rsidRPr="0056759F">
        <w:rPr>
          <w:rFonts w:ascii="Segoe UI Semibold" w:hAnsi="Segoe UI Semibold" w:cs="Segoe UI Semibold"/>
          <w:sz w:val="28"/>
          <w:szCs w:val="28"/>
        </w:rPr>
        <w:t xml:space="preserve">Deployment 3 </w:t>
      </w:r>
      <w:r w:rsidRPr="0056759F">
        <w:rPr>
          <w:rFonts w:ascii="Segoe UI Semibold" w:hAnsi="Segoe UI Semibold" w:cs="Segoe UI Semibold" w:hint="eastAsia"/>
          <w:sz w:val="28"/>
          <w:szCs w:val="28"/>
        </w:rPr>
        <w:t>–</w:t>
      </w:r>
      <w:r w:rsidRPr="0056759F">
        <w:rPr>
          <w:rFonts w:ascii="Segoe UI Semibold" w:hAnsi="Segoe UI Semibold" w:cs="Segoe UI Semibold"/>
          <w:sz w:val="28"/>
          <w:szCs w:val="28"/>
        </w:rPr>
        <w:t xml:space="preserve"> Standard Agent Setup (Hybrid) </w:t>
      </w:r>
    </w:p>
    <w:p w14:paraId="28E4B667" w14:textId="77777777" w:rsidR="0056759F" w:rsidRPr="0056759F" w:rsidRDefault="0056759F" w:rsidP="0056759F">
      <w:r w:rsidRPr="0056759F">
        <w:t>Lastly, there is one more deployment configuration for Foundry that is not often seen, but deserves mention: the hybrid configuration. The key differentiator with this configuration is the ability to switch between public and private Foundry access. Organizations will want to use this deployment configuration when they want:</w:t>
      </w:r>
    </w:p>
    <w:p w14:paraId="6936587E" w14:textId="77777777" w:rsidR="0056759F" w:rsidRPr="0056759F" w:rsidRDefault="0056759F" w:rsidP="0056759F">
      <w:pPr>
        <w:pStyle w:val="ListParagraph"/>
        <w:numPr>
          <w:ilvl w:val="0"/>
          <w:numId w:val="2"/>
        </w:numPr>
      </w:pPr>
      <w:r w:rsidRPr="0056759F">
        <w:rPr>
          <w:b/>
          <w:bCs/>
        </w:rPr>
        <w:t>Private backend resources:</w:t>
      </w:r>
      <w:r w:rsidRPr="0056759F">
        <w:t xml:space="preserve"> Keep Azure AI Search, Cosmos DB, and Azure Storage behind private endpoints.</w:t>
      </w:r>
    </w:p>
    <w:p w14:paraId="64EDDA20" w14:textId="77777777" w:rsidR="0056759F" w:rsidRPr="0056759F" w:rsidRDefault="0056759F" w:rsidP="0056759F">
      <w:pPr>
        <w:pStyle w:val="ListParagraph"/>
        <w:numPr>
          <w:ilvl w:val="0"/>
          <w:numId w:val="2"/>
        </w:numPr>
      </w:pPr>
      <w:r w:rsidRPr="0056759F">
        <w:rPr>
          <w:b/>
          <w:bCs/>
        </w:rPr>
        <w:t>MCP Server integration:</w:t>
      </w:r>
      <w:r w:rsidRPr="0056759F">
        <w:t xml:space="preserve"> Deploy MCP servers on the VNET that agents can access via a data proxy.</w:t>
      </w:r>
    </w:p>
    <w:p w14:paraId="13D5DD3D" w14:textId="77777777" w:rsidR="0056759F" w:rsidRPr="0056759F" w:rsidRDefault="0056759F" w:rsidP="0056759F">
      <w:pPr>
        <w:pStyle w:val="ListParagraph"/>
        <w:numPr>
          <w:ilvl w:val="0"/>
          <w:numId w:val="2"/>
        </w:numPr>
      </w:pPr>
      <w:r w:rsidRPr="0056759F">
        <w:rPr>
          <w:b/>
          <w:bCs/>
        </w:rPr>
        <w:t>Private Foundry:</w:t>
      </w:r>
      <w:r w:rsidRPr="0056759F">
        <w:t xml:space="preserve"> Full network isolation with secure access via VPN, ExpressRoute, or Bastion. </w:t>
      </w:r>
    </w:p>
    <w:p w14:paraId="0E9517F3" w14:textId="77777777" w:rsidR="0056759F" w:rsidRPr="0056759F" w:rsidRDefault="0056759F" w:rsidP="0056759F">
      <w:pPr>
        <w:pStyle w:val="ListParagraph"/>
        <w:numPr>
          <w:ilvl w:val="0"/>
          <w:numId w:val="2"/>
        </w:numPr>
      </w:pPr>
      <w:r w:rsidRPr="0056759F">
        <w:rPr>
          <w:b/>
          <w:bCs/>
        </w:rPr>
        <w:t>Optional public Foundry access:</w:t>
      </w:r>
      <w:r w:rsidRPr="0056759F">
        <w:t xml:space="preserve"> Switch to public access for portal-based development if allowed by your organization’s security policy.</w:t>
      </w:r>
    </w:p>
    <w:p w14:paraId="08C46DE4" w14:textId="77777777" w:rsidR="0056759F" w:rsidRPr="0056759F" w:rsidRDefault="0056759F" w:rsidP="0056759F">
      <w:r w:rsidRPr="0056759F">
        <w:t>Organizations will want to avoid this configuration and defer to Deployment 2 – Standard Agent Setup (private) when they need:</w:t>
      </w:r>
    </w:p>
    <w:p w14:paraId="72B88889" w14:textId="340DB345" w:rsidR="0056759F" w:rsidRPr="0056759F" w:rsidRDefault="0056759F" w:rsidP="0056759F">
      <w:pPr>
        <w:pStyle w:val="ListParagraph"/>
        <w:numPr>
          <w:ilvl w:val="0"/>
          <w:numId w:val="1"/>
        </w:numPr>
      </w:pPr>
      <w:r w:rsidRPr="0056759F">
        <w:rPr>
          <w:b/>
          <w:bCs/>
        </w:rPr>
        <w:t>Fully managed private networking:</w:t>
      </w:r>
      <w:r w:rsidRPr="0056759F">
        <w:t xml:space="preserve"> Including managed VNET with Microsoft-managed private endpoints.</w:t>
      </w:r>
    </w:p>
    <w:p w14:paraId="2C5ADF44" w14:textId="77777777" w:rsidR="0056759F" w:rsidRPr="0056759F" w:rsidRDefault="0056759F" w:rsidP="0056759F">
      <w:pPr>
        <w:pStyle w:val="ListParagraph"/>
        <w:numPr>
          <w:ilvl w:val="0"/>
          <w:numId w:val="1"/>
        </w:numPr>
      </w:pPr>
      <w:r w:rsidRPr="0056759F">
        <w:rPr>
          <w:b/>
          <w:bCs/>
        </w:rPr>
        <w:t>Compliance requirements:</w:t>
      </w:r>
      <w:r w:rsidRPr="0056759F">
        <w:t xml:space="preserve"> Regulations that require a different private networking topology.</w:t>
      </w:r>
    </w:p>
    <w:p w14:paraId="3533F1F8" w14:textId="3A2C979A" w:rsidR="0056759F" w:rsidRPr="0056759F" w:rsidRDefault="0056759F" w:rsidP="0056759F">
      <w:r w:rsidRPr="0056759F">
        <w:t>Below is a table that compares private deployment and hybrid deployments:</w:t>
      </w:r>
    </w:p>
    <w:tbl>
      <w:tblPr>
        <w:tblStyle w:val="TableGrid"/>
        <w:tblW w:w="0" w:type="auto"/>
        <w:tblLook w:val="04A0" w:firstRow="1" w:lastRow="0" w:firstColumn="1" w:lastColumn="0" w:noHBand="0" w:noVBand="1"/>
      </w:tblPr>
      <w:tblGrid>
        <w:gridCol w:w="2337"/>
        <w:gridCol w:w="2337"/>
        <w:gridCol w:w="2338"/>
        <w:gridCol w:w="2338"/>
      </w:tblGrid>
      <w:tr w:rsidR="0056759F" w:rsidRPr="0056759F" w14:paraId="562F963F" w14:textId="77777777" w:rsidTr="683E46C0">
        <w:trPr>
          <w:trHeight w:val="305"/>
        </w:trPr>
        <w:tc>
          <w:tcPr>
            <w:tcW w:w="9350" w:type="dxa"/>
            <w:gridSpan w:val="4"/>
          </w:tcPr>
          <w:p w14:paraId="24D68EC3" w14:textId="77777777" w:rsidR="0056759F" w:rsidRPr="0056759F" w:rsidRDefault="0056759F" w:rsidP="00F615F3">
            <w:pPr>
              <w:jc w:val="center"/>
              <w:rPr>
                <w:rFonts w:ascii="Segoe UI Semibold" w:hAnsi="Segoe UI Semibold" w:cs="Segoe UI Semibold"/>
                <w:sz w:val="20"/>
                <w:szCs w:val="20"/>
              </w:rPr>
            </w:pPr>
            <w:r w:rsidRPr="0056759F">
              <w:rPr>
                <w:rFonts w:ascii="Segoe UI Semibold" w:hAnsi="Segoe UI Semibold" w:cs="Segoe UI Semibold"/>
                <w:sz w:val="20"/>
                <w:szCs w:val="20"/>
              </w:rPr>
              <w:t>Deployment 2 (Private) vs. Deployment 3 (Hybrid)</w:t>
            </w:r>
          </w:p>
        </w:tc>
      </w:tr>
      <w:tr w:rsidR="0056759F" w:rsidRPr="0056759F" w14:paraId="57A3E4DE" w14:textId="77777777" w:rsidTr="683E46C0">
        <w:tc>
          <w:tcPr>
            <w:tcW w:w="2337" w:type="dxa"/>
          </w:tcPr>
          <w:p w14:paraId="7AA3CCB2" w14:textId="77777777" w:rsidR="0056759F" w:rsidRPr="0056759F" w:rsidRDefault="0056759F" w:rsidP="00F615F3">
            <w:pPr>
              <w:jc w:val="center"/>
              <w:rPr>
                <w:rFonts w:ascii="Segoe UI Semibold" w:hAnsi="Segoe UI Semibold" w:cs="Segoe UI Semibold"/>
                <w:sz w:val="20"/>
                <w:szCs w:val="20"/>
              </w:rPr>
            </w:pPr>
            <w:r w:rsidRPr="0056759F">
              <w:rPr>
                <w:rFonts w:ascii="Segoe UI Semibold" w:hAnsi="Segoe UI Semibold" w:cs="Segoe UI Semibold"/>
                <w:sz w:val="20"/>
                <w:szCs w:val="20"/>
              </w:rPr>
              <w:t>Feature</w:t>
            </w:r>
          </w:p>
        </w:tc>
        <w:tc>
          <w:tcPr>
            <w:tcW w:w="2337" w:type="dxa"/>
          </w:tcPr>
          <w:p w14:paraId="78F0B262" w14:textId="77777777" w:rsidR="0056759F" w:rsidRPr="0056759F" w:rsidRDefault="0056759F" w:rsidP="00F615F3">
            <w:pPr>
              <w:jc w:val="center"/>
              <w:rPr>
                <w:rFonts w:ascii="Segoe UI Semibold" w:hAnsi="Segoe UI Semibold" w:cs="Segoe UI Semibold"/>
                <w:sz w:val="20"/>
                <w:szCs w:val="20"/>
              </w:rPr>
            </w:pPr>
            <w:r w:rsidRPr="0056759F">
              <w:rPr>
                <w:rFonts w:ascii="Segoe UI Semibold" w:hAnsi="Segoe UI Semibold" w:cs="Segoe UI Semibold"/>
                <w:sz w:val="20"/>
                <w:szCs w:val="20"/>
              </w:rPr>
              <w:t>Private</w:t>
            </w:r>
          </w:p>
        </w:tc>
        <w:tc>
          <w:tcPr>
            <w:tcW w:w="2338" w:type="dxa"/>
          </w:tcPr>
          <w:p w14:paraId="44F86531" w14:textId="77777777" w:rsidR="0056759F" w:rsidRPr="0056759F" w:rsidRDefault="0056759F" w:rsidP="00F615F3">
            <w:pPr>
              <w:jc w:val="center"/>
              <w:rPr>
                <w:rFonts w:ascii="Segoe UI Semibold" w:hAnsi="Segoe UI Semibold" w:cs="Segoe UI Semibold"/>
                <w:sz w:val="20"/>
                <w:szCs w:val="20"/>
              </w:rPr>
            </w:pPr>
            <w:commentRangeStart w:id="21"/>
            <w:r w:rsidRPr="683E46C0">
              <w:rPr>
                <w:rFonts w:ascii="Segoe UI Semibold" w:hAnsi="Segoe UI Semibold" w:cs="Segoe UI Semibold"/>
                <w:sz w:val="20"/>
                <w:szCs w:val="20"/>
              </w:rPr>
              <w:t>Hybrid – “Private”</w:t>
            </w:r>
          </w:p>
        </w:tc>
        <w:tc>
          <w:tcPr>
            <w:tcW w:w="2338" w:type="dxa"/>
          </w:tcPr>
          <w:p w14:paraId="084EF1EE" w14:textId="77777777" w:rsidR="0056759F" w:rsidRPr="0056759F" w:rsidRDefault="0056759F" w:rsidP="00F615F3">
            <w:pPr>
              <w:jc w:val="center"/>
              <w:rPr>
                <w:rFonts w:ascii="Segoe UI Semibold" w:hAnsi="Segoe UI Semibold" w:cs="Segoe UI Semibold"/>
                <w:sz w:val="20"/>
                <w:szCs w:val="20"/>
              </w:rPr>
            </w:pPr>
            <w:r w:rsidRPr="683E46C0">
              <w:rPr>
                <w:rFonts w:ascii="Segoe UI Semibold" w:hAnsi="Segoe UI Semibold" w:cs="Segoe UI Semibold"/>
                <w:sz w:val="20"/>
                <w:szCs w:val="20"/>
              </w:rPr>
              <w:t>Hybrid – “Public”</w:t>
            </w:r>
            <w:commentRangeEnd w:id="21"/>
            <w:r w:rsidRPr="0056759F">
              <w:rPr>
                <w:rStyle w:val="CommentReference"/>
                <w:rFonts w:ascii="Segoe UI Semibold" w:hAnsi="Segoe UI Semibold" w:cs="Segoe UI Semibold"/>
                <w:sz w:val="20"/>
                <w:szCs w:val="20"/>
              </w:rPr>
              <w:commentReference w:id="21"/>
            </w:r>
          </w:p>
        </w:tc>
      </w:tr>
      <w:tr w:rsidR="0056759F" w:rsidRPr="0056759F" w14:paraId="176989EC" w14:textId="77777777" w:rsidTr="683E46C0">
        <w:tc>
          <w:tcPr>
            <w:tcW w:w="2337" w:type="dxa"/>
          </w:tcPr>
          <w:p w14:paraId="458FF556" w14:textId="77777777" w:rsidR="0056759F" w:rsidRPr="0056759F" w:rsidRDefault="0056759F" w:rsidP="00F615F3">
            <w:pPr>
              <w:rPr>
                <w:sz w:val="20"/>
                <w:szCs w:val="20"/>
              </w:rPr>
            </w:pPr>
            <w:r w:rsidRPr="0056759F">
              <w:rPr>
                <w:sz w:val="20"/>
                <w:szCs w:val="20"/>
              </w:rPr>
              <w:t>AI Services public access</w:t>
            </w:r>
          </w:p>
        </w:tc>
        <w:tc>
          <w:tcPr>
            <w:tcW w:w="2337" w:type="dxa"/>
          </w:tcPr>
          <w:p w14:paraId="3EC3B22B" w14:textId="77777777" w:rsidR="0056759F" w:rsidRPr="0056759F" w:rsidRDefault="0056759F" w:rsidP="00F615F3">
            <w:pPr>
              <w:jc w:val="center"/>
              <w:rPr>
                <w:sz w:val="20"/>
                <w:szCs w:val="20"/>
              </w:rPr>
            </w:pPr>
            <w:r w:rsidRPr="0056759F">
              <w:rPr>
                <w:sz w:val="20"/>
                <w:szCs w:val="20"/>
              </w:rPr>
              <w:t>Disabled</w:t>
            </w:r>
          </w:p>
        </w:tc>
        <w:tc>
          <w:tcPr>
            <w:tcW w:w="2338" w:type="dxa"/>
          </w:tcPr>
          <w:p w14:paraId="7496F1DC" w14:textId="77777777" w:rsidR="0056759F" w:rsidRPr="0056759F" w:rsidRDefault="0056759F" w:rsidP="00F615F3">
            <w:pPr>
              <w:jc w:val="center"/>
              <w:rPr>
                <w:sz w:val="20"/>
                <w:szCs w:val="20"/>
              </w:rPr>
            </w:pPr>
            <w:r w:rsidRPr="0056759F">
              <w:rPr>
                <w:sz w:val="20"/>
                <w:szCs w:val="20"/>
              </w:rPr>
              <w:t>Disabled</w:t>
            </w:r>
          </w:p>
        </w:tc>
        <w:tc>
          <w:tcPr>
            <w:tcW w:w="2338" w:type="dxa"/>
          </w:tcPr>
          <w:p w14:paraId="5DC987BF" w14:textId="77777777" w:rsidR="0056759F" w:rsidRPr="0056759F" w:rsidRDefault="0056759F" w:rsidP="00F615F3">
            <w:pPr>
              <w:jc w:val="center"/>
              <w:rPr>
                <w:sz w:val="20"/>
                <w:szCs w:val="20"/>
              </w:rPr>
            </w:pPr>
            <w:r w:rsidRPr="0056759F">
              <w:rPr>
                <w:sz w:val="20"/>
                <w:szCs w:val="20"/>
              </w:rPr>
              <w:t>Enabled</w:t>
            </w:r>
          </w:p>
        </w:tc>
      </w:tr>
      <w:tr w:rsidR="0056759F" w:rsidRPr="0056759F" w14:paraId="1EEDD397" w14:textId="77777777" w:rsidTr="683E46C0">
        <w:tc>
          <w:tcPr>
            <w:tcW w:w="2337" w:type="dxa"/>
          </w:tcPr>
          <w:p w14:paraId="46DCECEA" w14:textId="77777777" w:rsidR="0056759F" w:rsidRPr="0056759F" w:rsidRDefault="0056759F" w:rsidP="00F615F3">
            <w:pPr>
              <w:rPr>
                <w:sz w:val="20"/>
                <w:szCs w:val="20"/>
              </w:rPr>
            </w:pPr>
            <w:r w:rsidRPr="0056759F">
              <w:rPr>
                <w:sz w:val="20"/>
                <w:szCs w:val="20"/>
              </w:rPr>
              <w:t>Foundry Portal access</w:t>
            </w:r>
          </w:p>
        </w:tc>
        <w:tc>
          <w:tcPr>
            <w:tcW w:w="2337" w:type="dxa"/>
          </w:tcPr>
          <w:p w14:paraId="2479A01B" w14:textId="77777777" w:rsidR="0056759F" w:rsidRPr="0056759F" w:rsidRDefault="0056759F" w:rsidP="00F615F3">
            <w:pPr>
              <w:jc w:val="center"/>
              <w:rPr>
                <w:sz w:val="20"/>
                <w:szCs w:val="20"/>
              </w:rPr>
            </w:pPr>
            <w:r w:rsidRPr="0056759F">
              <w:rPr>
                <w:sz w:val="20"/>
                <w:szCs w:val="20"/>
              </w:rPr>
              <w:t>Via VPN, ExpressRoute, or Bastion</w:t>
            </w:r>
          </w:p>
        </w:tc>
        <w:tc>
          <w:tcPr>
            <w:tcW w:w="2338" w:type="dxa"/>
          </w:tcPr>
          <w:p w14:paraId="68FFF024" w14:textId="77777777" w:rsidR="0056759F" w:rsidRPr="0056759F" w:rsidRDefault="0056759F" w:rsidP="00F615F3">
            <w:pPr>
              <w:jc w:val="center"/>
              <w:rPr>
                <w:sz w:val="20"/>
                <w:szCs w:val="20"/>
              </w:rPr>
            </w:pPr>
            <w:r w:rsidRPr="0056759F">
              <w:rPr>
                <w:sz w:val="20"/>
                <w:szCs w:val="20"/>
              </w:rPr>
              <w:t>Via VPN, ExpressRoute, or Bastion</w:t>
            </w:r>
          </w:p>
        </w:tc>
        <w:tc>
          <w:tcPr>
            <w:tcW w:w="2338" w:type="dxa"/>
          </w:tcPr>
          <w:p w14:paraId="3DAC8818" w14:textId="77777777" w:rsidR="0056759F" w:rsidRPr="0056759F" w:rsidRDefault="0056759F" w:rsidP="00F615F3">
            <w:pPr>
              <w:jc w:val="center"/>
              <w:rPr>
                <w:sz w:val="20"/>
                <w:szCs w:val="20"/>
              </w:rPr>
            </w:pPr>
            <w:r w:rsidRPr="0056759F">
              <w:rPr>
                <w:sz w:val="20"/>
                <w:szCs w:val="20"/>
              </w:rPr>
              <w:t>Works directly</w:t>
            </w:r>
          </w:p>
        </w:tc>
      </w:tr>
      <w:tr w:rsidR="0056759F" w:rsidRPr="0056759F" w14:paraId="3B1C0118" w14:textId="77777777" w:rsidTr="683E46C0">
        <w:tc>
          <w:tcPr>
            <w:tcW w:w="2337" w:type="dxa"/>
          </w:tcPr>
          <w:p w14:paraId="24DB1DA6" w14:textId="77777777" w:rsidR="0056759F" w:rsidRPr="0056759F" w:rsidRDefault="0056759F" w:rsidP="00F615F3">
            <w:pPr>
              <w:rPr>
                <w:sz w:val="20"/>
                <w:szCs w:val="20"/>
              </w:rPr>
            </w:pPr>
            <w:r w:rsidRPr="0056759F">
              <w:rPr>
                <w:sz w:val="20"/>
                <w:szCs w:val="20"/>
              </w:rPr>
              <w:t>Backend resources</w:t>
            </w:r>
          </w:p>
        </w:tc>
        <w:tc>
          <w:tcPr>
            <w:tcW w:w="2337" w:type="dxa"/>
          </w:tcPr>
          <w:p w14:paraId="050D4253" w14:textId="77777777" w:rsidR="0056759F" w:rsidRPr="0056759F" w:rsidRDefault="0056759F" w:rsidP="00F615F3">
            <w:pPr>
              <w:jc w:val="center"/>
              <w:rPr>
                <w:sz w:val="20"/>
                <w:szCs w:val="20"/>
              </w:rPr>
            </w:pPr>
            <w:r w:rsidRPr="0056759F">
              <w:rPr>
                <w:sz w:val="20"/>
                <w:szCs w:val="20"/>
              </w:rPr>
              <w:t>Private</w:t>
            </w:r>
          </w:p>
        </w:tc>
        <w:tc>
          <w:tcPr>
            <w:tcW w:w="2338" w:type="dxa"/>
          </w:tcPr>
          <w:p w14:paraId="68B61589" w14:textId="77777777" w:rsidR="0056759F" w:rsidRPr="0056759F" w:rsidRDefault="0056759F" w:rsidP="00F615F3">
            <w:pPr>
              <w:jc w:val="center"/>
              <w:rPr>
                <w:sz w:val="20"/>
                <w:szCs w:val="20"/>
              </w:rPr>
            </w:pPr>
            <w:r w:rsidRPr="0056759F">
              <w:rPr>
                <w:sz w:val="20"/>
                <w:szCs w:val="20"/>
              </w:rPr>
              <w:t>Private</w:t>
            </w:r>
          </w:p>
        </w:tc>
        <w:tc>
          <w:tcPr>
            <w:tcW w:w="2338" w:type="dxa"/>
          </w:tcPr>
          <w:p w14:paraId="2C650921" w14:textId="77777777" w:rsidR="0056759F" w:rsidRPr="0056759F" w:rsidRDefault="0056759F" w:rsidP="00F615F3">
            <w:pPr>
              <w:jc w:val="center"/>
              <w:rPr>
                <w:sz w:val="20"/>
                <w:szCs w:val="20"/>
              </w:rPr>
            </w:pPr>
            <w:r w:rsidRPr="0056759F">
              <w:rPr>
                <w:sz w:val="20"/>
                <w:szCs w:val="20"/>
              </w:rPr>
              <w:t>Private</w:t>
            </w:r>
          </w:p>
        </w:tc>
      </w:tr>
      <w:tr w:rsidR="0056759F" w:rsidRPr="0056759F" w14:paraId="12E856EC" w14:textId="77777777" w:rsidTr="683E46C0">
        <w:tc>
          <w:tcPr>
            <w:tcW w:w="2337" w:type="dxa"/>
          </w:tcPr>
          <w:p w14:paraId="3C62C1D9" w14:textId="77777777" w:rsidR="0056759F" w:rsidRPr="0056759F" w:rsidRDefault="0056759F" w:rsidP="00F615F3">
            <w:pPr>
              <w:rPr>
                <w:sz w:val="20"/>
                <w:szCs w:val="20"/>
              </w:rPr>
            </w:pPr>
            <w:r w:rsidRPr="0056759F">
              <w:rPr>
                <w:sz w:val="20"/>
                <w:szCs w:val="20"/>
              </w:rPr>
              <w:t>Data Proxy</w:t>
            </w:r>
          </w:p>
        </w:tc>
        <w:tc>
          <w:tcPr>
            <w:tcW w:w="2337" w:type="dxa"/>
          </w:tcPr>
          <w:p w14:paraId="33B36A4A" w14:textId="77777777" w:rsidR="0056759F" w:rsidRPr="0056759F" w:rsidRDefault="0056759F" w:rsidP="00F615F3">
            <w:pPr>
              <w:jc w:val="center"/>
              <w:rPr>
                <w:sz w:val="20"/>
                <w:szCs w:val="20"/>
              </w:rPr>
            </w:pPr>
            <w:r w:rsidRPr="0056759F">
              <w:rPr>
                <w:sz w:val="20"/>
                <w:szCs w:val="20"/>
              </w:rPr>
              <w:t>Configured</w:t>
            </w:r>
          </w:p>
        </w:tc>
        <w:tc>
          <w:tcPr>
            <w:tcW w:w="2338" w:type="dxa"/>
          </w:tcPr>
          <w:p w14:paraId="0501652A" w14:textId="77777777" w:rsidR="0056759F" w:rsidRPr="0056759F" w:rsidRDefault="0056759F" w:rsidP="00F615F3">
            <w:pPr>
              <w:jc w:val="center"/>
              <w:rPr>
                <w:sz w:val="20"/>
                <w:szCs w:val="20"/>
              </w:rPr>
            </w:pPr>
            <w:r w:rsidRPr="0056759F">
              <w:rPr>
                <w:sz w:val="20"/>
                <w:szCs w:val="20"/>
              </w:rPr>
              <w:t>Configured</w:t>
            </w:r>
          </w:p>
        </w:tc>
        <w:tc>
          <w:tcPr>
            <w:tcW w:w="2338" w:type="dxa"/>
          </w:tcPr>
          <w:p w14:paraId="2192AC4A" w14:textId="77777777" w:rsidR="0056759F" w:rsidRPr="0056759F" w:rsidRDefault="0056759F" w:rsidP="00F615F3">
            <w:pPr>
              <w:jc w:val="center"/>
              <w:rPr>
                <w:sz w:val="20"/>
                <w:szCs w:val="20"/>
              </w:rPr>
            </w:pPr>
            <w:r w:rsidRPr="0056759F">
              <w:rPr>
                <w:sz w:val="20"/>
                <w:szCs w:val="20"/>
              </w:rPr>
              <w:t>Configured</w:t>
            </w:r>
          </w:p>
        </w:tc>
      </w:tr>
      <w:tr w:rsidR="0056759F" w:rsidRPr="0056759F" w14:paraId="7D6D3E47" w14:textId="77777777" w:rsidTr="683E46C0">
        <w:tc>
          <w:tcPr>
            <w:tcW w:w="2337" w:type="dxa"/>
          </w:tcPr>
          <w:p w14:paraId="765B4C82" w14:textId="77777777" w:rsidR="0056759F" w:rsidRPr="0056759F" w:rsidRDefault="0056759F" w:rsidP="00F615F3">
            <w:pPr>
              <w:rPr>
                <w:sz w:val="20"/>
                <w:szCs w:val="20"/>
              </w:rPr>
            </w:pPr>
            <w:r w:rsidRPr="0056759F">
              <w:rPr>
                <w:sz w:val="20"/>
                <w:szCs w:val="20"/>
              </w:rPr>
              <w:t>Secure connection required</w:t>
            </w:r>
          </w:p>
        </w:tc>
        <w:tc>
          <w:tcPr>
            <w:tcW w:w="2337" w:type="dxa"/>
          </w:tcPr>
          <w:p w14:paraId="279320F2" w14:textId="77777777" w:rsidR="0056759F" w:rsidRPr="0056759F" w:rsidRDefault="0056759F" w:rsidP="00F615F3">
            <w:pPr>
              <w:jc w:val="center"/>
              <w:rPr>
                <w:sz w:val="20"/>
                <w:szCs w:val="20"/>
              </w:rPr>
            </w:pPr>
            <w:r w:rsidRPr="0056759F">
              <w:rPr>
                <w:sz w:val="20"/>
                <w:szCs w:val="20"/>
              </w:rPr>
              <w:t>Yes</w:t>
            </w:r>
          </w:p>
        </w:tc>
        <w:tc>
          <w:tcPr>
            <w:tcW w:w="2338" w:type="dxa"/>
          </w:tcPr>
          <w:p w14:paraId="5263B85C" w14:textId="77777777" w:rsidR="0056759F" w:rsidRPr="0056759F" w:rsidRDefault="0056759F" w:rsidP="00F615F3">
            <w:pPr>
              <w:jc w:val="center"/>
              <w:rPr>
                <w:sz w:val="20"/>
                <w:szCs w:val="20"/>
              </w:rPr>
            </w:pPr>
            <w:r w:rsidRPr="0056759F">
              <w:rPr>
                <w:sz w:val="20"/>
                <w:szCs w:val="20"/>
              </w:rPr>
              <w:t>Yes</w:t>
            </w:r>
          </w:p>
        </w:tc>
        <w:tc>
          <w:tcPr>
            <w:tcW w:w="2338" w:type="dxa"/>
          </w:tcPr>
          <w:p w14:paraId="56A47018" w14:textId="77777777" w:rsidR="0056759F" w:rsidRPr="0056759F" w:rsidRDefault="0056759F" w:rsidP="00F615F3">
            <w:pPr>
              <w:jc w:val="center"/>
              <w:rPr>
                <w:sz w:val="20"/>
                <w:szCs w:val="20"/>
              </w:rPr>
            </w:pPr>
            <w:r w:rsidRPr="0056759F">
              <w:rPr>
                <w:sz w:val="20"/>
                <w:szCs w:val="20"/>
              </w:rPr>
              <w:t>No</w:t>
            </w:r>
          </w:p>
        </w:tc>
      </w:tr>
    </w:tbl>
    <w:p w14:paraId="62FB29C5" w14:textId="77777777" w:rsidR="0056759F" w:rsidRPr="0056759F" w:rsidRDefault="0056759F" w:rsidP="0056759F"/>
    <w:p w14:paraId="2BC8A4AE" w14:textId="587E4DB2" w:rsidR="0056759F" w:rsidRDefault="0056759F" w:rsidP="0056759F">
      <w:r w:rsidRPr="0056759F">
        <w:t xml:space="preserve">You can find a deployment template for this configuration here: </w:t>
      </w:r>
      <w:hyperlink r:id="rId29" w:history="1">
        <w:r w:rsidRPr="00227EC6">
          <w:rPr>
            <w:rStyle w:val="Hyperlink"/>
            <w:i/>
            <w:iCs/>
          </w:rPr>
          <w:t xml:space="preserve">foundry-samples/infrastructure/infrastructure-setup-bicep/19-hybrid-private-resources-agent-setup at main </w:t>
        </w:r>
        <w:r w:rsidRPr="00227EC6">
          <w:rPr>
            <w:rStyle w:val="Hyperlink"/>
            <w:rFonts w:hint="eastAsia"/>
            <w:i/>
            <w:iCs/>
          </w:rPr>
          <w:t>·</w:t>
        </w:r>
        <w:r w:rsidRPr="00227EC6">
          <w:rPr>
            <w:rStyle w:val="Hyperlink"/>
            <w:i/>
            <w:iCs/>
          </w:rPr>
          <w:t xml:space="preserve"> microsoft-foundry/foundry-samples</w:t>
        </w:r>
      </w:hyperlink>
    </w:p>
    <w:p w14:paraId="0FE2476E" w14:textId="77777777" w:rsidR="000A5328" w:rsidRDefault="000A5328" w:rsidP="0056759F"/>
    <w:p w14:paraId="339799CB" w14:textId="0220AFBC" w:rsidR="00FB4F64" w:rsidRPr="005A6421" w:rsidRDefault="00FB4F64" w:rsidP="0056759F">
      <w:pPr>
        <w:rPr>
          <w:rFonts w:ascii="Segoe UI Semibold" w:hAnsi="Segoe UI Semibold" w:cs="Segoe UI Semibold"/>
          <w:sz w:val="36"/>
          <w:szCs w:val="36"/>
        </w:rPr>
      </w:pPr>
      <w:r w:rsidRPr="005A6421">
        <w:rPr>
          <w:rFonts w:ascii="Segoe UI Semibold" w:hAnsi="Segoe UI Semibold" w:cs="Segoe UI Semibold"/>
          <w:sz w:val="36"/>
          <w:szCs w:val="36"/>
        </w:rPr>
        <w:t>Define your model strategy</w:t>
      </w:r>
    </w:p>
    <w:p w14:paraId="2D78CFAE" w14:textId="5707C183" w:rsidR="00BF59D1" w:rsidRDefault="00027906" w:rsidP="0056759F">
      <w:r>
        <w:t>In a</w:t>
      </w:r>
      <w:r w:rsidR="005A6421">
        <w:t xml:space="preserve"> constantly</w:t>
      </w:r>
      <w:r>
        <w:t xml:space="preserve"> evolving space like AI, it is important for an organization to define its model strategy.</w:t>
      </w:r>
      <w:r w:rsidR="00F70CA5">
        <w:t xml:space="preserve"> Model lifecycle stages or regional capacity constraints can affect the models you choose to integrate into your applications.</w:t>
      </w:r>
      <w:r>
        <w:t xml:space="preserve"> </w:t>
      </w:r>
      <w:r w:rsidR="00BF59D1">
        <w:t xml:space="preserve">A viable model strategy should </w:t>
      </w:r>
      <w:r w:rsidR="008345F9">
        <w:t>address</w:t>
      </w:r>
      <w:r w:rsidR="00BF59D1">
        <w:t xml:space="preserve"> </w:t>
      </w:r>
      <w:r w:rsidR="00382C09">
        <w:t>three</w:t>
      </w:r>
      <w:r w:rsidR="00BF59D1">
        <w:t xml:space="preserve"> key areas:</w:t>
      </w:r>
    </w:p>
    <w:p w14:paraId="4F86E876" w14:textId="38C0C961" w:rsidR="00BF079B" w:rsidRDefault="04866368" w:rsidP="00BF59D1">
      <w:pPr>
        <w:pStyle w:val="ListParagraph"/>
        <w:numPr>
          <w:ilvl w:val="0"/>
          <w:numId w:val="7"/>
        </w:numPr>
      </w:pPr>
      <w:r w:rsidRPr="7E8E4603">
        <w:rPr>
          <w:b/>
          <w:bCs/>
        </w:rPr>
        <w:t>Model lifecycle:</w:t>
      </w:r>
      <w:r w:rsidR="18219ACF">
        <w:t xml:space="preserve"> </w:t>
      </w:r>
      <w:r w:rsidR="643F7883">
        <w:t xml:space="preserve">models are continuously refreshed with newer, more capable models. As a part of this process, model providers may deprecate and retire older models, requiring </w:t>
      </w:r>
      <w:r w:rsidR="79E6D932">
        <w:t xml:space="preserve">application updates to use newer </w:t>
      </w:r>
      <w:commentRangeStart w:id="22"/>
      <w:r w:rsidR="79E6D932">
        <w:t xml:space="preserve">model </w:t>
      </w:r>
      <w:commentRangeEnd w:id="22"/>
      <w:r w:rsidR="00BF079B">
        <w:rPr>
          <w:rStyle w:val="CommentReference"/>
          <w:sz w:val="24"/>
          <w:szCs w:val="24"/>
        </w:rPr>
        <w:commentReference w:id="22"/>
      </w:r>
      <w:r w:rsidR="007A495E">
        <w:t>versions</w:t>
      </w:r>
      <w:r w:rsidR="79E6D932">
        <w:t xml:space="preserve">. It is important to understand the model lifecycle stages, and how </w:t>
      </w:r>
      <w:hyperlink r:id="rId30">
        <w:r w:rsidR="79E6D932" w:rsidRPr="7E8E4603">
          <w:rPr>
            <w:rStyle w:val="Hyperlink"/>
          </w:rPr>
          <w:t>Foundry models</w:t>
        </w:r>
      </w:hyperlink>
      <w:r w:rsidR="79E6D932">
        <w:t xml:space="preserve"> and </w:t>
      </w:r>
      <w:hyperlink r:id="rId31">
        <w:r w:rsidR="79E6D932" w:rsidRPr="7E8E4603">
          <w:rPr>
            <w:rStyle w:val="Hyperlink"/>
          </w:rPr>
          <w:t>Azure Open AI models</w:t>
        </w:r>
      </w:hyperlink>
      <w:r w:rsidR="79E6D932">
        <w:t xml:space="preserve"> </w:t>
      </w:r>
      <w:r w:rsidR="2B7CDE9E">
        <w:t>are deprecated and retired.</w:t>
      </w:r>
    </w:p>
    <w:p w14:paraId="66E8D3E3" w14:textId="3252D3C8" w:rsidR="00FB4F64" w:rsidRDefault="008345F9" w:rsidP="00BF59D1">
      <w:pPr>
        <w:pStyle w:val="ListParagraph"/>
        <w:numPr>
          <w:ilvl w:val="0"/>
          <w:numId w:val="7"/>
        </w:numPr>
      </w:pPr>
      <w:r w:rsidRPr="00A4394F">
        <w:rPr>
          <w:b/>
          <w:bCs/>
        </w:rPr>
        <w:t xml:space="preserve">Deployment </w:t>
      </w:r>
      <w:r w:rsidR="00BF079B" w:rsidRPr="00A4394F">
        <w:rPr>
          <w:b/>
          <w:bCs/>
        </w:rPr>
        <w:t>t</w:t>
      </w:r>
      <w:r w:rsidRPr="00A4394F">
        <w:rPr>
          <w:b/>
          <w:bCs/>
        </w:rPr>
        <w:t>ypes:</w:t>
      </w:r>
      <w:r w:rsidR="008A14EE">
        <w:t xml:space="preserve"> There are different </w:t>
      </w:r>
      <w:hyperlink r:id="rId32" w:history="1">
        <w:r w:rsidR="008A14EE" w:rsidRPr="00A841F2">
          <w:rPr>
            <w:rStyle w:val="Hyperlink"/>
          </w:rPr>
          <w:t>deployment offerings</w:t>
        </w:r>
      </w:hyperlink>
      <w:r w:rsidR="008A14EE">
        <w:t xml:space="preserve">, which impact where your prompt inputs </w:t>
      </w:r>
      <w:r w:rsidR="00A4394F">
        <w:t xml:space="preserve">are processed geographically. For customers in regulated industries, there may be a requirement for </w:t>
      </w:r>
      <w:hyperlink r:id="rId33" w:history="1">
        <w:r w:rsidR="00A4394F" w:rsidRPr="00F0488E">
          <w:rPr>
            <w:rStyle w:val="Hyperlink"/>
          </w:rPr>
          <w:t>data processing</w:t>
        </w:r>
      </w:hyperlink>
      <w:r w:rsidR="00A4394F">
        <w:t xml:space="preserve"> to occur within a geographical region. </w:t>
      </w:r>
    </w:p>
    <w:p w14:paraId="0B9353B0" w14:textId="541EFF87" w:rsidR="008345F9" w:rsidRDefault="008345F9" w:rsidP="00BF59D1">
      <w:pPr>
        <w:pStyle w:val="ListParagraph"/>
        <w:numPr>
          <w:ilvl w:val="0"/>
          <w:numId w:val="7"/>
        </w:numPr>
      </w:pPr>
      <w:r w:rsidRPr="00DD579E">
        <w:rPr>
          <w:b/>
          <w:bCs/>
        </w:rPr>
        <w:t>Region availability:</w:t>
      </w:r>
      <w:r w:rsidR="00DD579E">
        <w:t xml:space="preserve"> Along the same lines as deployment types, it is important when selecting a model to verify which regions are supported for the model your team may be evaluating. Regional support can vary depending on available capacity, and not all models get rolled out to all regions.</w:t>
      </w:r>
    </w:p>
    <w:p w14:paraId="122F1FCC" w14:textId="39AE4F7F" w:rsidR="001C659E" w:rsidRPr="00AA5ED8" w:rsidRDefault="001C659E" w:rsidP="001C659E">
      <w:pPr>
        <w:rPr>
          <w:rFonts w:ascii="Segoe UI Semibold" w:hAnsi="Segoe UI Semibold" w:cs="Segoe UI Semibold"/>
          <w:sz w:val="36"/>
          <w:szCs w:val="36"/>
          <w:highlight w:val="yellow"/>
        </w:rPr>
      </w:pPr>
      <w:commentRangeStart w:id="23"/>
      <w:r w:rsidRPr="1CEF8FBA">
        <w:rPr>
          <w:rFonts w:ascii="Segoe UI Semibold" w:hAnsi="Segoe UI Semibold" w:cs="Segoe UI Semibold"/>
          <w:sz w:val="36"/>
          <w:szCs w:val="36"/>
          <w:highlight w:val="yellow"/>
        </w:rPr>
        <w:t>Planning your user access strategy for Foundry</w:t>
      </w:r>
    </w:p>
    <w:p w14:paraId="64407125" w14:textId="7F93805E" w:rsidR="002B32EB" w:rsidRPr="00AA5ED8" w:rsidRDefault="002B32EB" w:rsidP="001C659E">
      <w:pPr>
        <w:rPr>
          <w:highlight w:val="yellow"/>
        </w:rPr>
      </w:pPr>
      <w:r w:rsidRPr="1CEF8FBA">
        <w:rPr>
          <w:highlight w:val="yellow"/>
        </w:rPr>
        <w:t>&lt;To be completed&gt;</w:t>
      </w:r>
      <w:commentRangeEnd w:id="23"/>
      <w:r w:rsidRPr="00AA5ED8">
        <w:rPr>
          <w:rStyle w:val="CommentReference"/>
          <w:sz w:val="24"/>
          <w:szCs w:val="24"/>
          <w:highlight w:val="yellow"/>
        </w:rPr>
        <w:commentReference w:id="23"/>
      </w:r>
    </w:p>
    <w:p w14:paraId="1DD49B8E" w14:textId="0B01DB65" w:rsidR="001C659E" w:rsidRPr="00AA5ED8" w:rsidRDefault="00477B55" w:rsidP="001C659E">
      <w:pPr>
        <w:rPr>
          <w:rFonts w:ascii="Segoe UI Semibold" w:hAnsi="Segoe UI Semibold" w:cs="Segoe UI Semibold"/>
          <w:sz w:val="36"/>
          <w:szCs w:val="36"/>
          <w:highlight w:val="yellow"/>
        </w:rPr>
      </w:pPr>
      <w:commentRangeStart w:id="24"/>
      <w:r w:rsidRPr="1CEF8FBA">
        <w:rPr>
          <w:rFonts w:ascii="Segoe UI Semibold" w:hAnsi="Segoe UI Semibold" w:cs="Segoe UI Semibold"/>
          <w:sz w:val="36"/>
          <w:szCs w:val="36"/>
          <w:highlight w:val="yellow"/>
        </w:rPr>
        <w:t>Adopting a cost management strategy in Foundry</w:t>
      </w:r>
    </w:p>
    <w:p w14:paraId="0B42587A" w14:textId="1653A4E2" w:rsidR="002B32EB" w:rsidRDefault="002B32EB" w:rsidP="1CEF8FBA">
      <w:pPr>
        <w:rPr>
          <w:highlight w:val="yellow"/>
        </w:rPr>
      </w:pPr>
      <w:r w:rsidRPr="1CEF8FBA">
        <w:rPr>
          <w:highlight w:val="yellow"/>
        </w:rPr>
        <w:t>&lt;To be completed&gt;</w:t>
      </w:r>
      <w:commentRangeEnd w:id="24"/>
      <w:r>
        <w:rPr>
          <w:rStyle w:val="CommentReference"/>
          <w:sz w:val="24"/>
          <w:szCs w:val="24"/>
          <w:highlight w:val="yellow"/>
        </w:rPr>
        <w:commentReference w:id="24"/>
      </w:r>
    </w:p>
    <w:p w14:paraId="7C5EB824" w14:textId="38F7FFC6" w:rsidR="00477B55" w:rsidRPr="00745AD7" w:rsidRDefault="00477B55" w:rsidP="001C659E">
      <w:pPr>
        <w:rPr>
          <w:rFonts w:ascii="Segoe UI Semibold" w:hAnsi="Segoe UI Semibold" w:cs="Segoe UI Semibold"/>
          <w:sz w:val="36"/>
          <w:szCs w:val="36"/>
        </w:rPr>
      </w:pPr>
      <w:r w:rsidRPr="00745AD7">
        <w:rPr>
          <w:rFonts w:ascii="Segoe UI Semibold" w:hAnsi="Segoe UI Semibold" w:cs="Segoe UI Semibold"/>
          <w:sz w:val="36"/>
          <w:szCs w:val="36"/>
        </w:rPr>
        <w:t>Governance &amp; monitoring strategy in Foundry</w:t>
      </w:r>
    </w:p>
    <w:p w14:paraId="627DA7F2" w14:textId="77777777" w:rsidR="00B953AA" w:rsidRDefault="00A67CE8" w:rsidP="001C659E">
      <w:r>
        <w:t>While the scope of this guide is limited to development workloads (and not production), we recognize the need for platform governance and monitoring strategies in development environments</w:t>
      </w:r>
      <w:r w:rsidR="00B953AA">
        <w:t>. Platform administrators may want to:</w:t>
      </w:r>
    </w:p>
    <w:p w14:paraId="0F00BCC1" w14:textId="77777777" w:rsidR="00B953AA" w:rsidRDefault="00B953AA" w:rsidP="00B953AA">
      <w:pPr>
        <w:pStyle w:val="ListParagraph"/>
        <w:numPr>
          <w:ilvl w:val="0"/>
          <w:numId w:val="12"/>
        </w:numPr>
      </w:pPr>
      <w:r>
        <w:t xml:space="preserve">Govern API endpoints for models or agents in development, </w:t>
      </w:r>
    </w:p>
    <w:p w14:paraId="06224F83" w14:textId="3DF0E961" w:rsidR="00A67CE8" w:rsidRDefault="00B953AA" w:rsidP="00B953AA">
      <w:pPr>
        <w:pStyle w:val="ListParagraph"/>
        <w:numPr>
          <w:ilvl w:val="0"/>
          <w:numId w:val="12"/>
        </w:numPr>
      </w:pPr>
      <w:r>
        <w:t xml:space="preserve">Control access to certain models available in the Foundry catalog, </w:t>
      </w:r>
    </w:p>
    <w:p w14:paraId="544E2A5F" w14:textId="258EE8EF" w:rsidR="00987557" w:rsidRDefault="00987557" w:rsidP="00B953AA">
      <w:pPr>
        <w:pStyle w:val="ListParagraph"/>
        <w:numPr>
          <w:ilvl w:val="0"/>
          <w:numId w:val="12"/>
        </w:numPr>
      </w:pPr>
      <w:r>
        <w:t>Monitor usage or operations of agents deployed for testing in dev / test / UAT environments</w:t>
      </w:r>
      <w:r w:rsidR="009C337D">
        <w:t>,</w:t>
      </w:r>
    </w:p>
    <w:p w14:paraId="029B1617" w14:textId="5DE20F20" w:rsidR="009C337D" w:rsidRDefault="009C337D" w:rsidP="009C337D">
      <w:pPr>
        <w:pStyle w:val="ListParagraph"/>
        <w:numPr>
          <w:ilvl w:val="0"/>
          <w:numId w:val="12"/>
        </w:numPr>
      </w:pPr>
      <w:r>
        <w:t>Verify that logging configurations satisfy organizational requirements.</w:t>
      </w:r>
    </w:p>
    <w:p w14:paraId="6DF5C3F8" w14:textId="0142D4DF" w:rsidR="009C337D" w:rsidRDefault="009C337D" w:rsidP="009C337D">
      <w:r>
        <w:t xml:space="preserve">The list above may not be exhaustive but is a well-rounded set of asks that we commonly see customers looking for guidance around. We’ve gathered </w:t>
      </w:r>
      <w:r w:rsidR="00E0358B">
        <w:t>information around these four areas, which you can find below.</w:t>
      </w:r>
    </w:p>
    <w:p w14:paraId="5BF60381" w14:textId="248E676C" w:rsidR="00477B55" w:rsidRPr="00DF4013" w:rsidRDefault="00380E6D" w:rsidP="001C659E">
      <w:pPr>
        <w:rPr>
          <w:rFonts w:ascii="Segoe UI Semibold" w:hAnsi="Segoe UI Semibold" w:cs="Segoe UI Semibold"/>
          <w:sz w:val="28"/>
          <w:szCs w:val="28"/>
          <w:highlight w:val="yellow"/>
          <w:lang w:val="it-IT"/>
          <w:rPrChange w:id="25" w:author="Ha Duong" w:date="2026-05-05T17:08:00Z" w16du:dateUtc="2026-05-05T16:08:00Z">
            <w:rPr>
              <w:rFonts w:ascii="Segoe UI Semibold" w:hAnsi="Segoe UI Semibold" w:cs="Segoe UI Semibold"/>
              <w:sz w:val="28"/>
              <w:szCs w:val="28"/>
              <w:highlight w:val="yellow"/>
            </w:rPr>
          </w:rPrChange>
        </w:rPr>
      </w:pPr>
      <w:commentRangeStart w:id="26"/>
      <w:r w:rsidRPr="1CEF8FBA">
        <w:rPr>
          <w:rFonts w:ascii="Segoe UI Semibold" w:hAnsi="Segoe UI Semibold" w:cs="Segoe UI Semibold"/>
          <w:sz w:val="28"/>
          <w:szCs w:val="28"/>
          <w:highlight w:val="yellow"/>
          <w:lang w:val="it-IT"/>
          <w:rPrChange w:id="27" w:author="Ha Duong" w:date="2026-05-05T17:08:00Z" w16du:dateUtc="2026-05-05T16:08:00Z">
            <w:rPr>
              <w:rFonts w:ascii="Segoe UI Semibold" w:hAnsi="Segoe UI Semibold" w:cs="Segoe UI Semibold"/>
              <w:sz w:val="28"/>
              <w:szCs w:val="28"/>
              <w:highlight w:val="yellow"/>
            </w:rPr>
          </w:rPrChange>
        </w:rPr>
        <w:t>Model &amp; Agentic API Governance via an AI Gateway</w:t>
      </w:r>
    </w:p>
    <w:p w14:paraId="51627D54" w14:textId="30D2EE65" w:rsidR="00E0358B" w:rsidRDefault="00806BD6" w:rsidP="1CEF8FBA">
      <w:pPr>
        <w:rPr>
          <w:highlight w:val="yellow"/>
        </w:rPr>
      </w:pPr>
      <w:r w:rsidRPr="1CEF8FBA">
        <w:rPr>
          <w:highlight w:val="yellow"/>
        </w:rPr>
        <w:t>&lt;To be completed&gt;</w:t>
      </w:r>
      <w:commentRangeEnd w:id="26"/>
      <w:r>
        <w:rPr>
          <w:rStyle w:val="CommentReference"/>
          <w:sz w:val="24"/>
          <w:szCs w:val="24"/>
          <w:highlight w:val="yellow"/>
        </w:rPr>
        <w:commentReference w:id="26"/>
      </w:r>
    </w:p>
    <w:p w14:paraId="37C9C667" w14:textId="7BED1599" w:rsidR="00380E6D" w:rsidRPr="0020277F" w:rsidRDefault="00380E6D" w:rsidP="001C659E">
      <w:pPr>
        <w:rPr>
          <w:rFonts w:ascii="Segoe UI Semibold" w:hAnsi="Segoe UI Semibold" w:cs="Segoe UI Semibold"/>
          <w:sz w:val="28"/>
          <w:szCs w:val="28"/>
        </w:rPr>
      </w:pPr>
      <w:commentRangeStart w:id="28"/>
      <w:r w:rsidRPr="683E46C0">
        <w:rPr>
          <w:rFonts w:ascii="Segoe UI Semibold" w:hAnsi="Segoe UI Semibold" w:cs="Segoe UI Semibold"/>
          <w:sz w:val="28"/>
          <w:szCs w:val="28"/>
        </w:rPr>
        <w:t>Control model access with Azure Policy</w:t>
      </w:r>
      <w:commentRangeEnd w:id="28"/>
      <w:r w:rsidRPr="0020277F">
        <w:rPr>
          <w:rStyle w:val="CommentReference"/>
          <w:rFonts w:ascii="Segoe UI Semibold" w:hAnsi="Segoe UI Semibold" w:cs="Segoe UI Semibold"/>
          <w:sz w:val="28"/>
          <w:szCs w:val="28"/>
        </w:rPr>
        <w:commentReference w:id="28"/>
      </w:r>
    </w:p>
    <w:p w14:paraId="183C5941" w14:textId="714CCE51" w:rsidR="00E0358B" w:rsidRDefault="0049659C" w:rsidP="001C659E">
      <w:r>
        <w:t xml:space="preserve">Certain organizations in more restricted industries may seek to govern or restrict the deployment of specific models in the Microsoft Foundry model catalog. Microsoft provides built-in Azure policies </w:t>
      </w:r>
      <w:r w:rsidR="0020277F">
        <w:t xml:space="preserve">for governing both </w:t>
      </w:r>
      <w:hyperlink r:id="rId34" w:history="1">
        <w:r w:rsidR="0020277F" w:rsidRPr="00A408B5">
          <w:rPr>
            <w:rStyle w:val="Hyperlink"/>
          </w:rPr>
          <w:t>model deployments</w:t>
        </w:r>
      </w:hyperlink>
      <w:r w:rsidR="0020277F">
        <w:t xml:space="preserve"> as well as </w:t>
      </w:r>
      <w:hyperlink r:id="rId35" w:history="1">
        <w:r w:rsidR="0020277F" w:rsidRPr="00126BF3">
          <w:rPr>
            <w:rStyle w:val="Hyperlink"/>
          </w:rPr>
          <w:t>Foundry tools</w:t>
        </w:r>
      </w:hyperlink>
      <w:r w:rsidR="0020277F">
        <w:t xml:space="preserve"> to give customers control over which models and tools developers can use. </w:t>
      </w:r>
    </w:p>
    <w:tbl>
      <w:tblPr>
        <w:tblStyle w:val="TableGrid"/>
        <w:tblW w:w="0" w:type="auto"/>
        <w:tblLook w:val="04A0" w:firstRow="1" w:lastRow="0" w:firstColumn="1" w:lastColumn="0" w:noHBand="0" w:noVBand="1"/>
      </w:tblPr>
      <w:tblGrid>
        <w:gridCol w:w="9350"/>
      </w:tblGrid>
      <w:tr w:rsidR="00A408B5" w14:paraId="79F627D9" w14:textId="77777777" w:rsidTr="00F615F3">
        <w:tc>
          <w:tcPr>
            <w:tcW w:w="9350" w:type="dxa"/>
            <w:shd w:val="clear" w:color="auto" w:fill="F2CEED" w:themeFill="accent5" w:themeFillTint="33"/>
          </w:tcPr>
          <w:p w14:paraId="59C4F21A" w14:textId="77777777" w:rsidR="00A408B5" w:rsidRDefault="00A408B5" w:rsidP="00F615F3">
            <w:pPr>
              <w:rPr>
                <w:b/>
                <w:bCs/>
                <w:color w:val="501549" w:themeColor="accent5" w:themeShade="80"/>
              </w:rPr>
            </w:pPr>
          </w:p>
          <w:p w14:paraId="7388B8A4" w14:textId="09B6C0BE" w:rsidR="00A408B5" w:rsidRDefault="00A408B5" w:rsidP="00F615F3">
            <w:pPr>
              <w:rPr>
                <w:color w:val="501549" w:themeColor="accent5" w:themeShade="80"/>
              </w:rPr>
            </w:pPr>
            <w:r w:rsidRPr="00227EC6">
              <w:rPr>
                <w:b/>
                <w:bCs/>
                <w:color w:val="501549" w:themeColor="accent5" w:themeShade="80"/>
              </w:rPr>
              <w:t>NOTE:</w:t>
            </w:r>
            <w:r w:rsidRPr="00227EC6">
              <w:rPr>
                <w:color w:val="501549" w:themeColor="accent5" w:themeShade="80"/>
              </w:rPr>
              <w:t xml:space="preserve"> </w:t>
            </w:r>
            <w:r>
              <w:rPr>
                <w:color w:val="501549" w:themeColor="accent5" w:themeShade="80"/>
              </w:rPr>
              <w:t xml:space="preserve">These Azure Policies </w:t>
            </w:r>
            <w:r w:rsidRPr="00A408B5">
              <w:rPr>
                <w:i/>
                <w:iCs/>
                <w:color w:val="501549" w:themeColor="accent5" w:themeShade="80"/>
              </w:rPr>
              <w:t>do not</w:t>
            </w:r>
            <w:r>
              <w:rPr>
                <w:color w:val="501549" w:themeColor="accent5" w:themeShade="80"/>
              </w:rPr>
              <w:t xml:space="preserve"> make any UI changes inside of the Microsoft Foundry portal; users will still be able to see model and tool cards in the catalog but will not be able to deploy them. Be sure to communicate to your users that you’ve put policies in place that restrict usage of certain models or tools! </w:t>
            </w:r>
            <w:r w:rsidRPr="00227EC6">
              <w:rPr>
                <w:color w:val="501549" w:themeColor="accent5" w:themeShade="80"/>
              </w:rPr>
              <w:tab/>
            </w:r>
          </w:p>
          <w:p w14:paraId="5F206CAE" w14:textId="77777777" w:rsidR="00A408B5" w:rsidRDefault="00A408B5" w:rsidP="00F615F3">
            <w:pPr>
              <w:rPr>
                <w:color w:val="EE0000"/>
              </w:rPr>
            </w:pPr>
          </w:p>
        </w:tc>
      </w:tr>
    </w:tbl>
    <w:p w14:paraId="07024816" w14:textId="77777777" w:rsidR="00A408B5" w:rsidRDefault="00A408B5" w:rsidP="001C659E"/>
    <w:p w14:paraId="37278E3A" w14:textId="6ABEC13F" w:rsidR="00745AD7" w:rsidRPr="00604DD8" w:rsidRDefault="00745AD7" w:rsidP="001C659E">
      <w:pPr>
        <w:rPr>
          <w:rFonts w:ascii="Segoe UI Semibold" w:hAnsi="Segoe UI Semibold" w:cs="Segoe UI Semibold"/>
          <w:sz w:val="28"/>
          <w:szCs w:val="28"/>
        </w:rPr>
      </w:pPr>
      <w:r w:rsidRPr="00604DD8">
        <w:rPr>
          <w:rFonts w:ascii="Segoe UI Semibold" w:hAnsi="Segoe UI Semibold" w:cs="Segoe UI Semibold"/>
          <w:sz w:val="28"/>
          <w:szCs w:val="28"/>
        </w:rPr>
        <w:t>Monitoring your deployed agents with Foundry’s observability suite</w:t>
      </w:r>
    </w:p>
    <w:p w14:paraId="22A45FBD" w14:textId="086F4333" w:rsidR="00744EE5" w:rsidRDefault="007F13BB" w:rsidP="001C659E">
      <w:r>
        <w:t>A</w:t>
      </w:r>
      <w:r w:rsidR="00693742">
        <w:t xml:space="preserve"> large</w:t>
      </w:r>
      <w:r>
        <w:t xml:space="preserve"> part of the agent</w:t>
      </w:r>
      <w:r w:rsidR="00693742">
        <w:t xml:space="preserve"> development cycle focuses on developing agent observability. </w:t>
      </w:r>
      <w:r w:rsidR="00B70617">
        <w:t xml:space="preserve">Observability refers to the ability to monitor, understand, and troubleshoot AI agents throughout their lifecycle. </w:t>
      </w:r>
      <w:commentRangeStart w:id="29"/>
      <w:commentRangeStart w:id="30"/>
      <w:r w:rsidR="00B70617">
        <w:t xml:space="preserve">There are </w:t>
      </w:r>
      <w:r w:rsidR="00ED0455">
        <w:t>three</w:t>
      </w:r>
      <w:r w:rsidR="00B70617">
        <w:t xml:space="preserve"> core capabilities that </w:t>
      </w:r>
      <w:r w:rsidR="00604DD8">
        <w:t xml:space="preserve">make up the </w:t>
      </w:r>
      <w:r w:rsidR="00B70617">
        <w:t xml:space="preserve">Foundry </w:t>
      </w:r>
      <w:r w:rsidR="00604DD8">
        <w:t>observability suite</w:t>
      </w:r>
      <w:r w:rsidR="00B70617">
        <w:t>:</w:t>
      </w:r>
      <w:commentRangeEnd w:id="30"/>
      <w:r>
        <w:rPr>
          <w:rStyle w:val="CommentReference"/>
          <w:sz w:val="24"/>
          <w:szCs w:val="24"/>
        </w:rPr>
        <w:commentReference w:id="30"/>
      </w:r>
      <w:commentRangeEnd w:id="29"/>
      <w:r>
        <w:rPr>
          <w:rStyle w:val="CommentReference"/>
          <w:sz w:val="24"/>
          <w:szCs w:val="24"/>
        </w:rPr>
        <w:commentReference w:id="29"/>
      </w:r>
    </w:p>
    <w:p w14:paraId="516A823B" w14:textId="45EE85CF" w:rsidR="00B70617" w:rsidRDefault="00B70617" w:rsidP="00B70617">
      <w:pPr>
        <w:pStyle w:val="ListParagraph"/>
        <w:numPr>
          <w:ilvl w:val="1"/>
          <w:numId w:val="2"/>
        </w:numPr>
      </w:pPr>
      <w:r w:rsidRPr="00A96068">
        <w:rPr>
          <w:b/>
          <w:bCs/>
        </w:rPr>
        <w:t>Evaluations</w:t>
      </w:r>
      <w:r w:rsidR="00A16AA8" w:rsidRPr="00A96068">
        <w:rPr>
          <w:b/>
          <w:bCs/>
        </w:rPr>
        <w:t>:</w:t>
      </w:r>
      <w:r w:rsidR="009F456E">
        <w:t xml:space="preserve"> </w:t>
      </w:r>
      <w:hyperlink r:id="rId36" w:history="1">
        <w:r w:rsidR="009F456E" w:rsidRPr="00CA42B9">
          <w:rPr>
            <w:rStyle w:val="Hyperlink"/>
          </w:rPr>
          <w:t>Evaluators</w:t>
        </w:r>
      </w:hyperlink>
      <w:r w:rsidR="009F456E">
        <w:t xml:space="preserve"> measure the quality, safety, and reliability of agentic responses throughout development</w:t>
      </w:r>
      <w:r w:rsidR="008A0FE3">
        <w:t xml:space="preserve"> and into production. </w:t>
      </w:r>
      <w:r w:rsidR="00A96068">
        <w:t xml:space="preserve">Different agents may use different evaluators depending on their specific purpose; however, some organizations may require a set of baseline evaluators across all agents – be sure to check with your AI platform or security administrator. </w:t>
      </w:r>
    </w:p>
    <w:p w14:paraId="289FF537" w14:textId="46A0FB43" w:rsidR="00490DDA" w:rsidRDefault="00B70617" w:rsidP="00ED0455">
      <w:pPr>
        <w:pStyle w:val="ListParagraph"/>
        <w:numPr>
          <w:ilvl w:val="1"/>
          <w:numId w:val="2"/>
        </w:numPr>
      </w:pPr>
      <w:r w:rsidRPr="00EB5876">
        <w:rPr>
          <w:b/>
          <w:bCs/>
        </w:rPr>
        <w:t>Monitoring</w:t>
      </w:r>
      <w:r w:rsidR="00A16AA8" w:rsidRPr="00EB5876">
        <w:rPr>
          <w:b/>
          <w:bCs/>
        </w:rPr>
        <w:t>:</w:t>
      </w:r>
      <w:r w:rsidR="00CA42B9">
        <w:t xml:space="preserve"> Microsoft Foundry provides </w:t>
      </w:r>
      <w:hyperlink r:id="rId37" w:history="1">
        <w:r w:rsidR="00CA42B9" w:rsidRPr="00EB5876">
          <w:rPr>
            <w:rStyle w:val="Hyperlink"/>
          </w:rPr>
          <w:t>real-time dashboards</w:t>
        </w:r>
      </w:hyperlink>
      <w:r w:rsidR="00CA42B9">
        <w:t xml:space="preserve"> for tracking operational metrics, token consumption, latency, error rates, and quality scores. You can set up alerts when outputs fail quality thresholds or produce harmful content.</w:t>
      </w:r>
      <w:r w:rsidR="00B40F78">
        <w:t xml:space="preserve"> We also provide a </w:t>
      </w:r>
      <w:hyperlink r:id="rId38" w:history="1">
        <w:r w:rsidR="00B40F78" w:rsidRPr="00B40F78">
          <w:rPr>
            <w:rStyle w:val="Hyperlink"/>
          </w:rPr>
          <w:t>fleet monitoring guide</w:t>
        </w:r>
      </w:hyperlink>
      <w:r w:rsidR="00B40F78">
        <w:t xml:space="preserve"> for platform administrators who are looking to monitor agents across many Foundry resources</w:t>
      </w:r>
      <w:r w:rsidR="000E5B5C">
        <w:t xml:space="preserve">, as well as a guide for </w:t>
      </w:r>
      <w:hyperlink r:id="rId39" w:history="1">
        <w:r w:rsidR="00B124F1" w:rsidRPr="00B124F1">
          <w:rPr>
            <w:rStyle w:val="Hyperlink"/>
          </w:rPr>
          <w:t>performing lifecycle operations at scale</w:t>
        </w:r>
      </w:hyperlink>
      <w:r w:rsidR="00B40F78">
        <w:t>.</w:t>
      </w:r>
    </w:p>
    <w:p w14:paraId="009A7500" w14:textId="416F9144" w:rsidR="00B70617" w:rsidRDefault="00B70617" w:rsidP="00B70617">
      <w:pPr>
        <w:pStyle w:val="ListParagraph"/>
        <w:numPr>
          <w:ilvl w:val="1"/>
          <w:numId w:val="2"/>
        </w:numPr>
      </w:pPr>
      <w:r w:rsidRPr="00B74232">
        <w:rPr>
          <w:b/>
          <w:bCs/>
        </w:rPr>
        <w:t>Tracing</w:t>
      </w:r>
      <w:r w:rsidR="00A16AA8" w:rsidRPr="00B74232">
        <w:rPr>
          <w:b/>
          <w:bCs/>
        </w:rPr>
        <w:t>:</w:t>
      </w:r>
      <w:r w:rsidR="00A16AA8">
        <w:t xml:space="preserve"> </w:t>
      </w:r>
      <w:hyperlink r:id="rId40" w:history="1">
        <w:r w:rsidR="00926C90" w:rsidRPr="00B74232">
          <w:rPr>
            <w:rStyle w:val="Hyperlink"/>
          </w:rPr>
          <w:t>Tracing</w:t>
        </w:r>
      </w:hyperlink>
      <w:r w:rsidR="00926C90">
        <w:t xml:space="preserve"> offers insight into the execution flow of agentic systems, particularly into API calls, tool invocations, agentic decisions, and inter-service dependencies.</w:t>
      </w:r>
      <w:r w:rsidR="007E7E47">
        <w:t xml:space="preserve"> It’s a key piece of</w:t>
      </w:r>
      <w:r w:rsidR="00B74232">
        <w:t xml:space="preserve"> </w:t>
      </w:r>
      <w:r w:rsidR="007E7E47">
        <w:t>troubleshooting or debugging your developers may need to do as they refine their agentic system.</w:t>
      </w:r>
    </w:p>
    <w:p w14:paraId="7876350A" w14:textId="7B7A1CAE" w:rsidR="005D5986" w:rsidRDefault="005D5986" w:rsidP="00B70617">
      <w:pPr>
        <w:pStyle w:val="ListParagraph"/>
        <w:numPr>
          <w:ilvl w:val="1"/>
          <w:numId w:val="2"/>
        </w:numPr>
      </w:pPr>
      <w:r>
        <w:rPr>
          <w:b/>
          <w:bCs/>
        </w:rPr>
        <w:t xml:space="preserve">Guardrails: </w:t>
      </w:r>
    </w:p>
    <w:p w14:paraId="12C35E3C" w14:textId="504CE73F" w:rsidR="00A33CB9" w:rsidRDefault="00A33CB9" w:rsidP="00A33CB9">
      <w:r>
        <w:t xml:space="preserve">Alongside enablement of these features across all agent development efforts, it is important for developer teams to understand and implement red teaming as a pre-requisite to shipping any agentic system live into production. </w:t>
      </w:r>
      <w:r w:rsidR="00290564">
        <w:t xml:space="preserve">AI Red Teaming focuses on simulations or testing by both human users and </w:t>
      </w:r>
      <w:r w:rsidR="00A32E98">
        <w:t xml:space="preserve">AI </w:t>
      </w:r>
      <w:r w:rsidR="00290564">
        <w:t xml:space="preserve">Red Teaming agents to uncover security vulnerabilities </w:t>
      </w:r>
      <w:r w:rsidR="005701FC">
        <w:t xml:space="preserve">or probe for novel risks </w:t>
      </w:r>
      <w:r w:rsidR="00290564">
        <w:t>in an agentic system.</w:t>
      </w:r>
    </w:p>
    <w:tbl>
      <w:tblPr>
        <w:tblStyle w:val="TableGrid"/>
        <w:tblW w:w="0" w:type="auto"/>
        <w:tblLook w:val="04A0" w:firstRow="1" w:lastRow="0" w:firstColumn="1" w:lastColumn="0" w:noHBand="0" w:noVBand="1"/>
      </w:tblPr>
      <w:tblGrid>
        <w:gridCol w:w="9350"/>
      </w:tblGrid>
      <w:tr w:rsidR="000324FC" w14:paraId="31632470" w14:textId="77777777" w:rsidTr="00F615F3">
        <w:tc>
          <w:tcPr>
            <w:tcW w:w="9350" w:type="dxa"/>
            <w:shd w:val="clear" w:color="auto" w:fill="C1F0C7" w:themeFill="accent3" w:themeFillTint="33"/>
          </w:tcPr>
          <w:p w14:paraId="19CFCA99" w14:textId="77777777" w:rsidR="000324FC" w:rsidRDefault="000324FC" w:rsidP="00F615F3">
            <w:pPr>
              <w:rPr>
                <w:b/>
                <w:bCs/>
                <w:color w:val="0C3512" w:themeColor="accent3" w:themeShade="80"/>
              </w:rPr>
            </w:pPr>
          </w:p>
          <w:p w14:paraId="168EBB9A" w14:textId="435C1C6D" w:rsidR="00A32E98" w:rsidRDefault="000324FC" w:rsidP="000324FC">
            <w:pPr>
              <w:rPr>
                <w:color w:val="0C3512" w:themeColor="accent3" w:themeShade="80"/>
              </w:rPr>
            </w:pPr>
            <w:r w:rsidRPr="00227EC6">
              <w:rPr>
                <w:b/>
                <w:bCs/>
                <w:color w:val="0C3512" w:themeColor="accent3" w:themeShade="80"/>
              </w:rPr>
              <w:t>TIP:</w:t>
            </w:r>
            <w:r w:rsidRPr="00227EC6">
              <w:rPr>
                <w:color w:val="0C3512" w:themeColor="accent3" w:themeShade="80"/>
              </w:rPr>
              <w:t xml:space="preserve"> </w:t>
            </w:r>
            <w:r>
              <w:rPr>
                <w:color w:val="0C3512" w:themeColor="accent3" w:themeShade="80"/>
              </w:rPr>
              <w:t xml:space="preserve">Microsoft has released a guide for developer teams to familiarize themselves not only with red teaming as a concept, but also how to implement red teaming using Microsoft Foundry’s </w:t>
            </w:r>
            <w:hyperlink r:id="rId41" w:history="1">
              <w:r w:rsidRPr="00A32E98">
                <w:rPr>
                  <w:rStyle w:val="Hyperlink"/>
                </w:rPr>
                <w:t>AI Red Teaming agent</w:t>
              </w:r>
            </w:hyperlink>
            <w:r>
              <w:rPr>
                <w:color w:val="0C3512" w:themeColor="accent3" w:themeShade="80"/>
              </w:rPr>
              <w:t xml:space="preserve">. </w:t>
            </w:r>
          </w:p>
          <w:p w14:paraId="1A00F27B" w14:textId="77777777" w:rsidR="000324FC" w:rsidRDefault="000324FC" w:rsidP="00F615F3"/>
        </w:tc>
      </w:tr>
    </w:tbl>
    <w:p w14:paraId="5E222217" w14:textId="77777777" w:rsidR="005701FC" w:rsidRDefault="005701FC" w:rsidP="001C659E">
      <w:pPr>
        <w:rPr>
          <w:rFonts w:ascii="Segoe UI Semibold" w:hAnsi="Segoe UI Semibold" w:cs="Segoe UI Semibold"/>
          <w:sz w:val="28"/>
          <w:szCs w:val="28"/>
        </w:rPr>
      </w:pPr>
    </w:p>
    <w:p w14:paraId="6A14BBF7" w14:textId="19B310B6" w:rsidR="00745AD7" w:rsidRPr="0082541B" w:rsidRDefault="004F0DFB" w:rsidP="001C659E">
      <w:pPr>
        <w:rPr>
          <w:rFonts w:ascii="Segoe UI Semibold" w:hAnsi="Segoe UI Semibold" w:cs="Segoe UI Semibold"/>
          <w:sz w:val="28"/>
          <w:szCs w:val="28"/>
        </w:rPr>
      </w:pPr>
      <w:commentRangeStart w:id="31"/>
      <w:r w:rsidRPr="683E46C0">
        <w:rPr>
          <w:rFonts w:ascii="Segoe UI Semibold" w:hAnsi="Segoe UI Semibold" w:cs="Segoe UI Semibold"/>
          <w:sz w:val="28"/>
          <w:szCs w:val="28"/>
        </w:rPr>
        <w:t>AI Platform resource usage tracking</w:t>
      </w:r>
      <w:r w:rsidR="00900C92">
        <w:rPr>
          <w:rFonts w:ascii="Segoe UI Semibold" w:hAnsi="Segoe UI Semibold" w:cs="Segoe UI Semibold"/>
          <w:sz w:val="28"/>
          <w:szCs w:val="28"/>
        </w:rPr>
        <w:t>, audit</w:t>
      </w:r>
      <w:r w:rsidR="000F0D0E">
        <w:rPr>
          <w:rFonts w:ascii="Segoe UI Semibold" w:hAnsi="Segoe UI Semibold" w:cs="Segoe UI Semibold"/>
          <w:sz w:val="28"/>
          <w:szCs w:val="28"/>
        </w:rPr>
        <w:t xml:space="preserve"> logging</w:t>
      </w:r>
      <w:r w:rsidRPr="683E46C0">
        <w:rPr>
          <w:rFonts w:ascii="Segoe UI Semibold" w:hAnsi="Segoe UI Semibold" w:cs="Segoe UI Semibold"/>
          <w:sz w:val="28"/>
          <w:szCs w:val="28"/>
        </w:rPr>
        <w:t xml:space="preserve"> with Azure Monitor &amp; Log Analytics</w:t>
      </w:r>
      <w:commentRangeEnd w:id="31"/>
      <w:r w:rsidRPr="0082541B">
        <w:rPr>
          <w:rStyle w:val="CommentReference"/>
          <w:rFonts w:ascii="Segoe UI Semibold" w:hAnsi="Segoe UI Semibold" w:cs="Segoe UI Semibold"/>
          <w:sz w:val="28"/>
          <w:szCs w:val="28"/>
        </w:rPr>
        <w:commentReference w:id="31"/>
      </w:r>
    </w:p>
    <w:p w14:paraId="7D445204" w14:textId="3D6C47FF" w:rsidR="00403DC9" w:rsidRDefault="00C7622D" w:rsidP="00403DC9">
      <w:r>
        <w:t xml:space="preserve">Administrators </w:t>
      </w:r>
      <w:r w:rsidR="00EF6F26">
        <w:t>want</w:t>
      </w:r>
      <w:r>
        <w:t xml:space="preserve"> visibility into the health and usage of Microsoft Foundry and other platform-level resources. </w:t>
      </w:r>
      <w:r w:rsidR="00EF6F26">
        <w:t xml:space="preserve">You’ll want to </w:t>
      </w:r>
      <w:hyperlink r:id="rId42" w:history="1">
        <w:r w:rsidR="00EF6F26" w:rsidRPr="0082541B">
          <w:rPr>
            <w:rStyle w:val="Hyperlink"/>
          </w:rPr>
          <w:t>configure Azure Monitor</w:t>
        </w:r>
      </w:hyperlink>
      <w:r w:rsidR="00EF6F26">
        <w:t xml:space="preserve"> as the common monitoring data platform to monitor Azure resources like Microsoft Foundry, </w:t>
      </w:r>
      <w:r w:rsidR="00412B6B">
        <w:t xml:space="preserve">log data from Microsoft Entra ID, </w:t>
      </w:r>
      <w:r w:rsidR="00BA6C2D">
        <w:t xml:space="preserve">and </w:t>
      </w:r>
      <w:r w:rsidR="00412B6B">
        <w:t>application data</w:t>
      </w:r>
      <w:r w:rsidR="00BA6C2D">
        <w:t xml:space="preserve"> – while routing </w:t>
      </w:r>
      <w:hyperlink r:id="rId43" w:history="1">
        <w:r w:rsidR="00BA6C2D" w:rsidRPr="0082541B">
          <w:rPr>
            <w:rStyle w:val="Hyperlink"/>
          </w:rPr>
          <w:t>diagnostic logs</w:t>
        </w:r>
      </w:hyperlink>
      <w:r w:rsidR="00BA6C2D">
        <w:t xml:space="preserve"> to be </w:t>
      </w:r>
      <w:r w:rsidR="00F767C0">
        <w:t xml:space="preserve">queried or </w:t>
      </w:r>
      <w:r w:rsidR="00BA6C2D">
        <w:t xml:space="preserve">consumed in Azure Log Analytics. </w:t>
      </w:r>
    </w:p>
    <w:p w14:paraId="05682066" w14:textId="4A88E569" w:rsidR="00E42708" w:rsidRDefault="000F0D0E" w:rsidP="00BF079B">
      <w:r>
        <w:t>To support security, compliance, and operational traceability, administrators should explicitly configure audit logging across Microsoft Foundry and dependent platform services.</w:t>
      </w:r>
      <w:r w:rsidR="00FD0C51">
        <w:t xml:space="preserve"> </w:t>
      </w:r>
      <w:r w:rsidR="0050533C">
        <w:t>Azure Monitor diagnostic logs form the backbone of this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490"/>
        <w:gridCol w:w="4428"/>
      </w:tblGrid>
      <w:tr w:rsidR="00D92E2A" w:rsidRPr="00D92E2A" w14:paraId="7E31DA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57F9FE" w14:textId="77777777" w:rsidR="00D92E2A" w:rsidRPr="00D92E2A" w:rsidRDefault="00D92E2A" w:rsidP="00D92E2A">
            <w:pPr>
              <w:rPr>
                <w:b/>
                <w:bCs/>
              </w:rPr>
            </w:pPr>
            <w:r w:rsidRPr="00D92E2A">
              <w:rPr>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E4B68" w14:textId="77777777" w:rsidR="00D92E2A" w:rsidRPr="00D92E2A" w:rsidRDefault="00D92E2A" w:rsidP="00D92E2A">
            <w:pPr>
              <w:rPr>
                <w:b/>
                <w:bCs/>
              </w:rPr>
            </w:pPr>
            <w:r w:rsidRPr="00D92E2A">
              <w:rPr>
                <w:b/>
                <w:bCs/>
              </w:rPr>
              <w:t>Default state (out of the box)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3FAF38" w14:textId="77777777" w:rsidR="00D92E2A" w:rsidRPr="00D92E2A" w:rsidRDefault="00D92E2A" w:rsidP="00D92E2A">
            <w:pPr>
              <w:rPr>
                <w:b/>
                <w:bCs/>
              </w:rPr>
            </w:pPr>
            <w:r w:rsidRPr="00D92E2A">
              <w:rPr>
                <w:b/>
                <w:bCs/>
              </w:rPr>
              <w:t>After explicit configuration</w:t>
            </w:r>
          </w:p>
        </w:tc>
      </w:tr>
      <w:tr w:rsidR="00D92E2A" w:rsidRPr="00D92E2A" w14:paraId="7517E3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9459D6" w14:textId="77777777" w:rsidR="00D92E2A" w:rsidRPr="00D92E2A" w:rsidRDefault="00D92E2A" w:rsidP="00D92E2A">
            <w:pPr>
              <w:rPr>
                <w:b/>
                <w:bCs/>
              </w:rPr>
            </w:pPr>
            <w:r w:rsidRPr="00D92E2A">
              <w:rPr>
                <w:b/>
                <w:bCs/>
              </w:rPr>
              <w:t>Platform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75E67" w14:textId="77777777" w:rsidR="00D92E2A" w:rsidRPr="00D92E2A" w:rsidRDefault="00D92E2A" w:rsidP="00D92E2A">
            <w:r w:rsidRPr="00D92E2A">
              <w:rPr>
                <w:rFonts w:ascii="Segoe UI Emoji" w:hAnsi="Segoe UI Emoji" w:cs="Segoe UI Emoji"/>
              </w:rPr>
              <w:t>✅</w:t>
            </w:r>
            <w:r w:rsidRPr="00D92E2A">
              <w:t xml:space="preserve"> Basic metrics available in Azure Monitor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D7254" w14:textId="77777777" w:rsidR="00D92E2A" w:rsidRPr="00D92E2A" w:rsidRDefault="00D92E2A" w:rsidP="00D92E2A">
            <w:r w:rsidRPr="00D92E2A">
              <w:t xml:space="preserve">Optionally route metrics to </w:t>
            </w:r>
            <w:hyperlink r:id="rId44" w:tgtFrame="_blank" w:history="1">
              <w:r w:rsidRPr="00D92E2A">
                <w:rPr>
                  <w:rStyle w:val="Hyperlink"/>
                  <w:b/>
                  <w:bCs/>
                </w:rPr>
                <w:t>Azure Monitor / Log Analytics</w:t>
              </w:r>
            </w:hyperlink>
            <w:r w:rsidRPr="00D92E2A">
              <w:t xml:space="preserve"> for correlation and alerting</w:t>
            </w:r>
          </w:p>
        </w:tc>
      </w:tr>
      <w:tr w:rsidR="00D92E2A" w:rsidRPr="00D92E2A" w14:paraId="5F7FDE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79974A" w14:textId="77777777" w:rsidR="00D92E2A" w:rsidRPr="00D92E2A" w:rsidRDefault="00D92E2A" w:rsidP="00D92E2A">
            <w:pPr>
              <w:rPr>
                <w:b/>
                <w:bCs/>
              </w:rPr>
            </w:pPr>
            <w:r w:rsidRPr="00D92E2A">
              <w:rPr>
                <w:b/>
                <w:bCs/>
              </w:rPr>
              <w:t>Control-plane activity (resource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DB026" w14:textId="77777777" w:rsidR="00D92E2A" w:rsidRPr="00D92E2A" w:rsidRDefault="00D92E2A" w:rsidP="00D92E2A">
            <w:r w:rsidRPr="00D92E2A">
              <w:rPr>
                <w:rFonts w:ascii="Segoe UI Emoji" w:hAnsi="Segoe UI Emoji" w:cs="Segoe UI Emoji"/>
              </w:rPr>
              <w:t>❌</w:t>
            </w:r>
            <w:r w:rsidRPr="00D92E2A">
              <w:t xml:space="preserve"> Not collected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B7978" w14:textId="77777777" w:rsidR="00D92E2A" w:rsidRPr="00D92E2A" w:rsidRDefault="00D92E2A" w:rsidP="00D92E2A">
            <w:r w:rsidRPr="00D92E2A">
              <w:rPr>
                <w:rFonts w:ascii="Segoe UI Emoji" w:hAnsi="Segoe UI Emoji" w:cs="Segoe UI Emoji"/>
              </w:rPr>
              <w:t>✅</w:t>
            </w:r>
            <w:r w:rsidRPr="00D92E2A">
              <w:t xml:space="preserve"> Enable </w:t>
            </w:r>
            <w:r w:rsidRPr="00D92E2A">
              <w:rPr>
                <w:b/>
                <w:bCs/>
              </w:rPr>
              <w:t>Diagnostic Settings → Audit logs</w:t>
            </w:r>
            <w:r w:rsidRPr="00D92E2A">
              <w:t xml:space="preserve"> via </w:t>
            </w:r>
            <w:hyperlink r:id="rId45" w:tgtFrame="_blank" w:history="1">
              <w:r w:rsidRPr="00D92E2A">
                <w:rPr>
                  <w:rStyle w:val="Hyperlink"/>
                  <w:b/>
                  <w:bCs/>
                </w:rPr>
                <w:t>Create diagnostic settings</w:t>
              </w:r>
            </w:hyperlink>
          </w:p>
        </w:tc>
      </w:tr>
      <w:tr w:rsidR="00D92E2A" w:rsidRPr="00D92E2A" w14:paraId="55E75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8273AC" w14:textId="77777777" w:rsidR="00D92E2A" w:rsidRPr="00D92E2A" w:rsidRDefault="00D92E2A" w:rsidP="00D92E2A">
            <w:pPr>
              <w:rPr>
                <w:b/>
                <w:bCs/>
              </w:rPr>
            </w:pPr>
            <w:r w:rsidRPr="00D92E2A">
              <w:rPr>
                <w:b/>
                <w:bCs/>
              </w:rPr>
              <w:t>Data-plane activity (API / agent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C57CF" w14:textId="77777777" w:rsidR="00D92E2A" w:rsidRPr="00D92E2A" w:rsidRDefault="00D92E2A" w:rsidP="00D92E2A">
            <w:r w:rsidRPr="00D92E2A">
              <w:rPr>
                <w:rFonts w:ascii="Segoe UI Emoji" w:hAnsi="Segoe UI Emoji" w:cs="Segoe UI Emoji"/>
              </w:rPr>
              <w:t>❌</w:t>
            </w:r>
            <w:r w:rsidRPr="00D92E2A">
              <w:t xml:space="preserve"> Not collected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1A798" w14:textId="77777777" w:rsidR="00D92E2A" w:rsidRPr="00D92E2A" w:rsidRDefault="00D92E2A" w:rsidP="00D92E2A">
            <w:r w:rsidRPr="00D92E2A">
              <w:rPr>
                <w:rFonts w:ascii="Segoe UI Emoji" w:hAnsi="Segoe UI Emoji" w:cs="Segoe UI Emoji"/>
              </w:rPr>
              <w:t>✅</w:t>
            </w:r>
            <w:r w:rsidRPr="00D92E2A">
              <w:t xml:space="preserve"> Enable </w:t>
            </w:r>
            <w:r w:rsidRPr="00D92E2A">
              <w:rPr>
                <w:b/>
                <w:bCs/>
              </w:rPr>
              <w:t>Request/Response logs</w:t>
            </w:r>
            <w:r w:rsidRPr="00D92E2A">
              <w:t xml:space="preserve"> using </w:t>
            </w:r>
            <w:hyperlink r:id="rId46" w:tgtFrame="_blank" w:history="1">
              <w:r w:rsidRPr="00D92E2A">
                <w:rPr>
                  <w:rStyle w:val="Hyperlink"/>
                  <w:b/>
                  <w:bCs/>
                </w:rPr>
                <w:t>Azure AI services diagnostic logging</w:t>
              </w:r>
            </w:hyperlink>
          </w:p>
        </w:tc>
      </w:tr>
      <w:tr w:rsidR="00D92E2A" w:rsidRPr="00D92E2A" w14:paraId="475156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AB1E32" w14:textId="77777777" w:rsidR="00D92E2A" w:rsidRPr="00D92E2A" w:rsidRDefault="00D92E2A" w:rsidP="00D92E2A">
            <w:pPr>
              <w:rPr>
                <w:b/>
                <w:bCs/>
              </w:rPr>
            </w:pPr>
            <w:r w:rsidRPr="00D92E2A">
              <w:rPr>
                <w:b/>
                <w:bCs/>
              </w:rPr>
              <w:t>Audit log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232D8" w14:textId="77777777" w:rsidR="00D92E2A" w:rsidRPr="00D92E2A" w:rsidRDefault="00D92E2A" w:rsidP="00D92E2A">
            <w:r w:rsidRPr="00D92E2A">
              <w:rPr>
                <w:rFonts w:ascii="Segoe UI Emoji" w:hAnsi="Segoe UI Emoji" w:cs="Segoe UI Emoji"/>
              </w:rPr>
              <w:t>❌</w:t>
            </w:r>
            <w:r w:rsidRPr="00D92E2A">
              <w:t xml:space="preserve"> No logs emitted (categories exist but inactive)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5314F" w14:textId="77777777" w:rsidR="00D92E2A" w:rsidRPr="00D92E2A" w:rsidRDefault="00D92E2A" w:rsidP="00D92E2A">
            <w:r w:rsidRPr="00D92E2A">
              <w:rPr>
                <w:rFonts w:ascii="Segoe UI Emoji" w:hAnsi="Segoe UI Emoji" w:cs="Segoe UI Emoji"/>
              </w:rPr>
              <w:t>✅</w:t>
            </w:r>
            <w:r w:rsidRPr="00D92E2A">
              <w:t xml:space="preserve"> Select </w:t>
            </w:r>
            <w:r w:rsidRPr="00D92E2A">
              <w:rPr>
                <w:b/>
                <w:bCs/>
              </w:rPr>
              <w:t>Audit / All log categories</w:t>
            </w:r>
            <w:r w:rsidRPr="00D92E2A">
              <w:t xml:space="preserve"> per </w:t>
            </w:r>
            <w:hyperlink r:id="rId47" w:tgtFrame="_blank" w:history="1">
              <w:r w:rsidRPr="00D92E2A">
                <w:rPr>
                  <w:rStyle w:val="Hyperlink"/>
                  <w:b/>
                  <w:bCs/>
                </w:rPr>
                <w:t>Diagnostic settings guidance</w:t>
              </w:r>
            </w:hyperlink>
          </w:p>
        </w:tc>
      </w:tr>
      <w:tr w:rsidR="00D92E2A" w:rsidRPr="00D92E2A" w14:paraId="340D0F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18B69" w14:textId="77777777" w:rsidR="00D92E2A" w:rsidRPr="00D92E2A" w:rsidRDefault="00D92E2A" w:rsidP="00D92E2A">
            <w:pPr>
              <w:rPr>
                <w:b/>
                <w:bCs/>
              </w:rPr>
            </w:pPr>
            <w:r w:rsidRPr="00D92E2A">
              <w:rPr>
                <w:b/>
                <w:bCs/>
              </w:rPr>
              <w:t>Identity activity (who performed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DFA8A" w14:textId="77777777" w:rsidR="00D92E2A" w:rsidRPr="00D92E2A" w:rsidRDefault="00D92E2A" w:rsidP="00D92E2A">
            <w:r w:rsidRPr="00D92E2A">
              <w:rPr>
                <w:rFonts w:ascii="Segoe UI Emoji" w:hAnsi="Segoe UI Emoji" w:cs="Segoe UI Emoji"/>
              </w:rPr>
              <w:t>❌</w:t>
            </w:r>
            <w:r w:rsidRPr="00D92E2A">
              <w:t xml:space="preserve"> Not captured with resource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126DF" w14:textId="232EEA2F" w:rsidR="00D92E2A" w:rsidRPr="00D92E2A" w:rsidRDefault="00D92E2A" w:rsidP="00D92E2A">
            <w:r w:rsidRPr="00D92E2A">
              <w:rPr>
                <w:rFonts w:ascii="Segoe UI Emoji" w:hAnsi="Segoe UI Emoji" w:cs="Segoe UI Emoji"/>
              </w:rPr>
              <w:t>✅</w:t>
            </w:r>
            <w:r w:rsidRPr="00D92E2A">
              <w:t xml:space="preserve"> Enable </w:t>
            </w:r>
            <w:hyperlink r:id="rId48" w:history="1">
              <w:r w:rsidRPr="00D92E2A">
                <w:rPr>
                  <w:rStyle w:val="Hyperlink"/>
                  <w:b/>
                  <w:bCs/>
                </w:rPr>
                <w:t>Microsoft Entra ID logs</w:t>
              </w:r>
            </w:hyperlink>
          </w:p>
        </w:tc>
      </w:tr>
      <w:tr w:rsidR="00D92E2A" w:rsidRPr="00D92E2A" w14:paraId="56D5EC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203F2" w14:textId="77777777" w:rsidR="00D92E2A" w:rsidRPr="00D92E2A" w:rsidRDefault="00D92E2A" w:rsidP="00D92E2A">
            <w:pPr>
              <w:rPr>
                <w:b/>
                <w:bCs/>
              </w:rPr>
            </w:pPr>
            <w:r w:rsidRPr="00D92E2A">
              <w:rPr>
                <w:b/>
                <w:bCs/>
              </w:rPr>
              <w:t>Centralized logging / querying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E5379" w14:textId="77777777" w:rsidR="00D92E2A" w:rsidRPr="00D92E2A" w:rsidRDefault="00D92E2A" w:rsidP="00D92E2A">
            <w:r w:rsidRPr="00D92E2A">
              <w:rPr>
                <w:rFonts w:ascii="Segoe UI Emoji" w:hAnsi="Segoe UI Emoji" w:cs="Segoe UI Emoji"/>
              </w:rPr>
              <w:t>❌</w:t>
            </w:r>
            <w:r w:rsidRPr="00D92E2A">
              <w:t xml:space="preserve"> No centralized log store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52CD5" w14:textId="77777777" w:rsidR="00D92E2A" w:rsidRPr="00D92E2A" w:rsidRDefault="00D92E2A" w:rsidP="00D92E2A">
            <w:r w:rsidRPr="00D92E2A">
              <w:rPr>
                <w:rFonts w:ascii="Segoe UI Emoji" w:hAnsi="Segoe UI Emoji" w:cs="Segoe UI Emoji"/>
              </w:rPr>
              <w:t>✅</w:t>
            </w:r>
            <w:r w:rsidRPr="00D92E2A">
              <w:t xml:space="preserve"> Route logs to </w:t>
            </w:r>
            <w:hyperlink r:id="rId49" w:tgtFrame="_blank" w:history="1">
              <w:r w:rsidRPr="00D92E2A">
                <w:rPr>
                  <w:rStyle w:val="Hyperlink"/>
                  <w:b/>
                  <w:bCs/>
                </w:rPr>
                <w:t>Log Analytics workspace</w:t>
              </w:r>
            </w:hyperlink>
          </w:p>
        </w:tc>
      </w:tr>
      <w:tr w:rsidR="00D92E2A" w:rsidRPr="00D92E2A" w14:paraId="030728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DFC857" w14:textId="77777777" w:rsidR="00D92E2A" w:rsidRPr="00D92E2A" w:rsidRDefault="00D92E2A" w:rsidP="00D92E2A">
            <w:pPr>
              <w:rPr>
                <w:b/>
                <w:bCs/>
              </w:rPr>
            </w:pPr>
            <w:r w:rsidRPr="00D92E2A">
              <w:rPr>
                <w:b/>
                <w:bCs/>
              </w:rPr>
              <w:t>Retention /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58E85" w14:textId="77777777" w:rsidR="00D92E2A" w:rsidRPr="00D92E2A" w:rsidRDefault="00D92E2A" w:rsidP="00D92E2A">
            <w:r w:rsidRPr="00D92E2A">
              <w:rPr>
                <w:rFonts w:ascii="Segoe UI Emoji" w:hAnsi="Segoe UI Emoji" w:cs="Segoe UI Emoji"/>
              </w:rPr>
              <w:t>❌</w:t>
            </w:r>
            <w:r w:rsidRPr="00D92E2A">
              <w:t xml:space="preserve"> No retention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940C9" w14:textId="77777777" w:rsidR="00D92E2A" w:rsidRPr="00D92E2A" w:rsidRDefault="00D92E2A" w:rsidP="00D92E2A">
            <w:r w:rsidRPr="00D92E2A">
              <w:rPr>
                <w:rFonts w:ascii="Segoe UI Emoji" w:hAnsi="Segoe UI Emoji" w:cs="Segoe UI Emoji"/>
              </w:rPr>
              <w:t>✅</w:t>
            </w:r>
            <w:r w:rsidRPr="00D92E2A">
              <w:t xml:space="preserve"> Configure retention using </w:t>
            </w:r>
            <w:hyperlink r:id="rId50" w:tgtFrame="_blank" w:history="1">
              <w:r w:rsidRPr="00D92E2A">
                <w:rPr>
                  <w:rStyle w:val="Hyperlink"/>
                  <w:b/>
                  <w:bCs/>
                </w:rPr>
                <w:t>Log Analytics retention</w:t>
              </w:r>
            </w:hyperlink>
            <w:r w:rsidRPr="00D92E2A">
              <w:t xml:space="preserve"> and export via </w:t>
            </w:r>
            <w:hyperlink r:id="rId51" w:tgtFrame="_blank" w:history="1">
              <w:r w:rsidRPr="00D92E2A">
                <w:rPr>
                  <w:rStyle w:val="Hyperlink"/>
                  <w:b/>
                  <w:bCs/>
                </w:rPr>
                <w:t>Log export options</w:t>
              </w:r>
            </w:hyperlink>
          </w:p>
        </w:tc>
      </w:tr>
    </w:tbl>
    <w:p w14:paraId="33C7C180" w14:textId="77777777" w:rsidR="0050533C" w:rsidRDefault="0050533C" w:rsidP="00BF079B"/>
    <w:p w14:paraId="3D4D733B" w14:textId="00D5B827" w:rsidR="00BF079B" w:rsidRDefault="00FD0C51" w:rsidP="00BF079B">
      <w:r>
        <w:t>Out-of-the-box, Azure provides metrics-only visibility, while all meaningful audit logging (control plane, data plan</w:t>
      </w:r>
      <w:r w:rsidR="000D4FE3">
        <w:t>e, and identity) must be explicitly enabled</w:t>
      </w:r>
      <w:r w:rsidR="0050533C">
        <w:t xml:space="preserve"> via diagnostic settings and Entra ID logging.</w:t>
      </w:r>
      <w:r w:rsidR="000F0D0E">
        <w:t xml:space="preserve"> </w:t>
      </w:r>
    </w:p>
    <w:p w14:paraId="06B5B6BB" w14:textId="1907ED10" w:rsidR="0068602D" w:rsidRDefault="0068602D" w:rsidP="00BF079B">
      <w:r>
        <w:t xml:space="preserve">A log retention strategy should align to security, cost, and regulatory requirements. </w:t>
      </w:r>
      <w:r w:rsidR="00D92E2A">
        <w:t xml:space="preserve">Below are recommendations for </w:t>
      </w:r>
      <w:r w:rsidR="000A49A3">
        <w:t xml:space="preserve">retaining different </w:t>
      </w:r>
      <w:r w:rsidR="008D3B77">
        <w:t>kinds of log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26"/>
        <w:gridCol w:w="1655"/>
        <w:gridCol w:w="2419"/>
        <w:gridCol w:w="1602"/>
      </w:tblGrid>
      <w:tr w:rsidR="003A6E69" w:rsidRPr="003A6E69" w14:paraId="7EDEC1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82B8F9" w14:textId="77777777" w:rsidR="003A6E69" w:rsidRPr="003A6E69" w:rsidRDefault="003A6E69" w:rsidP="003A6E69">
            <w:pPr>
              <w:rPr>
                <w:b/>
                <w:bCs/>
              </w:rPr>
            </w:pPr>
            <w:r w:rsidRPr="003A6E69">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EE141" w14:textId="77777777" w:rsidR="003A6E69" w:rsidRPr="003A6E69" w:rsidRDefault="003A6E69" w:rsidP="003A6E69">
            <w:pPr>
              <w:rPr>
                <w:b/>
                <w:bCs/>
              </w:rPr>
            </w:pPr>
            <w:r w:rsidRPr="003A6E69">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144850" w14:textId="77777777" w:rsidR="003A6E69" w:rsidRPr="003A6E69" w:rsidRDefault="003A6E69" w:rsidP="003A6E69">
            <w:pPr>
              <w:rPr>
                <w:b/>
                <w:bCs/>
              </w:rPr>
            </w:pPr>
            <w:r w:rsidRPr="003A6E69">
              <w:rPr>
                <w:b/>
                <w:bCs/>
              </w:rPr>
              <w:t>Default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70CC3" w14:textId="77777777" w:rsidR="003A6E69" w:rsidRPr="003A6E69" w:rsidRDefault="003A6E69" w:rsidP="003A6E69">
            <w:pPr>
              <w:rPr>
                <w:b/>
                <w:bCs/>
              </w:rPr>
            </w:pPr>
            <w:r w:rsidRPr="003A6E69">
              <w:rPr>
                <w:b/>
                <w:bCs/>
              </w:rPr>
              <w:t>Recommended configuration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217DAA" w14:textId="77777777" w:rsidR="003A6E69" w:rsidRPr="003A6E69" w:rsidRDefault="003A6E69" w:rsidP="003A6E69">
            <w:pPr>
              <w:rPr>
                <w:b/>
                <w:bCs/>
              </w:rPr>
            </w:pPr>
            <w:r w:rsidRPr="003A6E69">
              <w:rPr>
                <w:b/>
                <w:bCs/>
              </w:rPr>
              <w:t>Supporting guidance</w:t>
            </w:r>
          </w:p>
        </w:tc>
      </w:tr>
      <w:tr w:rsidR="003A6E69" w:rsidRPr="003A6E69" w14:paraId="74BDBA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A28392" w14:textId="77777777" w:rsidR="003A6E69" w:rsidRPr="003A6E69" w:rsidRDefault="003A6E69" w:rsidP="003A6E69">
            <w:pPr>
              <w:rPr>
                <w:b/>
                <w:bCs/>
              </w:rPr>
            </w:pPr>
            <w:r w:rsidRPr="003A6E69">
              <w:rPr>
                <w:b/>
                <w:bCs/>
              </w:rPr>
              <w:t>Log Analytics (hot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E4763" w14:textId="77777777" w:rsidR="003A6E69" w:rsidRPr="003A6E69" w:rsidRDefault="003A6E69" w:rsidP="003A6E69">
            <w:r w:rsidRPr="003A6E69">
              <w:t>Real-time querying, alerting, investigations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58885" w14:textId="77777777" w:rsidR="003A6E69" w:rsidRPr="003A6E69" w:rsidRDefault="003A6E69" w:rsidP="003A6E69">
            <w:r w:rsidRPr="003A6E69">
              <w:t>~30 days default retention (varies by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30AFF" w14:textId="77777777" w:rsidR="003A6E69" w:rsidRPr="003A6E69" w:rsidRDefault="003A6E69" w:rsidP="003A6E69">
            <w:r w:rsidRPr="003A6E69">
              <w:t xml:space="preserve">Set </w:t>
            </w:r>
            <w:r w:rsidRPr="003A6E69">
              <w:rPr>
                <w:b/>
                <w:bCs/>
              </w:rPr>
              <w:t>30–90 days</w:t>
            </w:r>
            <w:r w:rsidRPr="003A6E69">
              <w:t xml:space="preserve"> for operational monitoring; extend up to </w:t>
            </w:r>
            <w:r w:rsidRPr="003A6E69">
              <w:rPr>
                <w:b/>
                <w:bCs/>
              </w:rPr>
              <w:t>2 years</w:t>
            </w:r>
            <w:r w:rsidRPr="003A6E69">
              <w:t xml:space="preserve"> for security investigations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98059" w14:textId="77777777" w:rsidR="003A6E69" w:rsidRPr="003A6E69" w:rsidRDefault="003A6E69" w:rsidP="003A6E69">
            <w:hyperlink r:id="rId52" w:tgtFrame="_blank" w:history="1">
              <w:r w:rsidRPr="003A6E69">
                <w:rPr>
                  <w:rStyle w:val="Hyperlink"/>
                </w:rPr>
                <w:t>Configure Log Analytics retention</w:t>
              </w:r>
            </w:hyperlink>
          </w:p>
        </w:tc>
      </w:tr>
      <w:tr w:rsidR="003A6E69" w:rsidRPr="003A6E69" w14:paraId="708FAC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A907E3" w14:textId="77777777" w:rsidR="003A6E69" w:rsidRPr="003A6E69" w:rsidRDefault="003A6E69" w:rsidP="003A6E69">
            <w:pPr>
              <w:rPr>
                <w:b/>
                <w:bCs/>
              </w:rPr>
            </w:pPr>
            <w:r w:rsidRPr="003A6E69">
              <w:rPr>
                <w:b/>
                <w:bCs/>
              </w:rPr>
              <w:t>Long-term retention (cold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05047" w14:textId="77777777" w:rsidR="003A6E69" w:rsidRPr="003A6E69" w:rsidRDefault="003A6E69" w:rsidP="003A6E69">
            <w:r w:rsidRPr="003A6E69">
              <w:t>Compliance, audit history, infrequent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49234" w14:textId="77777777" w:rsidR="003A6E69" w:rsidRPr="003A6E69" w:rsidRDefault="003A6E69" w:rsidP="003A6E69">
            <w:r w:rsidRPr="003A6E69">
              <w:t>Not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9A9A4" w14:textId="77777777" w:rsidR="003A6E69" w:rsidRPr="003A6E69" w:rsidRDefault="003A6E69" w:rsidP="003A6E69">
            <w:r w:rsidRPr="003A6E69">
              <w:t xml:space="preserve">Export logs to </w:t>
            </w:r>
            <w:r w:rsidRPr="003A6E69">
              <w:rPr>
                <w:b/>
                <w:bCs/>
              </w:rPr>
              <w:t>Azure Storage</w:t>
            </w:r>
            <w:r w:rsidRPr="003A6E69">
              <w:t xml:space="preserve"> with lifecycle policies for multi-year retention (e.g., 1–7+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D9666" w14:textId="77777777" w:rsidR="003A6E69" w:rsidRPr="003A6E69" w:rsidRDefault="003A6E69" w:rsidP="003A6E69">
            <w:hyperlink r:id="rId53" w:tgtFrame="_blank" w:history="1">
              <w:r w:rsidRPr="003A6E69">
                <w:rPr>
                  <w:rStyle w:val="Hyperlink"/>
                </w:rPr>
                <w:t>Log export options</w:t>
              </w:r>
            </w:hyperlink>
          </w:p>
        </w:tc>
      </w:tr>
      <w:tr w:rsidR="003A6E69" w:rsidRPr="003A6E69" w14:paraId="597719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B7AED" w14:textId="77777777" w:rsidR="003A6E69" w:rsidRPr="003A6E69" w:rsidRDefault="003A6E69" w:rsidP="003A6E69">
            <w:pPr>
              <w:rPr>
                <w:b/>
                <w:bCs/>
              </w:rPr>
            </w:pPr>
            <w:r w:rsidRPr="003A6E69">
              <w:rPr>
                <w:b/>
                <w:bCs/>
              </w:rPr>
              <w:t>Tamper protection / immutability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7C98F" w14:textId="77777777" w:rsidR="003A6E69" w:rsidRPr="003A6E69" w:rsidRDefault="003A6E69" w:rsidP="003A6E69">
            <w:r w:rsidRPr="003A6E69">
              <w:t>Prevent log modification or deletion (regulatory requirement)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C6FA1" w14:textId="77777777" w:rsidR="003A6E69" w:rsidRPr="003A6E69" w:rsidRDefault="003A6E69" w:rsidP="003A6E69">
            <w:r w:rsidRPr="003A6E69">
              <w:t>Not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356EC" w14:textId="77777777" w:rsidR="003A6E69" w:rsidRPr="003A6E69" w:rsidRDefault="003A6E69" w:rsidP="003A6E69">
            <w:r w:rsidRPr="003A6E69">
              <w:t xml:space="preserve">Use </w:t>
            </w:r>
            <w:r w:rsidRPr="003A6E69">
              <w:rPr>
                <w:b/>
                <w:bCs/>
              </w:rPr>
              <w:t>immutable storage (WORM policies)</w:t>
            </w:r>
            <w:r w:rsidRPr="003A6E69">
              <w:t xml:space="preserve"> on Azure Storage for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A50B5" w14:textId="77777777" w:rsidR="003A6E69" w:rsidRPr="003A6E69" w:rsidRDefault="003A6E69" w:rsidP="003A6E69">
            <w:hyperlink r:id="rId54" w:tgtFrame="_blank" w:history="1">
              <w:r w:rsidRPr="003A6E69">
                <w:rPr>
                  <w:rStyle w:val="Hyperlink"/>
                </w:rPr>
                <w:t>Azure Monitor data export + storage guidance</w:t>
              </w:r>
            </w:hyperlink>
          </w:p>
        </w:tc>
      </w:tr>
      <w:tr w:rsidR="003A6E69" w:rsidRPr="003A6E69" w14:paraId="2B705F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1E23C" w14:textId="77777777" w:rsidR="003A6E69" w:rsidRPr="003A6E69" w:rsidRDefault="003A6E69" w:rsidP="003A6E69">
            <w:pPr>
              <w:rPr>
                <w:b/>
                <w:bCs/>
              </w:rPr>
            </w:pPr>
            <w:r w:rsidRPr="003A6E69">
              <w:rPr>
                <w:b/>
                <w:bCs/>
              </w:rPr>
              <w:t>SIEM / Security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0FB74" w14:textId="77777777" w:rsidR="003A6E69" w:rsidRPr="003A6E69" w:rsidRDefault="003A6E69" w:rsidP="003A6E69">
            <w:r w:rsidRPr="003A6E69">
              <w:t>Centralized threat detection and correlation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B5AF2" w14:textId="77777777" w:rsidR="003A6E69" w:rsidRPr="003A6E69" w:rsidRDefault="003A6E69" w:rsidP="003A6E69">
            <w:r w:rsidRPr="003A6E69">
              <w:t>Not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CCC87" w14:textId="77777777" w:rsidR="003A6E69" w:rsidRPr="003A6E69" w:rsidRDefault="003A6E69" w:rsidP="003A6E69">
            <w:r w:rsidRPr="003A6E69">
              <w:t xml:space="preserve">Stream logs to </w:t>
            </w:r>
            <w:r w:rsidRPr="003A6E69">
              <w:rPr>
                <w:b/>
                <w:bCs/>
              </w:rPr>
              <w:t>Event Hub → SIEM (e.g., Microsoft Sentinel)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0F5659" w14:textId="77777777" w:rsidR="003A6E69" w:rsidRPr="003A6E69" w:rsidRDefault="003A6E69" w:rsidP="003A6E69">
            <w:hyperlink r:id="rId55" w:tgtFrame="_blank" w:history="1">
              <w:r w:rsidRPr="003A6E69">
                <w:rPr>
                  <w:rStyle w:val="Hyperlink"/>
                </w:rPr>
                <w:t>Create diagnostic settings</w:t>
              </w:r>
            </w:hyperlink>
          </w:p>
        </w:tc>
      </w:tr>
      <w:tr w:rsidR="003A6E69" w:rsidRPr="003A6E69" w14:paraId="5B2915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FD99A7" w14:textId="77777777" w:rsidR="003A6E69" w:rsidRPr="003A6E69" w:rsidRDefault="003A6E69" w:rsidP="003A6E69">
            <w:pPr>
              <w:rPr>
                <w:b/>
                <w:bCs/>
              </w:rPr>
            </w:pPr>
            <w:r w:rsidRPr="003A6E69">
              <w:rPr>
                <w:b/>
                <w:bCs/>
              </w:rPr>
              <w:t>Retention management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C6565" w14:textId="77777777" w:rsidR="003A6E69" w:rsidRPr="003A6E69" w:rsidRDefault="003A6E69" w:rsidP="003A6E69">
            <w:r w:rsidRPr="003A6E69">
              <w:t>Balances cost, performance,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AC9B4" w14:textId="77777777" w:rsidR="003A6E69" w:rsidRPr="003A6E69" w:rsidRDefault="003A6E69" w:rsidP="003A6E69">
            <w:r w:rsidRPr="003A6E69">
              <w:t>Single-tier (if unmanaged)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8DB87" w14:textId="77777777" w:rsidR="003A6E69" w:rsidRPr="003A6E69" w:rsidRDefault="003A6E69" w:rsidP="003A6E69">
            <w:r w:rsidRPr="003A6E69">
              <w:t xml:space="preserve">Use </w:t>
            </w:r>
            <w:r w:rsidRPr="003A6E69">
              <w:rPr>
                <w:b/>
                <w:bCs/>
              </w:rPr>
              <w:t>tiered model</w:t>
            </w:r>
            <w:r w:rsidRPr="003A6E69">
              <w:t>: Log Analytics (hot) + Storage (cold/archive)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A9B6A" w14:textId="77777777" w:rsidR="003A6E69" w:rsidRPr="003A6E69" w:rsidRDefault="003A6E69" w:rsidP="003A6E69">
            <w:hyperlink r:id="rId56" w:tgtFrame="_blank" w:history="1">
              <w:r w:rsidRPr="003A6E69">
                <w:rPr>
                  <w:rStyle w:val="Hyperlink"/>
                </w:rPr>
                <w:t>Azure Monitor retention model</w:t>
              </w:r>
            </w:hyperlink>
          </w:p>
        </w:tc>
      </w:tr>
      <w:tr w:rsidR="003A6E69" w:rsidRPr="003A6E69" w14:paraId="2A29E8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2655AC" w14:textId="77777777" w:rsidR="003A6E69" w:rsidRPr="003A6E69" w:rsidRDefault="003A6E69" w:rsidP="003A6E69">
            <w:pPr>
              <w:rPr>
                <w:b/>
                <w:bCs/>
              </w:rPr>
            </w:pPr>
            <w:r w:rsidRPr="003A6E69">
              <w:rPr>
                <w:b/>
                <w:bCs/>
              </w:rPr>
              <w:t>Cross-region / durability (optional)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1981B" w14:textId="77777777" w:rsidR="003A6E69" w:rsidRPr="003A6E69" w:rsidRDefault="003A6E69" w:rsidP="003A6E69">
            <w:r w:rsidRPr="003A6E69">
              <w:t>Resilience, regulatory data residency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4F782" w14:textId="77777777" w:rsidR="003A6E69" w:rsidRPr="003A6E69" w:rsidRDefault="003A6E69" w:rsidP="003A6E69">
            <w:r w:rsidRPr="003A6E69">
              <w:t>Not guaranteed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81CCD" w14:textId="77777777" w:rsidR="003A6E69" w:rsidRPr="003A6E69" w:rsidRDefault="003A6E69" w:rsidP="003A6E69">
            <w:r w:rsidRPr="003A6E69">
              <w:t xml:space="preserve">Use </w:t>
            </w:r>
            <w:r w:rsidRPr="003A6E69">
              <w:rPr>
                <w:b/>
                <w:bCs/>
              </w:rPr>
              <w:t>GRS/GZRS storage replication</w:t>
            </w:r>
            <w:r w:rsidRPr="003A6E69">
              <w:t xml:space="preserve"> for archived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5D7F1" w14:textId="77777777" w:rsidR="003A6E69" w:rsidRPr="003A6E69" w:rsidRDefault="003A6E69" w:rsidP="003A6E69">
            <w:hyperlink r:id="rId57" w:tgtFrame="_blank" w:history="1">
              <w:r w:rsidRPr="003A6E69">
                <w:rPr>
                  <w:rStyle w:val="Hyperlink"/>
                </w:rPr>
                <w:t>Log Analytics export guidance</w:t>
              </w:r>
            </w:hyperlink>
          </w:p>
        </w:tc>
      </w:tr>
    </w:tbl>
    <w:p w14:paraId="46C31ED0" w14:textId="77777777" w:rsidR="003A6E69" w:rsidRDefault="003A6E69" w:rsidP="00BF079B"/>
    <w:p w14:paraId="5C3D373F" w14:textId="3D6EE70A" w:rsidR="00C45067" w:rsidRDefault="00C45067" w:rsidP="00BF079B">
      <w:r>
        <w:t>A compliant audit strategy requires tiered retention: short-term logs in Log Analytics for detection and investigation, with long-term, immutable storage for regulatory and audit purposes.</w:t>
      </w:r>
    </w:p>
    <w:sectPr w:rsidR="00C4506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lad Borys" w:date="2026-05-21T10:49:00Z" w:initials="VB">
    <w:p w14:paraId="0A3D61FD" w14:textId="088108A2" w:rsidR="00B247AA" w:rsidRDefault="00000000">
      <w:pPr>
        <w:pStyle w:val="CommentText"/>
      </w:pPr>
      <w:r>
        <w:rPr>
          <w:rStyle w:val="CommentReference"/>
        </w:rPr>
        <w:annotationRef/>
      </w:r>
      <w:r w:rsidRPr="32F393AB">
        <w:t>Add table of contents</w:t>
      </w:r>
    </w:p>
  </w:comment>
  <w:comment w:id="0" w:author="Ali Al Massaeed" w:date="2026-05-19T17:18:00Z" w:initials="AM">
    <w:p w14:paraId="7F2015F9" w14:textId="1B1248BC" w:rsidR="00D86FDD" w:rsidRDefault="00D86FDD">
      <w:r>
        <w:annotationRef/>
      </w:r>
      <w:r w:rsidRPr="059D9804">
        <w:t>across your organization</w:t>
      </w:r>
    </w:p>
  </w:comment>
  <w:comment w:id="2" w:author="Ali Al Massaeed" w:date="2026-05-19T17:20:00Z" w:initials="AM">
    <w:p w14:paraId="633C91A3" w14:textId="091BAF14" w:rsidR="00D86FDD" w:rsidRDefault="00D86FDD">
      <w:r>
        <w:annotationRef/>
      </w:r>
      <w:r w:rsidRPr="5F4A577A">
        <w:t>Copilot</w:t>
      </w:r>
    </w:p>
  </w:comment>
  <w:comment w:id="3" w:author="Ali Al Massaeed" w:date="2026-05-19T17:07:00Z" w:initials="AM">
    <w:p w14:paraId="4D620EE0" w14:textId="6988F0E2" w:rsidR="00D86FDD" w:rsidRDefault="00D86FDD">
      <w:r>
        <w:annotationRef/>
      </w:r>
      <w:r w:rsidRPr="475E76A3">
        <w:t xml:space="preserve">These approaches tend to coexist, as organizations aim to leverage the full breadth of their employees’ capabilities while making AI widely accessible across the enterprise. </w:t>
      </w:r>
    </w:p>
  </w:comment>
  <w:comment w:id="4" w:author="Ali Al Massaeed" w:date="2026-05-19T17:21:00Z" w:initials="AM">
    <w:p w14:paraId="079AF5DF" w14:textId="52AC47BA" w:rsidR="00D86FDD" w:rsidRDefault="00D86FDD">
      <w:r>
        <w:annotationRef/>
      </w:r>
      <w:r w:rsidRPr="35E47F0C">
        <w:t>Playground-based experimentation</w:t>
      </w:r>
    </w:p>
  </w:comment>
  <w:comment w:id="5" w:author="Ali Al Massaeed" w:date="2026-05-19T17:08:00Z" w:initials="AM">
    <w:p w14:paraId="7EC5494F" w14:textId="01C6845E" w:rsidR="00D86FDD" w:rsidRDefault="00D86FDD">
      <w:r>
        <w:annotationRef/>
      </w:r>
      <w:r w:rsidRPr="6BAB284F">
        <w:t>addressed in later sections of the article</w:t>
      </w:r>
    </w:p>
  </w:comment>
  <w:comment w:id="7" w:author="Ali Al Massaeed" w:date="2026-05-19T17:23:00Z" w:initials="AM">
    <w:p w14:paraId="734D4A45" w14:textId="11208009" w:rsidR="00D86FDD" w:rsidRDefault="00D86FDD">
      <w:r>
        <w:annotationRef/>
      </w:r>
      <w:r w:rsidRPr="29514CC1">
        <w:t>Token and Rate limit</w:t>
      </w:r>
    </w:p>
  </w:comment>
  <w:comment w:id="6" w:author="Vlad Borys" w:date="2026-05-20T17:06:00Z" w:initials="VB">
    <w:p w14:paraId="4F309AA7" w14:textId="6EB79A0A" w:rsidR="00B247AA" w:rsidRDefault="00000000">
      <w:pPr>
        <w:pStyle w:val="CommentText"/>
      </w:pPr>
      <w:r>
        <w:rPr>
          <w:rStyle w:val="CommentReference"/>
        </w:rPr>
        <w:annotationRef/>
      </w:r>
      <w:r w:rsidRPr="14D3CAB7">
        <w:t>add reference to Foundry Guardrails</w:t>
      </w:r>
    </w:p>
  </w:comment>
  <w:comment w:id="8" w:author="Vlad Borys" w:date="2026-05-21T08:38:00Z" w:initials="VB">
    <w:p w14:paraId="7BEAEFCE" w14:textId="3EB9F0DD" w:rsidR="00B247AA" w:rsidRDefault="00000000">
      <w:pPr>
        <w:pStyle w:val="CommentText"/>
      </w:pPr>
      <w:r>
        <w:rPr>
          <w:rStyle w:val="CommentReference"/>
        </w:rPr>
        <w:annotationRef/>
      </w:r>
      <w:r w:rsidRPr="612FCA9A">
        <w:t>Add one sentence on the </w:t>
      </w:r>
      <w:r w:rsidRPr="6357AE75">
        <w:rPr>
          <w:i/>
          <w:iCs/>
        </w:rPr>
        <w:t>Foundry account resource</w:t>
      </w:r>
      <w:r w:rsidRPr="46D04095">
        <w:t> (the parent) so the parent/child relationship is named explicitly.</w:t>
      </w:r>
    </w:p>
  </w:comment>
  <w:comment w:id="9" w:author="Vlad Borys" w:date="2026-05-21T08:42:00Z" w:initials="VB">
    <w:p w14:paraId="37DB186F" w14:textId="75672F60" w:rsidR="00B247AA" w:rsidRDefault="00000000">
      <w:pPr>
        <w:pStyle w:val="CommentText"/>
      </w:pPr>
      <w:r>
        <w:rPr>
          <w:rStyle w:val="CommentReference"/>
        </w:rPr>
        <w:annotationRef/>
      </w:r>
      <w:r w:rsidRPr="6BCC4C8F">
        <w:t>This is very important point. Should this be a normal paragraph? TIP sections usually highlight good to know features and readers tend to skip them.</w:t>
      </w:r>
    </w:p>
  </w:comment>
  <w:comment w:id="10" w:author="Alex Ruiz" w:date="2026-05-26T11:09:00Z" w:initials="AR">
    <w:p w14:paraId="49844E45" w14:textId="77777777" w:rsidR="00714E76" w:rsidRDefault="00714E76" w:rsidP="00714E76">
      <w:pPr>
        <w:pStyle w:val="CommentText"/>
      </w:pPr>
      <w:r>
        <w:rPr>
          <w:rStyle w:val="CommentReference"/>
        </w:rPr>
        <w:annotationRef/>
      </w:r>
      <w:r>
        <w:t>What if we make it an IMPORTANT section??</w:t>
      </w:r>
    </w:p>
  </w:comment>
  <w:comment w:id="11" w:author="Alex Ruiz" w:date="2026-05-26T11:10:00Z" w:initials="AR">
    <w:p w14:paraId="2A39C512" w14:textId="77777777" w:rsidR="00714E76" w:rsidRDefault="00714E76" w:rsidP="00714E76">
      <w:pPr>
        <w:pStyle w:val="CommentText"/>
      </w:pPr>
      <w:r>
        <w:rPr>
          <w:rStyle w:val="CommentReference"/>
        </w:rPr>
        <w:annotationRef/>
      </w:r>
      <w:r>
        <w:t>I’m worried that if it’s just in the regular paragraph it will also get glossed over.</w:t>
      </w:r>
    </w:p>
  </w:comment>
  <w:comment w:id="12" w:author="Ali Al Massaeed" w:date="2026-05-19T17:08:00Z" w:initials="AM">
    <w:p w14:paraId="2C04ACAE" w14:textId="0294D6B1" w:rsidR="00D86FDD" w:rsidRDefault="00D86FDD">
      <w:r>
        <w:annotationRef/>
      </w:r>
      <w:r w:rsidRPr="40B08B82">
        <w:t>The answer here depends on your cost management/tracking requirements.  </w:t>
      </w:r>
    </w:p>
  </w:comment>
  <w:comment w:id="13" w:author="Ali Al Massaeed" w:date="2026-05-19T17:09:00Z" w:initials="AM">
    <w:p w14:paraId="5011C5AD" w14:textId="02C04F8D" w:rsidR="00D86FDD" w:rsidRDefault="00D86FDD">
      <w:r>
        <w:annotationRef/>
      </w:r>
      <w:r w:rsidRPr="1AAD80BE">
        <w:t xml:space="preserve">This approach involves trade-offs between compliance and operational complexity. While it enables greater resource segmentation and supports the governance of sensitive use cases with appropriate safeguards, it also increases environmental complexity and associated costs. </w:t>
      </w:r>
    </w:p>
  </w:comment>
  <w:comment w:id="14" w:author="Vlad Borys" w:date="2026-05-21T10:24:00Z" w:initials="VB">
    <w:p w14:paraId="2CF04145" w14:textId="5ABB61B6" w:rsidR="00B247AA" w:rsidRDefault="00000000">
      <w:pPr>
        <w:pStyle w:val="CommentText"/>
      </w:pPr>
      <w:r>
        <w:rPr>
          <w:rStyle w:val="CommentReference"/>
        </w:rPr>
        <w:annotationRef/>
      </w:r>
      <w:r w:rsidRPr="6A5ECC99">
        <w:t xml:space="preserve">Consider adding a decision matrix. </w:t>
      </w:r>
    </w:p>
    <w:p w14:paraId="7565798D" w14:textId="7CEB3644" w:rsidR="00B247AA" w:rsidRDefault="00000000">
      <w:pPr>
        <w:pStyle w:val="CommentText"/>
      </w:pPr>
      <w:r w:rsidRPr="24B9821A">
        <w:t xml:space="preserve">rows: regulated-industry / data-sensitivity / dev-team-skill / network-skill / required-isolation; </w:t>
      </w:r>
    </w:p>
    <w:p w14:paraId="1A78322A" w14:textId="3C92B9E7" w:rsidR="00B247AA" w:rsidRDefault="00000000">
      <w:pPr>
        <w:pStyle w:val="CommentText"/>
      </w:pPr>
      <w:r w:rsidRPr="4E2BF373">
        <w:t xml:space="preserve">columns: Public/Private/Hybrid; </w:t>
      </w:r>
    </w:p>
    <w:p w14:paraId="4DD8A119" w14:textId="4FEC8F7A" w:rsidR="00B247AA" w:rsidRDefault="00000000">
      <w:pPr>
        <w:pStyle w:val="CommentText"/>
      </w:pPr>
      <w:r w:rsidRPr="05ED8DEF">
        <w:t>cells: recommendations.</w:t>
      </w:r>
    </w:p>
  </w:comment>
  <w:comment w:id="15" w:author="Alex Ruiz" w:date="2026-05-26T11:04:00Z" w:initials="AR">
    <w:p w14:paraId="3F1DCEB0" w14:textId="77777777" w:rsidR="00B103DF" w:rsidRDefault="00B103DF" w:rsidP="00B103DF">
      <w:pPr>
        <w:pStyle w:val="CommentText"/>
      </w:pPr>
      <w:r>
        <w:rPr>
          <w:rStyle w:val="CommentReference"/>
        </w:rPr>
        <w:annotationRef/>
      </w:r>
      <w:r>
        <w:t>Great idea! I’ll implement that change here.</w:t>
      </w:r>
    </w:p>
  </w:comment>
  <w:comment w:id="16" w:author="Ali Al Massaeed" w:date="2026-05-19T17:09:00Z" w:initials="AM">
    <w:p w14:paraId="602597DD" w14:textId="776BC1E8" w:rsidR="00D86FDD" w:rsidRDefault="00D86FDD">
      <w:r>
        <w:annotationRef/>
      </w:r>
      <w:r w:rsidRPr="075D00F4">
        <w:t>The following section outlines each of these configurations and provides the underlying rationale.</w:t>
      </w:r>
    </w:p>
  </w:comment>
  <w:comment w:id="17" w:author="Vlad Borys" w:date="2026-05-21T10:25:00Z" w:initials="VB">
    <w:p w14:paraId="5ECD2DC8" w14:textId="2D40EA90" w:rsidR="00B247AA" w:rsidRDefault="00000000">
      <w:pPr>
        <w:pStyle w:val="CommentText"/>
      </w:pPr>
      <w:r>
        <w:rPr>
          <w:rStyle w:val="CommentReference"/>
        </w:rPr>
        <w:annotationRef/>
      </w:r>
      <w:r w:rsidRPr="49379DC1">
        <w:t>Add explicit security disclaimers - what threats this configuration accepts (e.g., data exfiltration via portal, public model endpoints).</w:t>
      </w:r>
    </w:p>
  </w:comment>
  <w:comment w:id="18" w:author="Ali Al Massaeed" w:date="2026-05-19T17:24:00Z" w:initials="AM">
    <w:p w14:paraId="6D9D4BE8" w14:textId="64634E6E" w:rsidR="00D86FDD" w:rsidRDefault="00D86FDD">
      <w:r>
        <w:annotationRef/>
      </w:r>
      <w:r w:rsidRPr="349509C1">
        <w:t>prompt-based agents</w:t>
      </w:r>
    </w:p>
  </w:comment>
  <w:comment w:id="19" w:author="Vlad Borys" w:date="2026-05-21T10:17:00Z" w:initials="VB">
    <w:p w14:paraId="46E6CCD5" w14:textId="23E49EBB" w:rsidR="00B247AA" w:rsidRDefault="00000000">
      <w:pPr>
        <w:pStyle w:val="CommentText"/>
      </w:pPr>
      <w:r>
        <w:rPr>
          <w:rStyle w:val="CommentReference"/>
        </w:rPr>
        <w:annotationRef/>
      </w:r>
      <w:r w:rsidRPr="23464BE0">
        <w:t>The current link points to BYO Model for Agents via AI GW (GA).</w:t>
      </w:r>
    </w:p>
    <w:p w14:paraId="2EFBA7AC" w14:textId="19196562" w:rsidR="00B247AA" w:rsidRDefault="00B247AA">
      <w:pPr>
        <w:pStyle w:val="CommentText"/>
      </w:pPr>
    </w:p>
    <w:p w14:paraId="6C8D3DA5" w14:textId="62D2BC9F" w:rsidR="00B247AA" w:rsidRDefault="00000000">
      <w:pPr>
        <w:pStyle w:val="CommentText"/>
      </w:pPr>
      <w:r w:rsidRPr="12F74BCD">
        <w:t>When the AI GW integration in Foundry is the link below (In-Preview)</w:t>
      </w:r>
    </w:p>
    <w:p w14:paraId="56ABC7F1" w14:textId="1385C9A3" w:rsidR="00B247AA" w:rsidRDefault="00000000">
      <w:pPr>
        <w:pStyle w:val="CommentText"/>
      </w:pPr>
      <w:hyperlink r:id="rId1" w:history="1">
        <w:r w:rsidRPr="1F417F0B">
          <w:rPr>
            <w:rStyle w:val="Hyperlink"/>
          </w:rPr>
          <w:t>Configure AI Gateway in your Foundry resources - Microsoft Foundry | Microsoft Learn</w:t>
        </w:r>
      </w:hyperlink>
    </w:p>
  </w:comment>
  <w:comment w:id="20" w:author="Alex Ruiz" w:date="2026-05-26T11:05:00Z" w:initials="AR">
    <w:p w14:paraId="7281DA03" w14:textId="77777777" w:rsidR="00BE1C90" w:rsidRDefault="00BE1C90" w:rsidP="00BE1C90">
      <w:pPr>
        <w:pStyle w:val="CommentText"/>
      </w:pPr>
      <w:r>
        <w:rPr>
          <w:rStyle w:val="CommentReference"/>
        </w:rPr>
        <w:annotationRef/>
      </w:r>
      <w:r>
        <w:t>Resolved.</w:t>
      </w:r>
    </w:p>
  </w:comment>
  <w:comment w:id="21" w:author="Vlad Borys" w:date="2026-05-21T10:30:00Z" w:initials="VB">
    <w:p w14:paraId="1F4E3AB4" w14:textId="6DDF17F1" w:rsidR="00B247AA" w:rsidRDefault="00000000">
      <w:pPr>
        <w:pStyle w:val="CommentText"/>
      </w:pPr>
      <w:r>
        <w:rPr>
          <w:rStyle w:val="CommentReference"/>
        </w:rPr>
        <w:annotationRef/>
      </w:r>
      <w:r w:rsidRPr="0E5E2F83">
        <w:t xml:space="preserve">Hybrid Public/Hybrid Private naming can be confusing. </w:t>
      </w:r>
    </w:p>
    <w:p w14:paraId="44E112EB" w14:textId="05C515CC" w:rsidR="00B247AA" w:rsidRDefault="00B247AA">
      <w:pPr>
        <w:pStyle w:val="CommentText"/>
      </w:pPr>
    </w:p>
    <w:p w14:paraId="7346B913" w14:textId="1B71E856" w:rsidR="00B247AA" w:rsidRDefault="00000000">
      <w:pPr>
        <w:pStyle w:val="CommentText"/>
      </w:pPr>
      <w:r w:rsidRPr="453A1353">
        <w:t>Consider something like this "Hybrid mode A: developer access" vs "Hybrid mode B: runtime-only.</w:t>
      </w:r>
    </w:p>
  </w:comment>
  <w:comment w:id="22" w:author="Ali Al Massaeed" w:date="2026-05-19T17:10:00Z" w:initials="AM">
    <w:p w14:paraId="17AE635C" w14:textId="7F6EDCFB" w:rsidR="00D86FDD" w:rsidRDefault="00D86FDD">
      <w:r>
        <w:annotationRef/>
      </w:r>
      <w:r w:rsidRPr="02855DB3">
        <w:t>Model versions</w:t>
      </w:r>
    </w:p>
  </w:comment>
  <w:comment w:id="23" w:author="Vlad Borys" w:date="2026-05-20T17:14:00Z" w:initials="VB">
    <w:p w14:paraId="09D0BCB9" w14:textId="38E5421D" w:rsidR="00B247AA" w:rsidRDefault="00000000">
      <w:pPr>
        <w:pStyle w:val="CommentText"/>
      </w:pPr>
      <w:r>
        <w:rPr>
          <w:rStyle w:val="CommentReference"/>
        </w:rPr>
        <w:annotationRef/>
      </w:r>
      <w:r w:rsidRPr="084DBC18">
        <w:t>When drafting - consider to go </w:t>
      </w:r>
      <w:r w:rsidRPr="7476BD87">
        <w:rPr>
          <w:i/>
          <w:iCs/>
        </w:rPr>
        <w:t>deeper</w:t>
      </w:r>
      <w:r w:rsidRPr="23A5E4A4">
        <w:t> on the operational mechanics customers struggle with:</w:t>
      </w:r>
    </w:p>
    <w:p w14:paraId="233E8012" w14:textId="60AF64E6" w:rsidR="00B247AA" w:rsidRDefault="00000000">
      <w:pPr>
        <w:pStyle w:val="CommentText"/>
      </w:pPr>
      <w:r w:rsidRPr="4C78FB81">
        <w:rPr>
          <w:b/>
          <w:bCs/>
        </w:rPr>
        <w:t>Role taxonomy table</w:t>
      </w:r>
      <w:r w:rsidRPr="4EFB753B">
        <w:t> — extend the parent's persona table with: Foundry Account Owner, Foundry Project Manager, Foundry User, Cognitive Services Contributor (for classic AI APIs), Cosmos DB Data Contributor (for Standard Agent setup), Storage Blob Data Contributor, Search Index Data Contributor. Call out which roles are needed on </w:t>
      </w:r>
      <w:r w:rsidRPr="48FAFC66">
        <w:rPr>
          <w:i/>
          <w:iCs/>
        </w:rPr>
        <w:t>child</w:t>
      </w:r>
      <w:r w:rsidRPr="2C93AA5A">
        <w:t> resources (the gotcha customers hit with Standard Agent setup).</w:t>
      </w:r>
    </w:p>
    <w:p w14:paraId="6F273CE6" w14:textId="3F063CAA" w:rsidR="00B247AA" w:rsidRDefault="00000000">
      <w:pPr>
        <w:pStyle w:val="CommentText"/>
      </w:pPr>
      <w:r w:rsidRPr="57CD572A">
        <w:rPr>
          <w:b/>
          <w:bCs/>
        </w:rPr>
        <w:t>Entra ID group design pattern</w:t>
      </w:r>
      <w:r w:rsidRPr="1D7AB570">
        <w:t> — recommended group naming convention (e.g., foundry-&lt;resource&gt;-&lt;role&gt;), nested group strategy, PIM (Privileged Identity Management) for elevated roles.</w:t>
      </w:r>
    </w:p>
    <w:p w14:paraId="0A92F613" w14:textId="2253F39E" w:rsidR="00B247AA" w:rsidRDefault="00000000">
      <w:pPr>
        <w:pStyle w:val="CommentText"/>
      </w:pPr>
      <w:r w:rsidRPr="4BF5A103">
        <w:rPr>
          <w:b/>
          <w:bCs/>
        </w:rPr>
        <w:t>Project-scope vs. resource-scope tradeoffs</w:t>
      </w:r>
      <w:r w:rsidRPr="76430ECA">
        <w:t> — when project-scoped RBAC breaks down (classic AI APIs like Translator, Speech), and the implication for Foundry resource segmentation.</w:t>
      </w:r>
    </w:p>
    <w:p w14:paraId="78B57576" w14:textId="0564F3F6" w:rsidR="00B247AA" w:rsidRDefault="00000000">
      <w:pPr>
        <w:pStyle w:val="CommentText"/>
      </w:pPr>
      <w:r w:rsidRPr="09D2FA9B">
        <w:rPr>
          <w:b/>
          <w:bCs/>
        </w:rPr>
        <w:t>Identity passthrough vs. managed identity</w:t>
      </w:r>
      <w:r w:rsidRPr="7C5D6A8F">
        <w:t> for connections — when each is appropriate, audit implications.</w:t>
      </w:r>
    </w:p>
    <w:p w14:paraId="3718BE2E" w14:textId="0FB07E78" w:rsidR="00B247AA" w:rsidRDefault="00000000">
      <w:pPr>
        <w:pStyle w:val="CommentText"/>
      </w:pPr>
      <w:r w:rsidRPr="31EAD41F">
        <w:rPr>
          <w:b/>
          <w:bCs/>
        </w:rPr>
        <w:t>Onboarding/offboarding flow</w:t>
      </w:r>
      <w:r w:rsidRPr="6CA18BAF">
        <w:t> — how to add a new developer team to a Foundry resource, what to revoke when someone leaves a project.</w:t>
      </w:r>
    </w:p>
    <w:p w14:paraId="1C8599F0" w14:textId="5800BD88" w:rsidR="00B247AA" w:rsidRDefault="00000000">
      <w:pPr>
        <w:pStyle w:val="CommentText"/>
      </w:pPr>
      <w:r w:rsidRPr="1A10A5C5">
        <w:rPr>
          <w:b/>
          <w:bCs/>
        </w:rPr>
        <w:t>Network-aware access</w:t>
      </w:r>
      <w:r w:rsidRPr="2219B320">
        <w:t> — combining Conditional Access policies with private Foundry to enforce trusted-device or geo restrictions.</w:t>
      </w:r>
    </w:p>
    <w:p w14:paraId="25E58B30" w14:textId="28E52090" w:rsidR="00B247AA" w:rsidRDefault="00B247AA">
      <w:pPr>
        <w:pStyle w:val="CommentText"/>
      </w:pPr>
    </w:p>
  </w:comment>
  <w:comment w:id="24" w:author="Vlad Borys" w:date="2026-05-20T17:15:00Z" w:initials="VB">
    <w:p w14:paraId="5D901CDE" w14:textId="1EC06A65" w:rsidR="00B247AA" w:rsidRDefault="00000000">
      <w:pPr>
        <w:pStyle w:val="CommentText"/>
      </w:pPr>
      <w:r>
        <w:rPr>
          <w:rStyle w:val="CommentReference"/>
        </w:rPr>
        <w:annotationRef/>
      </w:r>
      <w:r w:rsidRPr="39E7DDE1">
        <w:t>Suggested content:</w:t>
      </w:r>
    </w:p>
    <w:p w14:paraId="150BE6C0" w14:textId="624D5910" w:rsidR="00B247AA" w:rsidRDefault="00000000">
      <w:pPr>
        <w:pStyle w:val="CommentText"/>
      </w:pPr>
      <w:r w:rsidRPr="7EE23ABC">
        <w:rPr>
          <w:b/>
          <w:bCs/>
        </w:rPr>
        <w:t>Cost drivers</w:t>
      </w:r>
      <w:r w:rsidRPr="52A3C06A">
        <w:t> — token consumption (input/output, cached tokens), provisioned throughput units (PTUs), agent runtime invocations, tool calling, vector storage in AI Search, Cosmos DB RUs for thread storage, storage for files/embeddings, egress.</w:t>
      </w:r>
    </w:p>
    <w:p w14:paraId="249644D9" w14:textId="63FBDBAA" w:rsidR="00B247AA" w:rsidRDefault="00000000">
      <w:pPr>
        <w:pStyle w:val="CommentText"/>
      </w:pPr>
      <w:r w:rsidRPr="6E405086">
        <w:rPr>
          <w:b/>
          <w:bCs/>
        </w:rPr>
        <w:t>Tagging strategy</w:t>
      </w:r>
      <w:r w:rsidRPr="1D693B67">
        <w:t> — required Azure tags (costCenter, businessUnit, project, environment, owner) and how to enforce via Azure Policy. Critical because Foundry's child resources don't always inherit tags cleanly.</w:t>
      </w:r>
    </w:p>
    <w:p w14:paraId="13EB73B5" w14:textId="79083AD3" w:rsidR="00B247AA" w:rsidRDefault="00000000">
      <w:pPr>
        <w:pStyle w:val="CommentText"/>
      </w:pPr>
      <w:r w:rsidRPr="2AF9B8C3">
        <w:rPr>
          <w:b/>
          <w:bCs/>
        </w:rPr>
        <w:t>Showback/chargeback patterns</w:t>
      </w:r>
      <w:r w:rsidRPr="4C550AD7">
        <w:t> — segmentation by Foundry resource (department-level) vs. project (use-case level). Reference Microsoft Cost Management views and budgets.</w:t>
      </w:r>
    </w:p>
    <w:p w14:paraId="1C767D71" w14:textId="637ED783" w:rsidR="00B247AA" w:rsidRDefault="00000000">
      <w:pPr>
        <w:pStyle w:val="CommentText"/>
      </w:pPr>
      <w:r w:rsidRPr="41B8C690">
        <w:rPr>
          <w:b/>
          <w:bCs/>
        </w:rPr>
        <w:t>Standard vs. Provisioned deployment cost decisions</w:t>
      </w:r>
      <w:r w:rsidRPr="45DC1D29">
        <w:t> — when PTUs pay back, breakeven calculations, the role of model router and batch.</w:t>
      </w:r>
    </w:p>
    <w:p w14:paraId="0D5F46C6" w14:textId="53BA99BA" w:rsidR="00B247AA" w:rsidRDefault="00000000">
      <w:pPr>
        <w:pStyle w:val="CommentText"/>
      </w:pPr>
      <w:r w:rsidRPr="3CBF9F3A">
        <w:rPr>
          <w:b/>
          <w:bCs/>
        </w:rPr>
        <w:t>Quota &amp; TPM allocation</w:t>
      </w:r>
      <w:r w:rsidRPr="399C9811">
        <w:t> — guidance on how to slice TPM across teams when sharing a Foundry resource; the role of dynamic quota.</w:t>
      </w:r>
    </w:p>
    <w:p w14:paraId="52787044" w14:textId="3013EE6F" w:rsidR="00B247AA" w:rsidRDefault="00000000">
      <w:pPr>
        <w:pStyle w:val="CommentText"/>
      </w:pPr>
      <w:r w:rsidRPr="2A418566">
        <w:rPr>
          <w:b/>
          <w:bCs/>
        </w:rPr>
        <w:t>Cost guardrails</w:t>
      </w:r>
      <w:r w:rsidRPr="47F2F4C1">
        <w:t> — budget alerts, Azure Policy denials on expensive SKUs, APIM token-limit policies as a cost control (not just a rate-limit control).</w:t>
      </w:r>
    </w:p>
    <w:p w14:paraId="0D18835B" w14:textId="4DA4FAFD" w:rsidR="00B247AA" w:rsidRDefault="00000000">
      <w:pPr>
        <w:pStyle w:val="CommentText"/>
      </w:pPr>
      <w:r w:rsidRPr="28E9C589">
        <w:rPr>
          <w:b/>
          <w:bCs/>
        </w:rPr>
        <w:t>Tooling pointer</w:t>
      </w:r>
      <w:r w:rsidRPr="726CC7E4">
        <w:t> — Foundry's built-in usage dashboard + Cost Management + Log Analytics queries for token-by-user attribution.</w:t>
      </w:r>
    </w:p>
    <w:p w14:paraId="4676DFA4" w14:textId="4E6A661E" w:rsidR="00B247AA" w:rsidRDefault="00B247AA">
      <w:pPr>
        <w:pStyle w:val="CommentText"/>
      </w:pPr>
    </w:p>
  </w:comment>
  <w:comment w:id="26" w:author="Vlad Borys" w:date="2026-05-20T17:16:00Z" w:initials="VB">
    <w:p w14:paraId="35FB46F1" w14:textId="2E95C3AF" w:rsidR="00B247AA" w:rsidRDefault="00000000">
      <w:pPr>
        <w:pStyle w:val="CommentText"/>
      </w:pPr>
      <w:r>
        <w:rPr>
          <w:rStyle w:val="CommentReference"/>
        </w:rPr>
        <w:annotationRef/>
      </w:r>
      <w:r w:rsidRPr="513364F7">
        <w:t>Suggested content:</w:t>
      </w:r>
    </w:p>
    <w:p w14:paraId="09D4EC6A" w14:textId="423328C5" w:rsidR="00B247AA" w:rsidRDefault="00000000">
      <w:pPr>
        <w:pStyle w:val="CommentText"/>
      </w:pPr>
      <w:r w:rsidRPr="7EC0AF60">
        <w:rPr>
          <w:b/>
          <w:bCs/>
        </w:rPr>
        <w:t>Why an AI Gateway</w:t>
      </w:r>
      <w:r w:rsidRPr="6D86EA28">
        <w:t> — single ingress for auth, observability, rate/token limiting, semantic caching, model routing, PII redaction.</w:t>
      </w:r>
    </w:p>
    <w:p w14:paraId="0D9D3E38" w14:textId="598E6D2A" w:rsidR="00B247AA" w:rsidRDefault="00000000">
      <w:pPr>
        <w:pStyle w:val="CommentText"/>
      </w:pPr>
      <w:r w:rsidRPr="3EC35FE6">
        <w:rPr>
          <w:b/>
          <w:bCs/>
        </w:rPr>
        <w:t>APIM vs. AI Gateway feature (preview)</w:t>
      </w:r>
      <w:r w:rsidRPr="6225B8B1">
        <w:t> — the integration story you teased in the networking note. Clarify which to recommend today vs. roadmap.</w:t>
      </w:r>
    </w:p>
    <w:p w14:paraId="00C9C00C" w14:textId="253B88B8" w:rsidR="00B247AA" w:rsidRDefault="00000000">
      <w:pPr>
        <w:pStyle w:val="CommentText"/>
      </w:pPr>
      <w:r w:rsidRPr="1FFFB5B8">
        <w:rPr>
          <w:b/>
          <w:bCs/>
        </w:rPr>
        <w:t>Reference patterns</w:t>
      </w:r>
      <w:r w:rsidRPr="0020B796">
        <w:t> — (a) APIM in front of one Foundry resource, (b) APIM fronting multiple Foundry resources for cross-region failover or model load balancing, (c) APIM with token tracking emitted to Event Hubs/Log Analytics.</w:t>
      </w:r>
    </w:p>
    <w:p w14:paraId="037955CE" w14:textId="6FA2E7BB" w:rsidR="00B247AA" w:rsidRDefault="00000000">
      <w:pPr>
        <w:pStyle w:val="CommentText"/>
      </w:pPr>
      <w:r w:rsidRPr="6AF979F8">
        <w:rPr>
          <w:b/>
          <w:bCs/>
        </w:rPr>
        <w:t>Policy library</w:t>
      </w:r>
      <w:r w:rsidRPr="5030D432">
        <w:t> — token-limit, semantic-caching, llm-content-safety, emit-token-metric, llm-load-balancer. Link to the apim-genai-policies repo.</w:t>
      </w:r>
    </w:p>
    <w:p w14:paraId="2ABBB421" w14:textId="7D96AB75" w:rsidR="00B247AA" w:rsidRDefault="00000000">
      <w:pPr>
        <w:pStyle w:val="CommentText"/>
      </w:pPr>
      <w:r w:rsidRPr="76A9EEC1">
        <w:rPr>
          <w:b/>
          <w:bCs/>
        </w:rPr>
        <w:t>Auth at the gateway</w:t>
      </w:r>
      <w:r w:rsidRPr="2285BB37">
        <w:t> — Entra ID JWT validation, MI-to-Foundry on the backend, key vault for any remaining keys.</w:t>
      </w:r>
    </w:p>
    <w:p w14:paraId="3BAFC8AB" w14:textId="258E06E8" w:rsidR="00B247AA" w:rsidRDefault="00000000">
      <w:pPr>
        <w:pStyle w:val="CommentText"/>
      </w:pPr>
      <w:r w:rsidRPr="762EF009">
        <w:rPr>
          <w:b/>
          <w:bCs/>
        </w:rPr>
        <w:t>Caveats</w:t>
      </w:r>
      <w:r w:rsidRPr="602F5075">
        <w:t> — what APIM cannot intercept (Foundry portal traffic, direct SDK paths that bypass APIM) and how to enforce gateway-only access via network controls.</w:t>
      </w:r>
    </w:p>
    <w:p w14:paraId="5C863233" w14:textId="40296012" w:rsidR="00B247AA" w:rsidRDefault="00B247AA">
      <w:pPr>
        <w:pStyle w:val="CommentText"/>
      </w:pPr>
    </w:p>
  </w:comment>
  <w:comment w:id="28" w:author="Vlad Borys" w:date="2026-05-21T10:39:00Z" w:initials="VB">
    <w:p w14:paraId="56FD096A" w14:textId="3722DBB1" w:rsidR="00B247AA" w:rsidRDefault="00000000">
      <w:pPr>
        <w:pStyle w:val="CommentText"/>
      </w:pPr>
      <w:r>
        <w:rPr>
          <w:rStyle w:val="CommentReference"/>
        </w:rPr>
        <w:annotationRef/>
      </w:r>
      <w:r w:rsidRPr="3724947E">
        <w:t>Consider adding an example policy snippet (or a screenshot of the deny experience) so readers see what "users see model cards but can't deploy" looks like.</w:t>
      </w:r>
    </w:p>
  </w:comment>
  <w:comment w:id="30" w:author="Vlad Borys" w:date="2026-05-21T10:41:00Z" w:initials="VB">
    <w:p w14:paraId="64F2B6CC" w14:textId="0FA92C60" w:rsidR="00B247AA" w:rsidRDefault="00000000">
      <w:pPr>
        <w:pStyle w:val="CommentText"/>
      </w:pPr>
      <w:r>
        <w:rPr>
          <w:rStyle w:val="CommentReference"/>
        </w:rPr>
        <w:annotationRef/>
      </w:r>
      <w:r w:rsidRPr="1CC1CD75">
        <w:t>Consider adding one paragraph on </w:t>
      </w:r>
      <w:r w:rsidRPr="1A5E43C9">
        <w:rPr>
          <w:b/>
          <w:bCs/>
        </w:rPr>
        <w:t>OpenTelemetry export</w:t>
      </w:r>
      <w:r w:rsidRPr="255631C2">
        <w:t> to App Insights / 3rd-party APM (Datadog, Dynatrace, Splunk) </w:t>
      </w:r>
    </w:p>
  </w:comment>
  <w:comment w:id="29" w:author="Vlad Borys" w:date="2026-05-21T10:45:00Z" w:initials="VB">
    <w:p w14:paraId="44F6DDF8" w14:textId="36C89103" w:rsidR="00B247AA" w:rsidRDefault="00000000">
      <w:pPr>
        <w:pStyle w:val="CommentText"/>
      </w:pPr>
      <w:r>
        <w:rPr>
          <w:rStyle w:val="CommentReference"/>
        </w:rPr>
        <w:annotationRef/>
      </w:r>
      <w:r w:rsidRPr="798DD09F">
        <w:t>Add</w:t>
      </w:r>
      <w:r w:rsidRPr="4FFA2954">
        <w:rPr>
          <w:b/>
          <w:bCs/>
        </w:rPr>
        <w:t xml:space="preserve"> Responsible AI guardrails</w:t>
      </w:r>
      <w:r w:rsidRPr="5CA3F2AC">
        <w:t xml:space="preserve"> section to call out content safety filters, prompt shields, PII detection, jailbreak detection.</w:t>
      </w:r>
    </w:p>
    <w:p w14:paraId="70F93364" w14:textId="6B7073DF" w:rsidR="00B247AA" w:rsidRDefault="00B247AA">
      <w:pPr>
        <w:pStyle w:val="CommentText"/>
      </w:pPr>
    </w:p>
  </w:comment>
  <w:comment w:id="31" w:author="Vlad Borys" w:date="2026-05-21T10:48:00Z" w:initials="VB">
    <w:p w14:paraId="7796C572" w14:textId="2D6421A8" w:rsidR="00B247AA" w:rsidRDefault="00000000">
      <w:pPr>
        <w:pStyle w:val="CommentText"/>
      </w:pPr>
      <w:r>
        <w:rPr>
          <w:rStyle w:val="CommentReference"/>
        </w:rPr>
        <w:annotationRef/>
      </w:r>
      <w:r w:rsidRPr="4AD8E8B1">
        <w:t>Consider Adding Audit logging requirements -what's captured by default, what needs to be enabled, retention recommendations</w:t>
      </w:r>
    </w:p>
    <w:p w14:paraId="2FAA0B6A" w14:textId="7DA45FF2" w:rsidR="00B247AA" w:rsidRDefault="00B247A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3D61FD" w15:done="0"/>
  <w15:commentEx w15:paraId="7F2015F9" w15:done="1"/>
  <w15:commentEx w15:paraId="633C91A3" w15:done="1"/>
  <w15:commentEx w15:paraId="4D620EE0" w15:done="1"/>
  <w15:commentEx w15:paraId="079AF5DF" w15:done="1"/>
  <w15:commentEx w15:paraId="7EC5494F" w15:done="1"/>
  <w15:commentEx w15:paraId="734D4A45" w15:done="1"/>
  <w15:commentEx w15:paraId="4F309AA7" w15:done="1"/>
  <w15:commentEx w15:paraId="7BEAEFCE" w15:done="1"/>
  <w15:commentEx w15:paraId="37DB186F" w15:done="0"/>
  <w15:commentEx w15:paraId="49844E45" w15:paraIdParent="37DB186F" w15:done="0"/>
  <w15:commentEx w15:paraId="2A39C512" w15:paraIdParent="37DB186F" w15:done="0"/>
  <w15:commentEx w15:paraId="2C04ACAE" w15:done="1"/>
  <w15:commentEx w15:paraId="5011C5AD" w15:done="1"/>
  <w15:commentEx w15:paraId="4DD8A119" w15:done="0"/>
  <w15:commentEx w15:paraId="3F1DCEB0" w15:paraIdParent="4DD8A119" w15:done="0"/>
  <w15:commentEx w15:paraId="602597DD" w15:done="1"/>
  <w15:commentEx w15:paraId="5ECD2DC8" w15:done="0"/>
  <w15:commentEx w15:paraId="6D9D4BE8" w15:done="1"/>
  <w15:commentEx w15:paraId="56ABC7F1" w15:done="1"/>
  <w15:commentEx w15:paraId="7281DA03" w15:paraIdParent="56ABC7F1" w15:done="1"/>
  <w15:commentEx w15:paraId="7346B913" w15:done="0"/>
  <w15:commentEx w15:paraId="17AE635C" w15:done="1"/>
  <w15:commentEx w15:paraId="25E58B30" w15:done="0"/>
  <w15:commentEx w15:paraId="4676DFA4" w15:done="0"/>
  <w15:commentEx w15:paraId="5C863233" w15:done="0"/>
  <w15:commentEx w15:paraId="56FD096A" w15:done="0"/>
  <w15:commentEx w15:paraId="64F2B6CC" w15:done="0"/>
  <w15:commentEx w15:paraId="70F93364" w15:done="0"/>
  <w15:commentEx w15:paraId="2FAA0B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F5E108" w16cex:dateUtc="2026-05-21T17:49:00Z"/>
  <w16cex:commentExtensible w16cex:durableId="0213C52F" w16cex:dateUtc="2026-05-19T14:18:00Z">
    <w16cex:extLst>
      <w16:ext w16:uri="{CE6994B0-6A32-4C9F-8C6B-6E91EDA988CE}">
        <cr:reactions xmlns:cr="http://schemas.microsoft.com/office/comments/2020/reactions">
          <cr:reaction reactionType="1">
            <cr:reactionInfo dateUtc="2026-05-26T14:51:34Z">
              <cr:user userId="S::alrui@microsoft.com::b88e91c6-7de6-4c30-85de-a154b25cbc54" userProvider="AD" userName="Alex Ruiz"/>
            </cr:reactionInfo>
          </cr:reaction>
        </cr:reactions>
      </w16:ext>
    </w16cex:extLst>
  </w16cex:commentExtensible>
  <w16cex:commentExtensible w16cex:durableId="0FE8C190" w16cex:dateUtc="2026-05-19T14:20:00Z">
    <w16cex:extLst>
      <w16:ext w16:uri="{CE6994B0-6A32-4C9F-8C6B-6E91EDA988CE}">
        <cr:reactions xmlns:cr="http://schemas.microsoft.com/office/comments/2020/reactions">
          <cr:reaction reactionType="1">
            <cr:reactionInfo dateUtc="2026-05-26T14:52:18Z">
              <cr:user userId="S::alrui@microsoft.com::b88e91c6-7de6-4c30-85de-a154b25cbc54" userProvider="AD" userName="Alex Ruiz"/>
            </cr:reactionInfo>
          </cr:reaction>
        </cr:reactions>
      </w16:ext>
    </w16cex:extLst>
  </w16cex:commentExtensible>
  <w16cex:commentExtensible w16cex:durableId="3A276CA2" w16cex:dateUtc="2026-05-19T14:07:00Z"/>
  <w16cex:commentExtensible w16cex:durableId="445927B0" w16cex:dateUtc="2026-05-19T14:21:00Z"/>
  <w16cex:commentExtensible w16cex:durableId="7439AA17" w16cex:dateUtc="2026-05-19T14:08:00Z"/>
  <w16cex:commentExtensible w16cex:durableId="7FC114A9" w16cex:dateUtc="2026-05-19T14:23:00Z"/>
  <w16cex:commentExtensible w16cex:durableId="60500AAC" w16cex:dateUtc="2026-05-21T00:06:00Z"/>
  <w16cex:commentExtensible w16cex:durableId="690AA2F2" w16cex:dateUtc="2026-05-21T15:38:00Z"/>
  <w16cex:commentExtensible w16cex:durableId="74B8CB00" w16cex:dateUtc="2026-05-21T15:42:00Z"/>
  <w16cex:commentExtensible w16cex:durableId="40171CDE" w16cex:dateUtc="2026-05-26T15:09:00Z"/>
  <w16cex:commentExtensible w16cex:durableId="2B72EC45" w16cex:dateUtc="2026-05-26T15:10:00Z"/>
  <w16cex:commentExtensible w16cex:durableId="172CBCAA" w16cex:dateUtc="2026-05-19T14:08:00Z"/>
  <w16cex:commentExtensible w16cex:durableId="2B25CA1D" w16cex:dateUtc="2026-05-19T14:09:00Z"/>
  <w16cex:commentExtensible w16cex:durableId="1539909E" w16cex:dateUtc="2026-05-21T17:24:00Z"/>
  <w16cex:commentExtensible w16cex:durableId="303C8E6A" w16cex:dateUtc="2026-05-26T15:04:00Z"/>
  <w16cex:commentExtensible w16cex:durableId="1259566A" w16cex:dateUtc="2026-05-19T14:09:00Z"/>
  <w16cex:commentExtensible w16cex:durableId="3DB56001" w16cex:dateUtc="2026-05-21T17:25:00Z"/>
  <w16cex:commentExtensible w16cex:durableId="349C1E45" w16cex:dateUtc="2026-05-19T14:24:00Z"/>
  <w16cex:commentExtensible w16cex:durableId="734E0736" w16cex:dateUtc="2026-05-21T17:17:00Z"/>
  <w16cex:commentExtensible w16cex:durableId="2AF3D5CF" w16cex:dateUtc="2026-05-26T15:05:00Z"/>
  <w16cex:commentExtensible w16cex:durableId="5C4D7240" w16cex:dateUtc="2026-05-21T17:30:00Z"/>
  <w16cex:commentExtensible w16cex:durableId="10C48F3E" w16cex:dateUtc="2026-05-19T14:10:00Z"/>
  <w16cex:commentExtensible w16cex:durableId="31B4A6F8" w16cex:dateUtc="2026-05-21T00:14:00Z"/>
  <w16cex:commentExtensible w16cex:durableId="6C0D886D" w16cex:dateUtc="2026-05-21T00:15:00Z"/>
  <w16cex:commentExtensible w16cex:durableId="04F114C4" w16cex:dateUtc="2026-05-21T00:16:00Z"/>
  <w16cex:commentExtensible w16cex:durableId="10F1935E" w16cex:dateUtc="2026-05-21T17:39:00Z"/>
  <w16cex:commentExtensible w16cex:durableId="47D2D2E3" w16cex:dateUtc="2026-05-21T17:41:00Z"/>
  <w16cex:commentExtensible w16cex:durableId="242850F3" w16cex:dateUtc="2026-05-21T17:45:00Z"/>
  <w16cex:commentExtensible w16cex:durableId="4EB901DF" w16cex:dateUtc="2026-05-21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D61FD" w16cid:durableId="21F5E108"/>
  <w16cid:commentId w16cid:paraId="7F2015F9" w16cid:durableId="0213C52F"/>
  <w16cid:commentId w16cid:paraId="633C91A3" w16cid:durableId="0FE8C190"/>
  <w16cid:commentId w16cid:paraId="4D620EE0" w16cid:durableId="3A276CA2"/>
  <w16cid:commentId w16cid:paraId="079AF5DF" w16cid:durableId="445927B0"/>
  <w16cid:commentId w16cid:paraId="7EC5494F" w16cid:durableId="7439AA17"/>
  <w16cid:commentId w16cid:paraId="734D4A45" w16cid:durableId="7FC114A9"/>
  <w16cid:commentId w16cid:paraId="4F309AA7" w16cid:durableId="60500AAC"/>
  <w16cid:commentId w16cid:paraId="7BEAEFCE" w16cid:durableId="690AA2F2"/>
  <w16cid:commentId w16cid:paraId="37DB186F" w16cid:durableId="74B8CB00"/>
  <w16cid:commentId w16cid:paraId="49844E45" w16cid:durableId="40171CDE"/>
  <w16cid:commentId w16cid:paraId="2A39C512" w16cid:durableId="2B72EC45"/>
  <w16cid:commentId w16cid:paraId="2C04ACAE" w16cid:durableId="172CBCAA"/>
  <w16cid:commentId w16cid:paraId="5011C5AD" w16cid:durableId="2B25CA1D"/>
  <w16cid:commentId w16cid:paraId="4DD8A119" w16cid:durableId="1539909E"/>
  <w16cid:commentId w16cid:paraId="3F1DCEB0" w16cid:durableId="303C8E6A"/>
  <w16cid:commentId w16cid:paraId="602597DD" w16cid:durableId="1259566A"/>
  <w16cid:commentId w16cid:paraId="5ECD2DC8" w16cid:durableId="3DB56001"/>
  <w16cid:commentId w16cid:paraId="6D9D4BE8" w16cid:durableId="349C1E45"/>
  <w16cid:commentId w16cid:paraId="56ABC7F1" w16cid:durableId="734E0736"/>
  <w16cid:commentId w16cid:paraId="7281DA03" w16cid:durableId="2AF3D5CF"/>
  <w16cid:commentId w16cid:paraId="7346B913" w16cid:durableId="5C4D7240"/>
  <w16cid:commentId w16cid:paraId="17AE635C" w16cid:durableId="10C48F3E"/>
  <w16cid:commentId w16cid:paraId="25E58B30" w16cid:durableId="31B4A6F8"/>
  <w16cid:commentId w16cid:paraId="4676DFA4" w16cid:durableId="6C0D886D"/>
  <w16cid:commentId w16cid:paraId="5C863233" w16cid:durableId="04F114C4"/>
  <w16cid:commentId w16cid:paraId="56FD096A" w16cid:durableId="10F1935E"/>
  <w16cid:commentId w16cid:paraId="64F2B6CC" w16cid:durableId="47D2D2E3"/>
  <w16cid:commentId w16cid:paraId="70F93364" w16cid:durableId="242850F3"/>
  <w16cid:commentId w16cid:paraId="2FAA0B6A" w16cid:durableId="4EB901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018"/>
    <w:multiLevelType w:val="hybridMultilevel"/>
    <w:tmpl w:val="F9C21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14E7D"/>
    <w:multiLevelType w:val="multilevel"/>
    <w:tmpl w:val="44E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A4854"/>
    <w:multiLevelType w:val="multilevel"/>
    <w:tmpl w:val="0388D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7A89"/>
    <w:multiLevelType w:val="hybridMultilevel"/>
    <w:tmpl w:val="631A46B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65319"/>
    <w:multiLevelType w:val="hybridMultilevel"/>
    <w:tmpl w:val="3D9C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46F4E"/>
    <w:multiLevelType w:val="hybridMultilevel"/>
    <w:tmpl w:val="96AC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D1CE5"/>
    <w:multiLevelType w:val="multilevel"/>
    <w:tmpl w:val="44E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7077D"/>
    <w:multiLevelType w:val="hybridMultilevel"/>
    <w:tmpl w:val="FA460C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36E078BE"/>
    <w:multiLevelType w:val="hybridMultilevel"/>
    <w:tmpl w:val="D38C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DD2FDD"/>
    <w:multiLevelType w:val="hybridMultilevel"/>
    <w:tmpl w:val="FF78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278C2"/>
    <w:multiLevelType w:val="hybridMultilevel"/>
    <w:tmpl w:val="3966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4A3F86"/>
    <w:multiLevelType w:val="multilevel"/>
    <w:tmpl w:val="44E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750E3"/>
    <w:multiLevelType w:val="multilevel"/>
    <w:tmpl w:val="E4A08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49961087">
    <w:abstractNumId w:val="6"/>
  </w:num>
  <w:num w:numId="2" w16cid:durableId="1268806674">
    <w:abstractNumId w:val="2"/>
  </w:num>
  <w:num w:numId="3" w16cid:durableId="1591501904">
    <w:abstractNumId w:val="4"/>
  </w:num>
  <w:num w:numId="4" w16cid:durableId="1730881047">
    <w:abstractNumId w:val="1"/>
  </w:num>
  <w:num w:numId="5" w16cid:durableId="2035618999">
    <w:abstractNumId w:val="11"/>
  </w:num>
  <w:num w:numId="6" w16cid:durableId="2094618570">
    <w:abstractNumId w:val="7"/>
  </w:num>
  <w:num w:numId="7" w16cid:durableId="210119905">
    <w:abstractNumId w:val="0"/>
  </w:num>
  <w:num w:numId="8" w16cid:durableId="690381237">
    <w:abstractNumId w:val="8"/>
  </w:num>
  <w:num w:numId="9" w16cid:durableId="708992739">
    <w:abstractNumId w:val="12"/>
  </w:num>
  <w:num w:numId="10" w16cid:durableId="79448275">
    <w:abstractNumId w:val="10"/>
  </w:num>
  <w:num w:numId="11" w16cid:durableId="928149715">
    <w:abstractNumId w:val="3"/>
  </w:num>
  <w:num w:numId="12" w16cid:durableId="943654987">
    <w:abstractNumId w:val="9"/>
  </w:num>
  <w:num w:numId="13" w16cid:durableId="1724984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 Borys">
    <w15:presenceInfo w15:providerId="AD" w15:userId="S::vladborys@microsoft.com::edf16706-0f8f-482d-af43-84982cd3e812"/>
  </w15:person>
  <w15:person w15:author="Ali Al Massaeed">
    <w15:presenceInfo w15:providerId="AD" w15:userId="S::aalmassaeed@microsoft.com::10b2cc0d-a55b-4921-9f4f-e1693690a20f"/>
  </w15:person>
  <w15:person w15:author="Alex Ruiz">
    <w15:presenceInfo w15:providerId="AD" w15:userId="S::alrui@microsoft.com::b88e91c6-7de6-4c30-85de-a154b25cbc54"/>
  </w15:person>
  <w15:person w15:author="Ha Duong">
    <w15:presenceInfo w15:providerId="AD" w15:userId="S::haduong@microsoft.com::848248b6-8c4a-4e1c-8e94-573a5c3fad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9F"/>
    <w:rsid w:val="000202F8"/>
    <w:rsid w:val="00027906"/>
    <w:rsid w:val="000305EF"/>
    <w:rsid w:val="000324FC"/>
    <w:rsid w:val="000479A8"/>
    <w:rsid w:val="00075036"/>
    <w:rsid w:val="000952AA"/>
    <w:rsid w:val="000A2ABE"/>
    <w:rsid w:val="000A49A3"/>
    <w:rsid w:val="000A5328"/>
    <w:rsid w:val="000B33E7"/>
    <w:rsid w:val="000C5BDD"/>
    <w:rsid w:val="000D4FE3"/>
    <w:rsid w:val="000E5B5C"/>
    <w:rsid w:val="000F0D0E"/>
    <w:rsid w:val="00104F49"/>
    <w:rsid w:val="00126BF3"/>
    <w:rsid w:val="00127300"/>
    <w:rsid w:val="00171B81"/>
    <w:rsid w:val="00173C1D"/>
    <w:rsid w:val="00181884"/>
    <w:rsid w:val="001B494B"/>
    <w:rsid w:val="001C659E"/>
    <w:rsid w:val="001D78A6"/>
    <w:rsid w:val="001F432C"/>
    <w:rsid w:val="0020277F"/>
    <w:rsid w:val="0022186B"/>
    <w:rsid w:val="00222C33"/>
    <w:rsid w:val="00286994"/>
    <w:rsid w:val="00290564"/>
    <w:rsid w:val="002B0A32"/>
    <w:rsid w:val="002B32EB"/>
    <w:rsid w:val="00305557"/>
    <w:rsid w:val="003301A4"/>
    <w:rsid w:val="0034297C"/>
    <w:rsid w:val="00347FC1"/>
    <w:rsid w:val="00380E6D"/>
    <w:rsid w:val="00382C09"/>
    <w:rsid w:val="003A6E69"/>
    <w:rsid w:val="003E2927"/>
    <w:rsid w:val="00403DC9"/>
    <w:rsid w:val="00412B6B"/>
    <w:rsid w:val="00424440"/>
    <w:rsid w:val="00426D80"/>
    <w:rsid w:val="00433879"/>
    <w:rsid w:val="00441DF7"/>
    <w:rsid w:val="00444D70"/>
    <w:rsid w:val="00477B55"/>
    <w:rsid w:val="00484D12"/>
    <w:rsid w:val="00490DDA"/>
    <w:rsid w:val="0049659C"/>
    <w:rsid w:val="004C3A36"/>
    <w:rsid w:val="004F0DFB"/>
    <w:rsid w:val="0050533C"/>
    <w:rsid w:val="00550816"/>
    <w:rsid w:val="0056759F"/>
    <w:rsid w:val="005701FC"/>
    <w:rsid w:val="00570499"/>
    <w:rsid w:val="0057558B"/>
    <w:rsid w:val="00594F3D"/>
    <w:rsid w:val="005A6421"/>
    <w:rsid w:val="005A68EC"/>
    <w:rsid w:val="005D2E5B"/>
    <w:rsid w:val="005D3400"/>
    <w:rsid w:val="005D5986"/>
    <w:rsid w:val="00604DD8"/>
    <w:rsid w:val="0062058B"/>
    <w:rsid w:val="006410FE"/>
    <w:rsid w:val="00682B01"/>
    <w:rsid w:val="0068602D"/>
    <w:rsid w:val="0068734C"/>
    <w:rsid w:val="006903F6"/>
    <w:rsid w:val="0069354D"/>
    <w:rsid w:val="00693742"/>
    <w:rsid w:val="006A2936"/>
    <w:rsid w:val="006F469B"/>
    <w:rsid w:val="00704956"/>
    <w:rsid w:val="00714691"/>
    <w:rsid w:val="00714E76"/>
    <w:rsid w:val="00744EE5"/>
    <w:rsid w:val="00745AD7"/>
    <w:rsid w:val="00773FFA"/>
    <w:rsid w:val="00783052"/>
    <w:rsid w:val="00796144"/>
    <w:rsid w:val="007A495E"/>
    <w:rsid w:val="007A67DF"/>
    <w:rsid w:val="007B3DB1"/>
    <w:rsid w:val="007C7ED6"/>
    <w:rsid w:val="007E7E47"/>
    <w:rsid w:val="007F13BB"/>
    <w:rsid w:val="00806BD6"/>
    <w:rsid w:val="008076A0"/>
    <w:rsid w:val="0082541B"/>
    <w:rsid w:val="008345F9"/>
    <w:rsid w:val="00873DC3"/>
    <w:rsid w:val="008772DC"/>
    <w:rsid w:val="00891364"/>
    <w:rsid w:val="008A0FE3"/>
    <w:rsid w:val="008A14EE"/>
    <w:rsid w:val="008D3B77"/>
    <w:rsid w:val="008E11DB"/>
    <w:rsid w:val="00900C92"/>
    <w:rsid w:val="00926C90"/>
    <w:rsid w:val="00931AAC"/>
    <w:rsid w:val="00987557"/>
    <w:rsid w:val="009877E8"/>
    <w:rsid w:val="009A7624"/>
    <w:rsid w:val="009B15FD"/>
    <w:rsid w:val="009C337D"/>
    <w:rsid w:val="009D463F"/>
    <w:rsid w:val="009F456E"/>
    <w:rsid w:val="00A162DB"/>
    <w:rsid w:val="00A16AA8"/>
    <w:rsid w:val="00A32E98"/>
    <w:rsid w:val="00A33CB9"/>
    <w:rsid w:val="00A408B5"/>
    <w:rsid w:val="00A4394F"/>
    <w:rsid w:val="00A44A40"/>
    <w:rsid w:val="00A62EF2"/>
    <w:rsid w:val="00A67CE8"/>
    <w:rsid w:val="00A821A5"/>
    <w:rsid w:val="00A841F2"/>
    <w:rsid w:val="00A96068"/>
    <w:rsid w:val="00AA5ED8"/>
    <w:rsid w:val="00AD3B72"/>
    <w:rsid w:val="00B103DF"/>
    <w:rsid w:val="00B124F1"/>
    <w:rsid w:val="00B247AA"/>
    <w:rsid w:val="00B40F78"/>
    <w:rsid w:val="00B42F05"/>
    <w:rsid w:val="00B449BA"/>
    <w:rsid w:val="00B527AB"/>
    <w:rsid w:val="00B70617"/>
    <w:rsid w:val="00B74232"/>
    <w:rsid w:val="00B953AA"/>
    <w:rsid w:val="00BA6B07"/>
    <w:rsid w:val="00BA6C2D"/>
    <w:rsid w:val="00BB3D76"/>
    <w:rsid w:val="00BB5A0B"/>
    <w:rsid w:val="00BE1C90"/>
    <w:rsid w:val="00BF079B"/>
    <w:rsid w:val="00BF59D1"/>
    <w:rsid w:val="00C45067"/>
    <w:rsid w:val="00C57825"/>
    <w:rsid w:val="00C7622D"/>
    <w:rsid w:val="00C9549D"/>
    <w:rsid w:val="00CA1C79"/>
    <w:rsid w:val="00CA2572"/>
    <w:rsid w:val="00CA398F"/>
    <w:rsid w:val="00CA42B9"/>
    <w:rsid w:val="00CB004B"/>
    <w:rsid w:val="00CB13AC"/>
    <w:rsid w:val="00D03F50"/>
    <w:rsid w:val="00D35E1A"/>
    <w:rsid w:val="00D638C0"/>
    <w:rsid w:val="00D86FDD"/>
    <w:rsid w:val="00D92E2A"/>
    <w:rsid w:val="00D93B40"/>
    <w:rsid w:val="00DA10D0"/>
    <w:rsid w:val="00DD579E"/>
    <w:rsid w:val="00DD779A"/>
    <w:rsid w:val="00DF4013"/>
    <w:rsid w:val="00E0358B"/>
    <w:rsid w:val="00E23410"/>
    <w:rsid w:val="00E27877"/>
    <w:rsid w:val="00E31E60"/>
    <w:rsid w:val="00E42708"/>
    <w:rsid w:val="00E537B5"/>
    <w:rsid w:val="00E57CBD"/>
    <w:rsid w:val="00E65F2E"/>
    <w:rsid w:val="00E74CFE"/>
    <w:rsid w:val="00E83404"/>
    <w:rsid w:val="00EA0090"/>
    <w:rsid w:val="00EA5F0E"/>
    <w:rsid w:val="00EB5876"/>
    <w:rsid w:val="00EB5D43"/>
    <w:rsid w:val="00ED0455"/>
    <w:rsid w:val="00EE6CCC"/>
    <w:rsid w:val="00EF6F26"/>
    <w:rsid w:val="00F0488E"/>
    <w:rsid w:val="00F1619B"/>
    <w:rsid w:val="00F57152"/>
    <w:rsid w:val="00F615F3"/>
    <w:rsid w:val="00F70CA5"/>
    <w:rsid w:val="00F767C0"/>
    <w:rsid w:val="00FB4F64"/>
    <w:rsid w:val="00FD0C51"/>
    <w:rsid w:val="00FE1CBF"/>
    <w:rsid w:val="00FF5B7B"/>
    <w:rsid w:val="028A6935"/>
    <w:rsid w:val="03073202"/>
    <w:rsid w:val="04866368"/>
    <w:rsid w:val="05926871"/>
    <w:rsid w:val="09833D62"/>
    <w:rsid w:val="0B5ED9D8"/>
    <w:rsid w:val="0D99AA19"/>
    <w:rsid w:val="0DD7FB72"/>
    <w:rsid w:val="1057C560"/>
    <w:rsid w:val="108ECF75"/>
    <w:rsid w:val="160DBDF5"/>
    <w:rsid w:val="17323A63"/>
    <w:rsid w:val="18219ACF"/>
    <w:rsid w:val="1CEF8FBA"/>
    <w:rsid w:val="27318C19"/>
    <w:rsid w:val="2863AB59"/>
    <w:rsid w:val="2B7CDE9E"/>
    <w:rsid w:val="2F50081F"/>
    <w:rsid w:val="2FBC1972"/>
    <w:rsid w:val="32AF885D"/>
    <w:rsid w:val="356F6402"/>
    <w:rsid w:val="394BB6F8"/>
    <w:rsid w:val="3C52A9DD"/>
    <w:rsid w:val="4838888D"/>
    <w:rsid w:val="4B3C19E6"/>
    <w:rsid w:val="4F666109"/>
    <w:rsid w:val="5757A8FE"/>
    <w:rsid w:val="5B4F21A8"/>
    <w:rsid w:val="5CED7263"/>
    <w:rsid w:val="60052943"/>
    <w:rsid w:val="62E493A6"/>
    <w:rsid w:val="632B4498"/>
    <w:rsid w:val="63448258"/>
    <w:rsid w:val="63DB188F"/>
    <w:rsid w:val="6430DAEA"/>
    <w:rsid w:val="643F7883"/>
    <w:rsid w:val="65C3716A"/>
    <w:rsid w:val="67361397"/>
    <w:rsid w:val="683E46C0"/>
    <w:rsid w:val="69D9A2BD"/>
    <w:rsid w:val="6FE1E07B"/>
    <w:rsid w:val="71276A64"/>
    <w:rsid w:val="738C5A5D"/>
    <w:rsid w:val="78A0CC1C"/>
    <w:rsid w:val="79E6D932"/>
    <w:rsid w:val="7A2E0AA3"/>
    <w:rsid w:val="7ABA4B7F"/>
    <w:rsid w:val="7DE35AD8"/>
    <w:rsid w:val="7E8E46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FDD4"/>
  <w15:chartTrackingRefBased/>
  <w15:docId w15:val="{D1EC809A-974A-4EBF-B6F2-A3EE03CB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AB"/>
  </w:style>
  <w:style w:type="paragraph" w:styleId="Heading1">
    <w:name w:val="heading 1"/>
    <w:basedOn w:val="Normal"/>
    <w:next w:val="Normal"/>
    <w:link w:val="Heading1Char"/>
    <w:uiPriority w:val="9"/>
    <w:qFormat/>
    <w:rsid w:val="0056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9F"/>
    <w:rPr>
      <w:rFonts w:eastAsiaTheme="majorEastAsia" w:cstheme="majorBidi"/>
      <w:color w:val="272727" w:themeColor="text1" w:themeTint="D8"/>
    </w:rPr>
  </w:style>
  <w:style w:type="paragraph" w:styleId="Title">
    <w:name w:val="Title"/>
    <w:basedOn w:val="Normal"/>
    <w:next w:val="Normal"/>
    <w:link w:val="TitleChar"/>
    <w:uiPriority w:val="10"/>
    <w:qFormat/>
    <w:rsid w:val="0056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9F"/>
    <w:pPr>
      <w:spacing w:before="160"/>
      <w:jc w:val="center"/>
    </w:pPr>
    <w:rPr>
      <w:i/>
      <w:iCs/>
      <w:color w:val="404040" w:themeColor="text1" w:themeTint="BF"/>
    </w:rPr>
  </w:style>
  <w:style w:type="character" w:customStyle="1" w:styleId="QuoteChar">
    <w:name w:val="Quote Char"/>
    <w:basedOn w:val="DefaultParagraphFont"/>
    <w:link w:val="Quote"/>
    <w:uiPriority w:val="29"/>
    <w:rsid w:val="0056759F"/>
    <w:rPr>
      <w:i/>
      <w:iCs/>
      <w:color w:val="404040" w:themeColor="text1" w:themeTint="BF"/>
    </w:rPr>
  </w:style>
  <w:style w:type="paragraph" w:styleId="ListParagraph">
    <w:name w:val="List Paragraph"/>
    <w:basedOn w:val="Normal"/>
    <w:uiPriority w:val="34"/>
    <w:qFormat/>
    <w:rsid w:val="0056759F"/>
    <w:pPr>
      <w:ind w:left="720"/>
      <w:contextualSpacing/>
    </w:pPr>
  </w:style>
  <w:style w:type="character" w:styleId="IntenseEmphasis">
    <w:name w:val="Intense Emphasis"/>
    <w:basedOn w:val="DefaultParagraphFont"/>
    <w:uiPriority w:val="21"/>
    <w:qFormat/>
    <w:rsid w:val="0056759F"/>
    <w:rPr>
      <w:i/>
      <w:iCs/>
      <w:color w:val="0F4761" w:themeColor="accent1" w:themeShade="BF"/>
    </w:rPr>
  </w:style>
  <w:style w:type="paragraph" w:styleId="IntenseQuote">
    <w:name w:val="Intense Quote"/>
    <w:basedOn w:val="Normal"/>
    <w:next w:val="Normal"/>
    <w:link w:val="IntenseQuoteChar"/>
    <w:uiPriority w:val="30"/>
    <w:qFormat/>
    <w:rsid w:val="0056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9F"/>
    <w:rPr>
      <w:i/>
      <w:iCs/>
      <w:color w:val="0F4761" w:themeColor="accent1" w:themeShade="BF"/>
    </w:rPr>
  </w:style>
  <w:style w:type="character" w:styleId="IntenseReference">
    <w:name w:val="Intense Reference"/>
    <w:basedOn w:val="DefaultParagraphFont"/>
    <w:uiPriority w:val="32"/>
    <w:qFormat/>
    <w:rsid w:val="0056759F"/>
    <w:rPr>
      <w:b/>
      <w:bCs/>
      <w:smallCaps/>
      <w:color w:val="0F4761" w:themeColor="accent1" w:themeShade="BF"/>
      <w:spacing w:val="5"/>
    </w:rPr>
  </w:style>
  <w:style w:type="character" w:styleId="Hyperlink">
    <w:name w:val="Hyperlink"/>
    <w:basedOn w:val="DefaultParagraphFont"/>
    <w:uiPriority w:val="99"/>
    <w:unhideWhenUsed/>
    <w:rsid w:val="0056759F"/>
    <w:rPr>
      <w:color w:val="467886" w:themeColor="hyperlink"/>
      <w:u w:val="single"/>
    </w:rPr>
  </w:style>
  <w:style w:type="table" w:styleId="TableGrid">
    <w:name w:val="Table Grid"/>
    <w:basedOn w:val="TableNormal"/>
    <w:uiPriority w:val="39"/>
    <w:rsid w:val="0056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4F3D"/>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103DF"/>
    <w:rPr>
      <w:b/>
      <w:bCs/>
    </w:rPr>
  </w:style>
  <w:style w:type="character" w:customStyle="1" w:styleId="CommentSubjectChar">
    <w:name w:val="Comment Subject Char"/>
    <w:basedOn w:val="CommentTextChar"/>
    <w:link w:val="CommentSubject"/>
    <w:uiPriority w:val="99"/>
    <w:semiHidden/>
    <w:rsid w:val="00B103DF"/>
    <w:rPr>
      <w:b/>
      <w:bCs/>
      <w:sz w:val="20"/>
      <w:szCs w:val="20"/>
    </w:rPr>
  </w:style>
  <w:style w:type="paragraph" w:styleId="Revision">
    <w:name w:val="Revision"/>
    <w:hidden/>
    <w:uiPriority w:val="99"/>
    <w:semiHidden/>
    <w:rsid w:val="00104F49"/>
    <w:pPr>
      <w:spacing w:after="0" w:line="240" w:lineRule="auto"/>
    </w:pPr>
  </w:style>
  <w:style w:type="character" w:styleId="BookTitle">
    <w:name w:val="Book Title"/>
    <w:basedOn w:val="DefaultParagraphFont"/>
    <w:uiPriority w:val="33"/>
    <w:qFormat/>
    <w:rsid w:val="00104F49"/>
    <w:rPr>
      <w:b/>
      <w:bCs/>
      <w:i/>
      <w:iCs/>
      <w:spacing w:val="5"/>
    </w:rPr>
  </w:style>
  <w:style w:type="paragraph" w:styleId="Caption">
    <w:name w:val="caption"/>
    <w:basedOn w:val="Normal"/>
    <w:next w:val="Normal"/>
    <w:uiPriority w:val="35"/>
    <w:semiHidden/>
    <w:unhideWhenUsed/>
    <w:qFormat/>
    <w:rsid w:val="00104F49"/>
    <w:pPr>
      <w:spacing w:after="200" w:line="240" w:lineRule="auto"/>
    </w:pPr>
    <w:rPr>
      <w:i/>
      <w:iCs/>
      <w:color w:val="0E2841" w:themeColor="text2"/>
      <w:sz w:val="18"/>
      <w:szCs w:val="18"/>
    </w:rPr>
  </w:style>
  <w:style w:type="character" w:styleId="Emphasis">
    <w:name w:val="Emphasis"/>
    <w:basedOn w:val="DefaultParagraphFont"/>
    <w:uiPriority w:val="20"/>
    <w:qFormat/>
    <w:rsid w:val="00104F49"/>
    <w:rPr>
      <w:i/>
      <w:iCs/>
    </w:rPr>
  </w:style>
  <w:style w:type="paragraph" w:styleId="NoSpacing">
    <w:name w:val="No Spacing"/>
    <w:uiPriority w:val="1"/>
    <w:qFormat/>
    <w:rsid w:val="00104F49"/>
    <w:pPr>
      <w:spacing w:after="0" w:line="240" w:lineRule="auto"/>
    </w:pPr>
  </w:style>
  <w:style w:type="character" w:styleId="Strong">
    <w:name w:val="Strong"/>
    <w:basedOn w:val="DefaultParagraphFont"/>
    <w:uiPriority w:val="22"/>
    <w:qFormat/>
    <w:rsid w:val="00104F49"/>
    <w:rPr>
      <w:b/>
      <w:bCs/>
    </w:rPr>
  </w:style>
  <w:style w:type="character" w:styleId="SubtleEmphasis">
    <w:name w:val="Subtle Emphasis"/>
    <w:basedOn w:val="DefaultParagraphFont"/>
    <w:uiPriority w:val="19"/>
    <w:qFormat/>
    <w:rsid w:val="00104F49"/>
    <w:rPr>
      <w:i/>
      <w:iCs/>
      <w:color w:val="404040" w:themeColor="text1" w:themeTint="BF"/>
    </w:rPr>
  </w:style>
  <w:style w:type="character" w:styleId="SubtleReference">
    <w:name w:val="Subtle Reference"/>
    <w:basedOn w:val="DefaultParagraphFont"/>
    <w:uiPriority w:val="31"/>
    <w:qFormat/>
    <w:rsid w:val="00104F49"/>
    <w:rPr>
      <w:smallCaps/>
      <w:color w:val="5A5A5A" w:themeColor="text1" w:themeTint="A5"/>
    </w:rPr>
  </w:style>
  <w:style w:type="paragraph" w:styleId="TOCHeading">
    <w:name w:val="TOC Heading"/>
    <w:basedOn w:val="Heading1"/>
    <w:next w:val="Normal"/>
    <w:uiPriority w:val="39"/>
    <w:semiHidden/>
    <w:unhideWhenUsed/>
    <w:qFormat/>
    <w:rsid w:val="00104F49"/>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earn.microsoft.com/en-us/azure/foundry/configuration/enable-ai-api-management-gateway-porta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foundry/agents/concepts/development-lifecycle" TargetMode="External"/><Relationship Id="rId18" Type="http://schemas.openxmlformats.org/officeDocument/2006/relationships/hyperlink" Target="https://learn.microsoft.com/en-us/azure/foundry/how-to/connections-add?tabs=foundry-portal" TargetMode="External"/><Relationship Id="rId26" Type="http://schemas.openxmlformats.org/officeDocument/2006/relationships/hyperlink" Target="https://github.com/microsoft-foundry/foundry-samples/tree/main/infrastructure/infrastructure-setup-bicep/15-private-network-standard-agent-setup" TargetMode="External"/><Relationship Id="rId39" Type="http://schemas.openxmlformats.org/officeDocument/2006/relationships/hyperlink" Target="https://learn.microsoft.com/en-us/azure/foundry/control-plane/how-to-manage-agents" TargetMode="External"/><Relationship Id="rId21" Type="http://schemas.openxmlformats.org/officeDocument/2006/relationships/hyperlink" Target="https://learn.microsoft.com/en-us/azure/foundry/agents/concepts/capability-hosts" TargetMode="External"/><Relationship Id="rId34" Type="http://schemas.openxmlformats.org/officeDocument/2006/relationships/hyperlink" Target="https://learn.microsoft.com/en-us/azure/foundry/how-to/model-deployment-policy?tabs=cli" TargetMode="External"/><Relationship Id="rId42" Type="http://schemas.openxmlformats.org/officeDocument/2006/relationships/hyperlink" Target="https://learn.microsoft.com/en-us/azure/azure-monitor/fundamentals/data-sources" TargetMode="External"/><Relationship Id="rId47" Type="http://schemas.openxmlformats.org/officeDocument/2006/relationships/hyperlink" Target="https://learn.microsoft.com/en-us/azure/azure-monitor/essentials/diagnostic-settings" TargetMode="External"/><Relationship Id="rId50" Type="http://schemas.openxmlformats.org/officeDocument/2006/relationships/hyperlink" Target="https://learn.microsoft.com/en-us/azure/azure-monitor/logs/data-retention-configure" TargetMode="External"/><Relationship Id="rId55" Type="http://schemas.openxmlformats.org/officeDocument/2006/relationships/hyperlink" Target="https://learn.microsoft.com/en-us/azure/azure-monitor/essentials/create-diagnostic-settings"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github.com/microsoft-foundry/foundry-samples/tree/main/infrastructure/infrastructure-setup-bicep/19-hybrid-private-resources-agent-setup" TargetMode="External"/><Relationship Id="rId11" Type="http://schemas.openxmlformats.org/officeDocument/2006/relationships/hyperlink" Target="https://learn.microsoft.com/en-us/azure/foundry/responsible-ai/openai/data-privacy?tabs=azure-portal" TargetMode="External"/><Relationship Id="rId24" Type="http://schemas.openxmlformats.org/officeDocument/2006/relationships/hyperlink" Target="https://learn.microsoft.com/en-us/azure/foundry/how-to/managed-virtual-network" TargetMode="External"/><Relationship Id="rId32" Type="http://schemas.openxmlformats.org/officeDocument/2006/relationships/hyperlink" Target="https://learn.microsoft.com/en-us/azure/foundry/foundry-models/concepts/deployment-types" TargetMode="External"/><Relationship Id="rId37" Type="http://schemas.openxmlformats.org/officeDocument/2006/relationships/hyperlink" Target="https://learn.microsoft.com/en-us/azure/foundry/observability/how-to/how-to-monitor-agents-dashboard?tabs=python" TargetMode="External"/><Relationship Id="rId40" Type="http://schemas.openxmlformats.org/officeDocument/2006/relationships/hyperlink" Target="https://learn.microsoft.com/en-us/azure/foundry/observability/concepts/trace-agent-concept" TargetMode="External"/><Relationship Id="rId45" Type="http://schemas.openxmlformats.org/officeDocument/2006/relationships/hyperlink" Target="https://learn.microsoft.com/en-us/azure/azure-monitor/essentials/create-diagnostic-settings" TargetMode="External"/><Relationship Id="rId53" Type="http://schemas.openxmlformats.org/officeDocument/2006/relationships/hyperlink" Target="https://learn.microsoft.com/en-us/azure/azure-monitor/logs/logs-data-export" TargetMode="External"/><Relationship Id="rId58" Type="http://schemas.openxmlformats.org/officeDocument/2006/relationships/fontTable" Target="fontTable.xml"/><Relationship Id="rId5" Type="http://schemas.openxmlformats.org/officeDocument/2006/relationships/comments" Target="comments.xml"/><Relationship Id="rId19" Type="http://schemas.openxmlformats.org/officeDocument/2006/relationships/hyperlink" Target="https://learn.microsoft.com/en-us/azure/foundry/agents/concepts/standard-agent-setup" TargetMode="External"/><Relationship Id="rId4" Type="http://schemas.openxmlformats.org/officeDocument/2006/relationships/webSettings" Target="webSettings.xml"/><Relationship Id="rId9" Type="http://schemas.openxmlformats.org/officeDocument/2006/relationships/hyperlink" Target="https://learn.microsoft.com/en-us/azure/foundry/reference/region-support" TargetMode="External"/><Relationship Id="rId14" Type="http://schemas.openxmlformats.org/officeDocument/2006/relationships/image" Target="media/image1.png"/><Relationship Id="rId22" Type="http://schemas.openxmlformats.org/officeDocument/2006/relationships/hyperlink" Target="https://github.com/microsoft-foundry/foundry-samples/tree/main/infrastructure/infrastructure-setup-bicep/41-standard-agent-setup" TargetMode="External"/><Relationship Id="rId27" Type="http://schemas.openxmlformats.org/officeDocument/2006/relationships/hyperlink" Target="https://github.com/microsoft-foundry/foundry-samples/tree/main/infrastructure/infrastructure-setup-bicep/16-private-network-standard-agent-apim-setup-preview" TargetMode="External"/><Relationship Id="rId30" Type="http://schemas.openxmlformats.org/officeDocument/2006/relationships/hyperlink" Target="https://learn.microsoft.com/en-us/azure/foundry/concepts/model-lifecycle-retirement" TargetMode="External"/><Relationship Id="rId35" Type="http://schemas.openxmlformats.org/officeDocument/2006/relationships/hyperlink" Target="https://learn.microsoft.com/en-us/azure/ai-services/policy-reference?context=/azure/foundry/context/context" TargetMode="External"/><Relationship Id="rId43" Type="http://schemas.openxmlformats.org/officeDocument/2006/relationships/hyperlink" Target="https://learn.microsoft.com/en-us/azure/ai-services/diagnostic-logging?context=/azure/foundry/context/context" TargetMode="External"/><Relationship Id="rId48" Type="http://schemas.openxmlformats.org/officeDocument/2006/relationships/hyperlink" Target="https://learn.microsoft.com/en-us/entra/identity/monitoring-health/concept-sign-ins" TargetMode="External"/><Relationship Id="rId56" Type="http://schemas.openxmlformats.org/officeDocument/2006/relationships/hyperlink" Target="https://learn.microsoft.com/en-us/azure/azure-monitor/logs/data-retention-configure" TargetMode="External"/><Relationship Id="rId8" Type="http://schemas.microsoft.com/office/2018/08/relationships/commentsExtensible" Target="commentsExtensible.xml"/><Relationship Id="rId51" Type="http://schemas.openxmlformats.org/officeDocument/2006/relationships/hyperlink" Target="https://learn.microsoft.com/en-us/azure/azure-monitor/logs/logs-data-export" TargetMode="External"/><Relationship Id="rId3" Type="http://schemas.openxmlformats.org/officeDocument/2006/relationships/settings" Target="settings.xml"/><Relationship Id="rId12" Type="http://schemas.openxmlformats.org/officeDocument/2006/relationships/hyperlink" Target="https://learn.microsoft.com/en-us/azure/foundry/agents/concepts/development-lifecycle" TargetMode="Externa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hyperlink" Target="https://learn.microsoft.com/en-us/azure/foundry/responsible-ai/openai/data-privacy?tabs=azure-portal" TargetMode="External"/><Relationship Id="rId38" Type="http://schemas.openxmlformats.org/officeDocument/2006/relationships/hyperlink" Target="https://learn.microsoft.com/en-us/azure/foundry/control-plane/monitoring-across-fleet" TargetMode="External"/><Relationship Id="rId46" Type="http://schemas.openxmlformats.org/officeDocument/2006/relationships/hyperlink" Target="https://learn.microsoft.com/en-us/azure/ai-services/diagnostic-logging" TargetMode="External"/><Relationship Id="rId59" Type="http://schemas.microsoft.com/office/2011/relationships/people" Target="people.xml"/><Relationship Id="rId20" Type="http://schemas.openxmlformats.org/officeDocument/2006/relationships/image" Target="media/image5.png"/><Relationship Id="rId41" Type="http://schemas.openxmlformats.org/officeDocument/2006/relationships/hyperlink" Target="https://learn.microsoft.com/en-us/azure/foundry/concepts/ai-red-teaming-agent" TargetMode="External"/><Relationship Id="rId54" Type="http://schemas.openxmlformats.org/officeDocument/2006/relationships/hyperlink" Target="https://learn.microsoft.com/en-us/azure/azure-monitor/logs/logs-data-export"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2.png"/><Relationship Id="rId23" Type="http://schemas.openxmlformats.org/officeDocument/2006/relationships/hyperlink" Target="https://learn.microsoft.com/en-us/azure/foundry/agents/how-to/virtual-networks" TargetMode="External"/><Relationship Id="rId28" Type="http://schemas.openxmlformats.org/officeDocument/2006/relationships/hyperlink" Target="https://learn.microsoft.com/en-us/azure/foundry/configuration/enable-ai-api-management-gateway-portal" TargetMode="External"/><Relationship Id="rId36" Type="http://schemas.openxmlformats.org/officeDocument/2006/relationships/hyperlink" Target="https://learn.microsoft.com/en-us/azure/foundry/observability/how-to/evaluate-agent" TargetMode="External"/><Relationship Id="rId49" Type="http://schemas.openxmlformats.org/officeDocument/2006/relationships/hyperlink" Target="https://learn.microsoft.com/en-us/azure/azure-monitor/logs/cost-logs" TargetMode="External"/><Relationship Id="rId57" Type="http://schemas.openxmlformats.org/officeDocument/2006/relationships/hyperlink" Target="https://learn.microsoft.com/en-us/azure/azure-monitor/logs/logs-data-export" TargetMode="External"/><Relationship Id="rId10" Type="http://schemas.openxmlformats.org/officeDocument/2006/relationships/hyperlink" Target="https://learn.microsoft.com/en-us/azure/ai-services/openai/how-to/deployment-types" TargetMode="External"/><Relationship Id="rId31" Type="http://schemas.openxmlformats.org/officeDocument/2006/relationships/hyperlink" Target="https://learn.microsoft.com/en-us/azure/foundry/openai/concepts/model-retirements?tabs=text" TargetMode="External"/><Relationship Id="rId44" Type="http://schemas.openxmlformats.org/officeDocument/2006/relationships/hyperlink" Target="https://learn.microsoft.com/en-us/azure/azure-monitor/fundamentals/data-sources" TargetMode="External"/><Relationship Id="rId52" Type="http://schemas.openxmlformats.org/officeDocument/2006/relationships/hyperlink" Target="https://learn.microsoft.com/en-us/azure/azure-monitor/logs/data-retention-configure"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4400</Words>
  <Characters>26183</Characters>
  <Application>Microsoft Office Word</Application>
  <DocSecurity>0</DocSecurity>
  <Lines>689</Lines>
  <Paragraphs>315</Paragraphs>
  <ScaleCrop>false</ScaleCrop>
  <Company/>
  <LinksUpToDate>false</LinksUpToDate>
  <CharactersWithSpaces>30268</CharactersWithSpaces>
  <SharedDoc>false</SharedDoc>
  <HLinks>
    <vt:vector size="264" baseType="variant">
      <vt:variant>
        <vt:i4>6619259</vt:i4>
      </vt:variant>
      <vt:variant>
        <vt:i4>126</vt:i4>
      </vt:variant>
      <vt:variant>
        <vt:i4>0</vt:i4>
      </vt:variant>
      <vt:variant>
        <vt:i4>5</vt:i4>
      </vt:variant>
      <vt:variant>
        <vt:lpwstr>https://learn.microsoft.com/en-us/azure/azure-monitor/logs/logs-data-export</vt:lpwstr>
      </vt:variant>
      <vt:variant>
        <vt:lpwstr/>
      </vt:variant>
      <vt:variant>
        <vt:i4>3342387</vt:i4>
      </vt:variant>
      <vt:variant>
        <vt:i4>123</vt:i4>
      </vt:variant>
      <vt:variant>
        <vt:i4>0</vt:i4>
      </vt:variant>
      <vt:variant>
        <vt:i4>5</vt:i4>
      </vt:variant>
      <vt:variant>
        <vt:lpwstr>https://learn.microsoft.com/en-us/azure/azure-monitor/logs/data-retention-configure</vt:lpwstr>
      </vt:variant>
      <vt:variant>
        <vt:lpwstr/>
      </vt:variant>
      <vt:variant>
        <vt:i4>6815854</vt:i4>
      </vt:variant>
      <vt:variant>
        <vt:i4>120</vt:i4>
      </vt:variant>
      <vt:variant>
        <vt:i4>0</vt:i4>
      </vt:variant>
      <vt:variant>
        <vt:i4>5</vt:i4>
      </vt:variant>
      <vt:variant>
        <vt:lpwstr>https://learn.microsoft.com/en-us/azure/azure-monitor/essentials/create-diagnostic-settings</vt:lpwstr>
      </vt:variant>
      <vt:variant>
        <vt:lpwstr/>
      </vt:variant>
      <vt:variant>
        <vt:i4>6619259</vt:i4>
      </vt:variant>
      <vt:variant>
        <vt:i4>117</vt:i4>
      </vt:variant>
      <vt:variant>
        <vt:i4>0</vt:i4>
      </vt:variant>
      <vt:variant>
        <vt:i4>5</vt:i4>
      </vt:variant>
      <vt:variant>
        <vt:lpwstr>https://learn.microsoft.com/en-us/azure/azure-monitor/logs/logs-data-export</vt:lpwstr>
      </vt:variant>
      <vt:variant>
        <vt:lpwstr/>
      </vt:variant>
      <vt:variant>
        <vt:i4>6619259</vt:i4>
      </vt:variant>
      <vt:variant>
        <vt:i4>114</vt:i4>
      </vt:variant>
      <vt:variant>
        <vt:i4>0</vt:i4>
      </vt:variant>
      <vt:variant>
        <vt:i4>5</vt:i4>
      </vt:variant>
      <vt:variant>
        <vt:lpwstr>https://learn.microsoft.com/en-us/azure/azure-monitor/logs/logs-data-export</vt:lpwstr>
      </vt:variant>
      <vt:variant>
        <vt:lpwstr/>
      </vt:variant>
      <vt:variant>
        <vt:i4>3342387</vt:i4>
      </vt:variant>
      <vt:variant>
        <vt:i4>111</vt:i4>
      </vt:variant>
      <vt:variant>
        <vt:i4>0</vt:i4>
      </vt:variant>
      <vt:variant>
        <vt:i4>5</vt:i4>
      </vt:variant>
      <vt:variant>
        <vt:lpwstr>https://learn.microsoft.com/en-us/azure/azure-monitor/logs/data-retention-configure</vt:lpwstr>
      </vt:variant>
      <vt:variant>
        <vt:lpwstr/>
      </vt:variant>
      <vt:variant>
        <vt:i4>6619259</vt:i4>
      </vt:variant>
      <vt:variant>
        <vt:i4>108</vt:i4>
      </vt:variant>
      <vt:variant>
        <vt:i4>0</vt:i4>
      </vt:variant>
      <vt:variant>
        <vt:i4>5</vt:i4>
      </vt:variant>
      <vt:variant>
        <vt:lpwstr>https://learn.microsoft.com/en-us/azure/azure-monitor/logs/logs-data-export</vt:lpwstr>
      </vt:variant>
      <vt:variant>
        <vt:lpwstr/>
      </vt:variant>
      <vt:variant>
        <vt:i4>3342387</vt:i4>
      </vt:variant>
      <vt:variant>
        <vt:i4>105</vt:i4>
      </vt:variant>
      <vt:variant>
        <vt:i4>0</vt:i4>
      </vt:variant>
      <vt:variant>
        <vt:i4>5</vt:i4>
      </vt:variant>
      <vt:variant>
        <vt:lpwstr>https://learn.microsoft.com/en-us/azure/azure-monitor/logs/data-retention-configure</vt:lpwstr>
      </vt:variant>
      <vt:variant>
        <vt:lpwstr/>
      </vt:variant>
      <vt:variant>
        <vt:i4>327773</vt:i4>
      </vt:variant>
      <vt:variant>
        <vt:i4>102</vt:i4>
      </vt:variant>
      <vt:variant>
        <vt:i4>0</vt:i4>
      </vt:variant>
      <vt:variant>
        <vt:i4>5</vt:i4>
      </vt:variant>
      <vt:variant>
        <vt:lpwstr>https://learn.microsoft.com/en-us/azure/azure-monitor/logs/cost-logs</vt:lpwstr>
      </vt:variant>
      <vt:variant>
        <vt:lpwstr/>
      </vt:variant>
      <vt:variant>
        <vt:i4>3735605</vt:i4>
      </vt:variant>
      <vt:variant>
        <vt:i4>99</vt:i4>
      </vt:variant>
      <vt:variant>
        <vt:i4>0</vt:i4>
      </vt:variant>
      <vt:variant>
        <vt:i4>5</vt:i4>
      </vt:variant>
      <vt:variant>
        <vt:lpwstr>https://learn.microsoft.com/en-us/entra/identity/monitoring-health/concept-sign-ins</vt:lpwstr>
      </vt:variant>
      <vt:variant>
        <vt:lpwstr/>
      </vt:variant>
      <vt:variant>
        <vt:i4>1572932</vt:i4>
      </vt:variant>
      <vt:variant>
        <vt:i4>96</vt:i4>
      </vt:variant>
      <vt:variant>
        <vt:i4>0</vt:i4>
      </vt:variant>
      <vt:variant>
        <vt:i4>5</vt:i4>
      </vt:variant>
      <vt:variant>
        <vt:lpwstr>https://learn.microsoft.com/en-us/azure/azure-monitor/essentials/diagnostic-settings</vt:lpwstr>
      </vt:variant>
      <vt:variant>
        <vt:lpwstr/>
      </vt:variant>
      <vt:variant>
        <vt:i4>6488168</vt:i4>
      </vt:variant>
      <vt:variant>
        <vt:i4>93</vt:i4>
      </vt:variant>
      <vt:variant>
        <vt:i4>0</vt:i4>
      </vt:variant>
      <vt:variant>
        <vt:i4>5</vt:i4>
      </vt:variant>
      <vt:variant>
        <vt:lpwstr>https://learn.microsoft.com/en-us/azure/ai-services/diagnostic-logging</vt:lpwstr>
      </vt:variant>
      <vt:variant>
        <vt:lpwstr/>
      </vt:variant>
      <vt:variant>
        <vt:i4>6815854</vt:i4>
      </vt:variant>
      <vt:variant>
        <vt:i4>90</vt:i4>
      </vt:variant>
      <vt:variant>
        <vt:i4>0</vt:i4>
      </vt:variant>
      <vt:variant>
        <vt:i4>5</vt:i4>
      </vt:variant>
      <vt:variant>
        <vt:lpwstr>https://learn.microsoft.com/en-us/azure/azure-monitor/essentials/create-diagnostic-settings</vt:lpwstr>
      </vt:variant>
      <vt:variant>
        <vt:lpwstr/>
      </vt:variant>
      <vt:variant>
        <vt:i4>8192055</vt:i4>
      </vt:variant>
      <vt:variant>
        <vt:i4>87</vt:i4>
      </vt:variant>
      <vt:variant>
        <vt:i4>0</vt:i4>
      </vt:variant>
      <vt:variant>
        <vt:i4>5</vt:i4>
      </vt:variant>
      <vt:variant>
        <vt:lpwstr>https://learn.microsoft.com/en-us/azure/azure-monitor/fundamentals/data-sources</vt:lpwstr>
      </vt:variant>
      <vt:variant>
        <vt:lpwstr/>
      </vt:variant>
      <vt:variant>
        <vt:i4>262146</vt:i4>
      </vt:variant>
      <vt:variant>
        <vt:i4>84</vt:i4>
      </vt:variant>
      <vt:variant>
        <vt:i4>0</vt:i4>
      </vt:variant>
      <vt:variant>
        <vt:i4>5</vt:i4>
      </vt:variant>
      <vt:variant>
        <vt:lpwstr>https://learn.microsoft.com/en-us/azure/ai-services/diagnostic-logging?context=/azure/foundry/context/context</vt:lpwstr>
      </vt:variant>
      <vt:variant>
        <vt:lpwstr/>
      </vt:variant>
      <vt:variant>
        <vt:i4>8192055</vt:i4>
      </vt:variant>
      <vt:variant>
        <vt:i4>81</vt:i4>
      </vt:variant>
      <vt:variant>
        <vt:i4>0</vt:i4>
      </vt:variant>
      <vt:variant>
        <vt:i4>5</vt:i4>
      </vt:variant>
      <vt:variant>
        <vt:lpwstr>https://learn.microsoft.com/en-us/azure/azure-monitor/fundamentals/data-sources</vt:lpwstr>
      </vt:variant>
      <vt:variant>
        <vt:lpwstr/>
      </vt:variant>
      <vt:variant>
        <vt:i4>5111872</vt:i4>
      </vt:variant>
      <vt:variant>
        <vt:i4>78</vt:i4>
      </vt:variant>
      <vt:variant>
        <vt:i4>0</vt:i4>
      </vt:variant>
      <vt:variant>
        <vt:i4>5</vt:i4>
      </vt:variant>
      <vt:variant>
        <vt:lpwstr>https://learn.microsoft.com/en-us/azure/foundry/concepts/ai-red-teaming-agent</vt:lpwstr>
      </vt:variant>
      <vt:variant>
        <vt:lpwstr/>
      </vt:variant>
      <vt:variant>
        <vt:i4>3145778</vt:i4>
      </vt:variant>
      <vt:variant>
        <vt:i4>75</vt:i4>
      </vt:variant>
      <vt:variant>
        <vt:i4>0</vt:i4>
      </vt:variant>
      <vt:variant>
        <vt:i4>5</vt:i4>
      </vt:variant>
      <vt:variant>
        <vt:lpwstr>https://learn.microsoft.com/en-us/azure/foundry/observability/concepts/trace-agent-concept</vt:lpwstr>
      </vt:variant>
      <vt:variant>
        <vt:lpwstr/>
      </vt:variant>
      <vt:variant>
        <vt:i4>7143463</vt:i4>
      </vt:variant>
      <vt:variant>
        <vt:i4>72</vt:i4>
      </vt:variant>
      <vt:variant>
        <vt:i4>0</vt:i4>
      </vt:variant>
      <vt:variant>
        <vt:i4>5</vt:i4>
      </vt:variant>
      <vt:variant>
        <vt:lpwstr>https://learn.microsoft.com/en-us/azure/foundry/control-plane/how-to-manage-agents</vt:lpwstr>
      </vt:variant>
      <vt:variant>
        <vt:lpwstr/>
      </vt:variant>
      <vt:variant>
        <vt:i4>5242958</vt:i4>
      </vt:variant>
      <vt:variant>
        <vt:i4>69</vt:i4>
      </vt:variant>
      <vt:variant>
        <vt:i4>0</vt:i4>
      </vt:variant>
      <vt:variant>
        <vt:i4>5</vt:i4>
      </vt:variant>
      <vt:variant>
        <vt:lpwstr>https://learn.microsoft.com/en-us/azure/foundry/control-plane/monitoring-across-fleet</vt:lpwstr>
      </vt:variant>
      <vt:variant>
        <vt:lpwstr/>
      </vt:variant>
      <vt:variant>
        <vt:i4>5373958</vt:i4>
      </vt:variant>
      <vt:variant>
        <vt:i4>66</vt:i4>
      </vt:variant>
      <vt:variant>
        <vt:i4>0</vt:i4>
      </vt:variant>
      <vt:variant>
        <vt:i4>5</vt:i4>
      </vt:variant>
      <vt:variant>
        <vt:lpwstr>https://learn.microsoft.com/en-us/azure/foundry/observability/how-to/how-to-monitor-agents-dashboard?tabs=python</vt:lpwstr>
      </vt:variant>
      <vt:variant>
        <vt:lpwstr/>
      </vt:variant>
      <vt:variant>
        <vt:i4>3080251</vt:i4>
      </vt:variant>
      <vt:variant>
        <vt:i4>63</vt:i4>
      </vt:variant>
      <vt:variant>
        <vt:i4>0</vt:i4>
      </vt:variant>
      <vt:variant>
        <vt:i4>5</vt:i4>
      </vt:variant>
      <vt:variant>
        <vt:lpwstr>https://learn.microsoft.com/en-us/azure/foundry/observability/how-to/evaluate-agent</vt:lpwstr>
      </vt:variant>
      <vt:variant>
        <vt:lpwstr/>
      </vt:variant>
      <vt:variant>
        <vt:i4>6619244</vt:i4>
      </vt:variant>
      <vt:variant>
        <vt:i4>60</vt:i4>
      </vt:variant>
      <vt:variant>
        <vt:i4>0</vt:i4>
      </vt:variant>
      <vt:variant>
        <vt:i4>5</vt:i4>
      </vt:variant>
      <vt:variant>
        <vt:lpwstr>https://learn.microsoft.com/en-us/azure/ai-services/policy-reference?context=/azure/foundry/context/context</vt:lpwstr>
      </vt:variant>
      <vt:variant>
        <vt:lpwstr/>
      </vt:variant>
      <vt:variant>
        <vt:i4>2228256</vt:i4>
      </vt:variant>
      <vt:variant>
        <vt:i4>57</vt:i4>
      </vt:variant>
      <vt:variant>
        <vt:i4>0</vt:i4>
      </vt:variant>
      <vt:variant>
        <vt:i4>5</vt:i4>
      </vt:variant>
      <vt:variant>
        <vt:lpwstr>https://learn.microsoft.com/en-us/azure/foundry/how-to/model-deployment-policy?tabs=cli</vt:lpwstr>
      </vt:variant>
      <vt:variant>
        <vt:lpwstr/>
      </vt:variant>
      <vt:variant>
        <vt:i4>65621</vt:i4>
      </vt:variant>
      <vt:variant>
        <vt:i4>54</vt:i4>
      </vt:variant>
      <vt:variant>
        <vt:i4>0</vt:i4>
      </vt:variant>
      <vt:variant>
        <vt:i4>5</vt:i4>
      </vt:variant>
      <vt:variant>
        <vt:lpwstr>https://learn.microsoft.com/en-us/azure/foundry/responsible-ai/openai/data-privacy?tabs=azure-portal</vt:lpwstr>
      </vt:variant>
      <vt:variant>
        <vt:lpwstr/>
      </vt:variant>
      <vt:variant>
        <vt:i4>327697</vt:i4>
      </vt:variant>
      <vt:variant>
        <vt:i4>51</vt:i4>
      </vt:variant>
      <vt:variant>
        <vt:i4>0</vt:i4>
      </vt:variant>
      <vt:variant>
        <vt:i4>5</vt:i4>
      </vt:variant>
      <vt:variant>
        <vt:lpwstr>https://learn.microsoft.com/en-us/azure/foundry/foundry-models/concepts/deployment-types</vt:lpwstr>
      </vt:variant>
      <vt:variant>
        <vt:lpwstr/>
      </vt:variant>
      <vt:variant>
        <vt:i4>3997815</vt:i4>
      </vt:variant>
      <vt:variant>
        <vt:i4>48</vt:i4>
      </vt:variant>
      <vt:variant>
        <vt:i4>0</vt:i4>
      </vt:variant>
      <vt:variant>
        <vt:i4>5</vt:i4>
      </vt:variant>
      <vt:variant>
        <vt:lpwstr>https://learn.microsoft.com/en-us/azure/foundry/openai/concepts/model-retirements?tabs=text</vt:lpwstr>
      </vt:variant>
      <vt:variant>
        <vt:lpwstr/>
      </vt:variant>
      <vt:variant>
        <vt:i4>7667775</vt:i4>
      </vt:variant>
      <vt:variant>
        <vt:i4>45</vt:i4>
      </vt:variant>
      <vt:variant>
        <vt:i4>0</vt:i4>
      </vt:variant>
      <vt:variant>
        <vt:i4>5</vt:i4>
      </vt:variant>
      <vt:variant>
        <vt:lpwstr>https://learn.microsoft.com/en-us/azure/foundry/concepts/model-lifecycle-retirement</vt:lpwstr>
      </vt:variant>
      <vt:variant>
        <vt:lpwstr/>
      </vt:variant>
      <vt:variant>
        <vt:i4>1376276</vt:i4>
      </vt:variant>
      <vt:variant>
        <vt:i4>42</vt:i4>
      </vt:variant>
      <vt:variant>
        <vt:i4>0</vt:i4>
      </vt:variant>
      <vt:variant>
        <vt:i4>5</vt:i4>
      </vt:variant>
      <vt:variant>
        <vt:lpwstr>https://github.com/microsoft-foundry/foundry-samples/tree/main/infrastructure/infrastructure-setup-bicep/19-hybrid-private-resources-agent-setup</vt:lpwstr>
      </vt:variant>
      <vt:variant>
        <vt:lpwstr/>
      </vt:variant>
      <vt:variant>
        <vt:i4>6094937</vt:i4>
      </vt:variant>
      <vt:variant>
        <vt:i4>39</vt:i4>
      </vt:variant>
      <vt:variant>
        <vt:i4>0</vt:i4>
      </vt:variant>
      <vt:variant>
        <vt:i4>5</vt:i4>
      </vt:variant>
      <vt:variant>
        <vt:lpwstr>https://learn.microsoft.com/en-us/azure/foundry/configuration/enable-ai-api-management-gateway-portal</vt:lpwstr>
      </vt:variant>
      <vt:variant>
        <vt:lpwstr/>
      </vt:variant>
      <vt:variant>
        <vt:i4>131092</vt:i4>
      </vt:variant>
      <vt:variant>
        <vt:i4>36</vt:i4>
      </vt:variant>
      <vt:variant>
        <vt:i4>0</vt:i4>
      </vt:variant>
      <vt:variant>
        <vt:i4>5</vt:i4>
      </vt:variant>
      <vt:variant>
        <vt:lpwstr>https://github.com/microsoft-foundry/foundry-samples/tree/main/infrastructure/infrastructure-setup-bicep/16-private-network-standard-agent-apim-setup-preview</vt:lpwstr>
      </vt:variant>
      <vt:variant>
        <vt:lpwstr/>
      </vt:variant>
      <vt:variant>
        <vt:i4>786449</vt:i4>
      </vt:variant>
      <vt:variant>
        <vt:i4>33</vt:i4>
      </vt:variant>
      <vt:variant>
        <vt:i4>0</vt:i4>
      </vt:variant>
      <vt:variant>
        <vt:i4>5</vt:i4>
      </vt:variant>
      <vt:variant>
        <vt:lpwstr>https://github.com/microsoft-foundry/foundry-samples/tree/main/infrastructure/infrastructure-setup-bicep/15-private-network-standard-agent-setup</vt:lpwstr>
      </vt:variant>
      <vt:variant>
        <vt:lpwstr/>
      </vt:variant>
      <vt:variant>
        <vt:i4>2687022</vt:i4>
      </vt:variant>
      <vt:variant>
        <vt:i4>30</vt:i4>
      </vt:variant>
      <vt:variant>
        <vt:i4>0</vt:i4>
      </vt:variant>
      <vt:variant>
        <vt:i4>5</vt:i4>
      </vt:variant>
      <vt:variant>
        <vt:lpwstr>https://learn.microsoft.com/en-us/azure/foundry/how-to/managed-virtual-network</vt:lpwstr>
      </vt:variant>
      <vt:variant>
        <vt:lpwstr/>
      </vt:variant>
      <vt:variant>
        <vt:i4>8061026</vt:i4>
      </vt:variant>
      <vt:variant>
        <vt:i4>27</vt:i4>
      </vt:variant>
      <vt:variant>
        <vt:i4>0</vt:i4>
      </vt:variant>
      <vt:variant>
        <vt:i4>5</vt:i4>
      </vt:variant>
      <vt:variant>
        <vt:lpwstr>https://learn.microsoft.com/en-us/azure/foundry/agents/how-to/virtual-networks</vt:lpwstr>
      </vt:variant>
      <vt:variant>
        <vt:lpwstr/>
      </vt:variant>
      <vt:variant>
        <vt:i4>1638422</vt:i4>
      </vt:variant>
      <vt:variant>
        <vt:i4>24</vt:i4>
      </vt:variant>
      <vt:variant>
        <vt:i4>0</vt:i4>
      </vt:variant>
      <vt:variant>
        <vt:i4>5</vt:i4>
      </vt:variant>
      <vt:variant>
        <vt:lpwstr>https://github.com/microsoft-foundry/foundry-samples/tree/main/infrastructure/infrastructure-setup-bicep/41-standard-agent-setup</vt:lpwstr>
      </vt:variant>
      <vt:variant>
        <vt:lpwstr/>
      </vt:variant>
      <vt:variant>
        <vt:i4>6225948</vt:i4>
      </vt:variant>
      <vt:variant>
        <vt:i4>21</vt:i4>
      </vt:variant>
      <vt:variant>
        <vt:i4>0</vt:i4>
      </vt:variant>
      <vt:variant>
        <vt:i4>5</vt:i4>
      </vt:variant>
      <vt:variant>
        <vt:lpwstr>https://learn.microsoft.com/en-us/azure/foundry/agents/concepts/capability-hosts</vt:lpwstr>
      </vt:variant>
      <vt:variant>
        <vt:lpwstr/>
      </vt:variant>
      <vt:variant>
        <vt:i4>5636190</vt:i4>
      </vt:variant>
      <vt:variant>
        <vt:i4>18</vt:i4>
      </vt:variant>
      <vt:variant>
        <vt:i4>0</vt:i4>
      </vt:variant>
      <vt:variant>
        <vt:i4>5</vt:i4>
      </vt:variant>
      <vt:variant>
        <vt:lpwstr>https://learn.microsoft.com/en-us/azure/foundry/agents/concepts/standard-agent-setup</vt:lpwstr>
      </vt:variant>
      <vt:variant>
        <vt:lpwstr/>
      </vt:variant>
      <vt:variant>
        <vt:i4>2949179</vt:i4>
      </vt:variant>
      <vt:variant>
        <vt:i4>15</vt:i4>
      </vt:variant>
      <vt:variant>
        <vt:i4>0</vt:i4>
      </vt:variant>
      <vt:variant>
        <vt:i4>5</vt:i4>
      </vt:variant>
      <vt:variant>
        <vt:lpwstr>https://learn.microsoft.com/en-us/azure/foundry/how-to/connections-add?tabs=foundry-portal</vt:lpwstr>
      </vt:variant>
      <vt:variant>
        <vt:lpwstr/>
      </vt:variant>
      <vt:variant>
        <vt:i4>1441878</vt:i4>
      </vt:variant>
      <vt:variant>
        <vt:i4>12</vt:i4>
      </vt:variant>
      <vt:variant>
        <vt:i4>0</vt:i4>
      </vt:variant>
      <vt:variant>
        <vt:i4>5</vt:i4>
      </vt:variant>
      <vt:variant>
        <vt:lpwstr>https://learn.microsoft.com/en-us/azure/foundry/agents/concepts/development-lifecycle</vt:lpwstr>
      </vt:variant>
      <vt:variant>
        <vt:lpwstr/>
      </vt:variant>
      <vt:variant>
        <vt:i4>1441878</vt:i4>
      </vt:variant>
      <vt:variant>
        <vt:i4>9</vt:i4>
      </vt:variant>
      <vt:variant>
        <vt:i4>0</vt:i4>
      </vt:variant>
      <vt:variant>
        <vt:i4>5</vt:i4>
      </vt:variant>
      <vt:variant>
        <vt:lpwstr>https://learn.microsoft.com/en-us/azure/foundry/agents/concepts/development-lifecycle</vt:lpwstr>
      </vt:variant>
      <vt:variant>
        <vt:lpwstr/>
      </vt:variant>
      <vt:variant>
        <vt:i4>65621</vt:i4>
      </vt:variant>
      <vt:variant>
        <vt:i4>6</vt:i4>
      </vt:variant>
      <vt:variant>
        <vt:i4>0</vt:i4>
      </vt:variant>
      <vt:variant>
        <vt:i4>5</vt:i4>
      </vt:variant>
      <vt:variant>
        <vt:lpwstr>https://learn.microsoft.com/en-us/azure/foundry/responsible-ai/openai/data-privacy?tabs=azure-portal</vt:lpwstr>
      </vt:variant>
      <vt:variant>
        <vt:lpwstr/>
      </vt:variant>
      <vt:variant>
        <vt:i4>3473522</vt:i4>
      </vt:variant>
      <vt:variant>
        <vt:i4>3</vt:i4>
      </vt:variant>
      <vt:variant>
        <vt:i4>0</vt:i4>
      </vt:variant>
      <vt:variant>
        <vt:i4>5</vt:i4>
      </vt:variant>
      <vt:variant>
        <vt:lpwstr>https://learn.microsoft.com/en-us/azure/ai-services/openai/how-to/deployment-types</vt:lpwstr>
      </vt:variant>
      <vt:variant>
        <vt:lpwstr/>
      </vt:variant>
      <vt:variant>
        <vt:i4>5505118</vt:i4>
      </vt:variant>
      <vt:variant>
        <vt:i4>0</vt:i4>
      </vt:variant>
      <vt:variant>
        <vt:i4>0</vt:i4>
      </vt:variant>
      <vt:variant>
        <vt:i4>5</vt:i4>
      </vt:variant>
      <vt:variant>
        <vt:lpwstr>https://learn.microsoft.com/en-us/azure/foundry/reference/region-support</vt:lpwstr>
      </vt:variant>
      <vt:variant>
        <vt:lpwstr/>
      </vt:variant>
      <vt:variant>
        <vt:i4>6094937</vt:i4>
      </vt:variant>
      <vt:variant>
        <vt:i4>0</vt:i4>
      </vt:variant>
      <vt:variant>
        <vt:i4>0</vt:i4>
      </vt:variant>
      <vt:variant>
        <vt:i4>5</vt:i4>
      </vt:variant>
      <vt:variant>
        <vt:lpwstr>https://learn.microsoft.com/en-us/azure/foundry/configuration/enable-ai-api-management-gateway-portal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Ruiz</dc:creator>
  <cp:keywords/>
  <dc:description/>
  <cp:lastModifiedBy>Ha Duong</cp:lastModifiedBy>
  <cp:revision>4</cp:revision>
  <dcterms:created xsi:type="dcterms:W3CDTF">2026-06-16T16:54:00Z</dcterms:created>
  <dcterms:modified xsi:type="dcterms:W3CDTF">2026-06-16T16:59:00Z</dcterms:modified>
</cp:coreProperties>
</file>