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sz w:val="44"/>
          <w:szCs w:val="44"/>
        </w:rPr>
        <w:t xml:space="preserve">RETAIL OPERATIONS</w:t>
      </w:r>
    </w:p>
    <w:p>
      <w:pPr>
        <w:spacing w:after="200"/>
        <w:jc w:val="center"/>
      </w:pPr>
      <w:r>
        <w:rPr>
          <w:b/>
          <w:bCs/>
          <w:sz w:val="44"/>
          <w:szCs w:val="44"/>
        </w:rPr>
        <w:t xml:space="preserve">BUSINESS INTELLIGENCE SOLUTION</w:t>
      </w:r>
    </w:p>
    <w:p>
      <w:pPr>
        <w:spacing w:after="600"/>
        <w:jc w:val="center"/>
      </w:pPr>
      <w:r>
        <w:rPr>
          <w:i/>
          <w:iCs/>
          <w:sz w:val="26"/>
          <w:szCs w:val="26"/>
        </w:rPr>
        <w:t xml:space="preserve">Detailed Implementation, Analysis and Reporting Documentation</w:t>
      </w:r>
    </w:p>
    <w:p>
      <w:pPr>
        <w:spacing w:after="100"/>
        <w:jc w:val="center"/>
      </w:pPr>
      <w:r>
        <w:rPr>
          <w:sz w:val="22"/>
          <w:szCs w:val="22"/>
        </w:rPr>
        <w:t xml:space="preserve">Dataset: Retail Store Transactions, Items, Returns and Customers</w:t>
      </w:r>
    </w:p>
    <w:p>
      <w:pPr>
        <w:spacing w:after="100"/>
        <w:jc w:val="center"/>
      </w:pPr>
      <w:r>
        <w:rPr>
          <w:sz w:val="22"/>
          <w:szCs w:val="22"/>
        </w:rPr>
        <w:t xml:space="preserve">Prepared from supplied project implementation screenshots</w:t>
      </w:r>
    </w:p>
    <w:p>
      <w:pPr>
        <w:spacing w:after="100"/>
        <w:jc w:val="center"/>
      </w:pPr>
      <w:r>
        <w:rPr>
          <w:sz w:val="22"/>
          <w:szCs w:val="22"/>
        </w:rPr>
        <w:t xml:space="preserve">Platform: Microsoft Fabric, Power BI and Power BI Report Builder</w:t>
      </w:r>
    </w:p>
    <w:p>
      <w:r>
        <w:br w:type="page"/>
      </w:r>
    </w:p>
    <w:p>
      <w:pPr>
        <w:pStyle w:val="Heading1"/>
        <w:keepNext/>
        <w:spacing w:after="160" w:before="360"/>
      </w:pPr>
      <w:r>
        <w:t xml:space="preserve">Executive Summary</w:t>
      </w:r>
    </w:p>
    <w:p>
      <w:pPr>
        <w:spacing w:after="160"/>
      </w:pPr>
      <w:r>
        <w:t xml:space="preserve">This document records the Retail Operations business-intelligence solution, covering dataset inspection and validation, ingestion of 13 Parquet files into a Microsoft Fabric Lakehouse, semantic-model design, row-level security (RLS) for regional managers, a Power BI store sales summary, and a paginated Monthly Operational &amp; Audit Report built in Power BI Report Builder. The evidence in the supplied screenshots is consolidated into one implementation report.</w:t>
      </w:r>
    </w:p>
    <w:p>
      <w:pPr>
        <w:spacing w:after="160"/>
      </w:pPr>
      <w:r>
        <w:t xml:space="preserve">The dataset contains 598,537 rows across 13 related tables, centred on 164,968 transactions and 420,016 transaction line items for 16 stores in 8 Australian regions. Referential-integrity checks found zero invalid keys across every tested relationship and zero duplicate primary keys, supporting a reliable relational model. Headline results are total sales of 120,708,096.68, gross profit of 69,853,023.67 and refunds of 1,657,952.83.</w:t>
      </w:r>
    </w:p>
    <w:p>
      <w:pPr>
        <w:pStyle w:val="Heading2"/>
        <w:keepNext/>
        <w:spacing w:after="120" w:before="280"/>
      </w:pPr>
      <w:r>
        <w:t xml:space="preserve">Key Outcomes</w:t>
      </w:r>
    </w:p>
    <w:p>
      <w:pPr>
        <w:pStyle w:val="ListParagraph"/>
        <w:numPr>
          <w:ilvl w:val="0"/>
          <w:numId w:val="1"/>
        </w:numPr>
        <w:spacing w:after="100"/>
      </w:pPr>
      <w:r>
        <w:t xml:space="preserve">Inspected all 13 Parquet source tables and validated row counts, nulls, duplicates and foreign-key integrity with Python.</w:t>
      </w:r>
    </w:p>
    <w:p>
      <w:pPr>
        <w:pStyle w:val="ListParagraph"/>
        <w:numPr>
          <w:ilvl w:val="0"/>
          <w:numId w:val="1"/>
        </w:numPr>
        <w:spacing w:after="100"/>
      </w:pPr>
      <w:r>
        <w:t xml:space="preserve">Uploaded the files to the Retail_Operations Lakehouse in Fabric and exposed them as Delta tables in the dbo schema.</w:t>
      </w:r>
    </w:p>
    <w:p>
      <w:pPr>
        <w:pStyle w:val="ListParagraph"/>
        <w:numPr>
          <w:ilvl w:val="0"/>
          <w:numId w:val="1"/>
        </w:numPr>
        <w:spacing w:after="100"/>
      </w:pPr>
      <w:r>
        <w:t xml:space="preserve">Built a 13-table relational semantic model (Retail_Operations_Model) covering the geography, store, transaction, product and customer domains.</w:t>
      </w:r>
    </w:p>
    <w:p>
      <w:pPr>
        <w:pStyle w:val="ListParagraph"/>
        <w:numPr>
          <w:ilvl w:val="0"/>
          <w:numId w:val="1"/>
        </w:numPr>
        <w:spacing w:after="100"/>
      </w:pPr>
      <w:r>
        <w:t xml:space="preserve">Implemented dynamic row-level security using a RegionSecurity table, a RegionalManager role and the USERPRINCIPALNAME() function.</w:t>
      </w:r>
    </w:p>
    <w:p>
      <w:pPr>
        <w:pStyle w:val="ListParagraph"/>
        <w:numPr>
          <w:ilvl w:val="0"/>
          <w:numId w:val="1"/>
        </w:numPr>
        <w:spacing w:after="100"/>
      </w:pPr>
      <w:r>
        <w:t xml:space="preserve">Produced a Power BI store-level sales table that reconciles to the overall total of 120,708,096.68.</w:t>
      </w:r>
    </w:p>
    <w:p>
      <w:pPr>
        <w:pStyle w:val="ListParagraph"/>
        <w:numPr>
          <w:ilvl w:val="0"/>
          <w:numId w:val="1"/>
        </w:numPr>
        <w:spacing w:after="100"/>
      </w:pPr>
      <w:r>
        <w:t xml:space="preserve">Connected Power BI Report Builder to the semantic model and delivered a paginated report with KPI summary, month and year parameters and a region/store breakdown.</w:t>
      </w:r>
    </w:p>
    <w:p>
      <w:pPr>
        <w:pStyle w:val="Heading1"/>
        <w:keepNext/>
        <w:spacing w:after="160" w:before="360"/>
      </w:pPr>
      <w:r>
        <w:t xml:space="preserve">Contents</w:t>
      </w:r>
    </w:p>
    <w:p>
      <w:pPr>
        <w:spacing w:after="160"/>
      </w:pPr>
      <w:r>
        <w:rPr>
          <w:sz w:val="22"/>
          <w:szCs w:val="22"/>
        </w:rPr>
        <w:t xml:space="preserve">1. Project and Dataset Overview</w:t>
      </w:r>
    </w:p>
    <w:p>
      <w:pPr>
        <w:spacing w:after="160"/>
      </w:pPr>
      <w:r>
        <w:rPr>
          <w:sz w:val="22"/>
          <w:szCs w:val="22"/>
        </w:rPr>
        <w:t xml:space="preserve">2. Data Validation</w:t>
      </w:r>
    </w:p>
    <w:p>
      <w:pPr>
        <w:spacing w:after="160"/>
      </w:pPr>
      <w:r>
        <w:rPr>
          <w:sz w:val="22"/>
          <w:szCs w:val="22"/>
        </w:rPr>
        <w:t xml:space="preserve">3. Fabric Lakehouse Ingestion</w:t>
      </w:r>
    </w:p>
    <w:p>
      <w:pPr>
        <w:spacing w:after="160"/>
      </w:pPr>
      <w:r>
        <w:rPr>
          <w:sz w:val="22"/>
          <w:szCs w:val="22"/>
        </w:rPr>
        <w:t xml:space="preserve">4. Semantic Model and Relationships</w:t>
      </w:r>
    </w:p>
    <w:p>
      <w:pPr>
        <w:spacing w:after="160"/>
      </w:pPr>
      <w:r>
        <w:rPr>
          <w:sz w:val="22"/>
          <w:szCs w:val="22"/>
        </w:rPr>
        <w:t xml:space="preserve">5. Row-Level Security</w:t>
      </w:r>
    </w:p>
    <w:p>
      <w:pPr>
        <w:spacing w:after="160"/>
      </w:pPr>
      <w:r>
        <w:rPr>
          <w:sz w:val="22"/>
          <w:szCs w:val="22"/>
        </w:rPr>
        <w:t xml:space="preserve">6. Power BI Store Sales Summary</w:t>
      </w:r>
    </w:p>
    <w:p>
      <w:pPr>
        <w:spacing w:after="160"/>
      </w:pPr>
      <w:r>
        <w:rPr>
          <w:sz w:val="22"/>
          <w:szCs w:val="22"/>
        </w:rPr>
        <w:t xml:space="preserve">7. Paginated Reporting with Report Builder</w:t>
      </w:r>
    </w:p>
    <w:p>
      <w:pPr>
        <w:spacing w:after="160"/>
      </w:pPr>
      <w:r>
        <w:rPr>
          <w:sz w:val="22"/>
          <w:szCs w:val="22"/>
        </w:rPr>
        <w:t xml:space="preserve">8. Validation, Limitations and Recommendations</w:t>
      </w:r>
    </w:p>
    <w:p>
      <w:pPr>
        <w:spacing w:after="160"/>
      </w:pPr>
      <w:r>
        <w:rPr>
          <w:sz w:val="22"/>
          <w:szCs w:val="22"/>
        </w:rPr>
        <w:t xml:space="preserve">9. Conclusion</w:t>
      </w:r>
    </w:p>
    <w:p>
      <w:pPr>
        <w:spacing w:after="160"/>
      </w:pPr>
      <w:r>
        <w:rPr>
          <w:sz w:val="22"/>
          <w:szCs w:val="22"/>
        </w:rPr>
        <w:t xml:space="preserve">Appendix A - Evidence Map</w:t>
      </w:r>
    </w:p>
    <w:p>
      <w:r>
        <w:br w:type="page"/>
      </w:r>
    </w:p>
    <w:p>
      <w:pPr>
        <w:pStyle w:val="Heading1"/>
        <w:keepNext/>
        <w:spacing w:after="160" w:before="360"/>
      </w:pPr>
      <w:r>
        <w:t xml:space="preserve">1. Project and Dataset Overview</w:t>
      </w:r>
    </w:p>
    <w:p>
      <w:pPr>
        <w:spacing w:after="160"/>
      </w:pPr>
      <w:r>
        <w:t xml:space="preserve">The project analyses retail operations by combining store and regional hierarchy, sales transactions, transaction line items, product and supplier reference data, promotions, customers and returns. The objective is to turn the operational source files into a governed business-intelligence solution that supports sales and profit monitoring, regional access control and repeatable monthly reporting.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000"/>
      </w:tblGrid>
      <w:tr>
        <w:trPr>
          <w:cantSplit/>
          <w:tblHeader/>
        </w:trPr>
        <w:tc>
          <w:tcPr>
            <w:tcW w:type="dxa" w:w="2000"/>
            <w:shd w:fill="2F5496" w:color="auto" w:val="clear"/>
            <w:tcMar>
              <w:top w:type="dxa" w:w="80"/>
              <w:left w:type="dxa" w:w="100"/>
              <w:bottom w:type="dxa" w:w="80"/>
              <w:right w:type="dxa" w:w="100"/>
            </w:tcMar>
          </w:tcPr>
          <w:p>
            <w:r>
              <w:rPr>
                <w:b/>
                <w:bCs/>
                <w:color w:val="FFFFFF"/>
              </w:rPr>
              <w:t xml:space="preserve">Table</w:t>
            </w:r>
          </w:p>
        </w:tc>
        <w:tc>
          <w:tcPr>
            <w:tcW w:type="dxa" w:w="1500"/>
            <w:shd w:fill="2F5496" w:color="auto" w:val="clear"/>
            <w:tcMar>
              <w:top w:type="dxa" w:w="80"/>
              <w:left w:type="dxa" w:w="100"/>
              <w:bottom w:type="dxa" w:w="80"/>
              <w:right w:type="dxa" w:w="100"/>
            </w:tcMar>
          </w:tcPr>
          <w:p>
            <w:r>
              <w:rPr>
                <w:b/>
                <w:bCs/>
                <w:color w:val="FFFFFF"/>
              </w:rPr>
              <w:t xml:space="preserve">Rows</w:t>
            </w:r>
          </w:p>
        </w:tc>
        <w:tc>
          <w:tcPr>
            <w:tcW w:type="dxa" w:w="6000"/>
            <w:shd w:fill="2F5496" w:color="auto" w:val="clear"/>
            <w:tcMar>
              <w:top w:type="dxa" w:w="80"/>
              <w:left w:type="dxa" w:w="100"/>
              <w:bottom w:type="dxa" w:w="80"/>
              <w:right w:type="dxa" w:w="100"/>
            </w:tcMar>
          </w:tcPr>
          <w:p>
            <w:r>
              <w:rPr>
                <w:b/>
                <w:bCs/>
                <w:color w:val="FFFFFF"/>
              </w:rPr>
              <w:t xml:space="preserve">Analytical role</w:t>
            </w:r>
          </w:p>
        </w:tc>
      </w:tr>
      <w:tr>
        <w:trPr>
          <w:cantSplit/>
        </w:trPr>
        <w:tc>
          <w:tcPr>
            <w:tcW w:type="dxa" w:w="2000"/>
            <w:tcMar>
              <w:top w:type="dxa" w:w="80"/>
              <w:left w:type="dxa" w:w="100"/>
              <w:bottom w:type="dxa" w:w="80"/>
              <w:right w:type="dxa" w:w="100"/>
            </w:tcMar>
          </w:tcPr>
          <w:p>
            <w:r>
              <w:t xml:space="preserve">transactions</w:t>
            </w:r>
          </w:p>
        </w:tc>
        <w:tc>
          <w:tcPr>
            <w:tcW w:type="dxa" w:w="1500"/>
            <w:tcMar>
              <w:top w:type="dxa" w:w="80"/>
              <w:left w:type="dxa" w:w="100"/>
              <w:bottom w:type="dxa" w:w="80"/>
              <w:right w:type="dxa" w:w="100"/>
            </w:tcMar>
          </w:tcPr>
          <w:p>
            <w:r>
              <w:t xml:space="preserve">164,968</w:t>
            </w:r>
          </w:p>
        </w:tc>
        <w:tc>
          <w:tcPr>
            <w:tcW w:type="dxa" w:w="6000"/>
            <w:tcMar>
              <w:top w:type="dxa" w:w="80"/>
              <w:left w:type="dxa" w:w="100"/>
              <w:bottom w:type="dxa" w:w="80"/>
              <w:right w:type="dxa" w:w="100"/>
            </w:tcMar>
          </w:tcPr>
          <w:p>
            <w:r>
              <w:t xml:space="preserve">Sales header records (customer, store, date, channel, payment method, total amount)</w:t>
            </w:r>
          </w:p>
        </w:tc>
      </w:tr>
      <w:tr>
        <w:trPr>
          <w:cantSplit/>
        </w:trPr>
        <w:tc>
          <w:tcPr>
            <w:tcW w:type="dxa" w:w="2000"/>
            <w:shd w:fill="F2F2F2" w:color="auto" w:val="clear"/>
            <w:tcMar>
              <w:top w:type="dxa" w:w="80"/>
              <w:left w:type="dxa" w:w="100"/>
              <w:bottom w:type="dxa" w:w="80"/>
              <w:right w:type="dxa" w:w="100"/>
            </w:tcMar>
          </w:tcPr>
          <w:p>
            <w:r>
              <w:t xml:space="preserve">items</w:t>
            </w:r>
          </w:p>
        </w:tc>
        <w:tc>
          <w:tcPr>
            <w:tcW w:type="dxa" w:w="1500"/>
            <w:shd w:fill="F2F2F2" w:color="auto" w:val="clear"/>
            <w:tcMar>
              <w:top w:type="dxa" w:w="80"/>
              <w:left w:type="dxa" w:w="100"/>
              <w:bottom w:type="dxa" w:w="80"/>
              <w:right w:type="dxa" w:w="100"/>
            </w:tcMar>
          </w:tcPr>
          <w:p>
            <w:r>
              <w:t xml:space="preserve">420,016</w:t>
            </w:r>
          </w:p>
        </w:tc>
        <w:tc>
          <w:tcPr>
            <w:tcW w:type="dxa" w:w="6000"/>
            <w:shd w:fill="F2F2F2" w:color="auto" w:val="clear"/>
            <w:tcMar>
              <w:top w:type="dxa" w:w="80"/>
              <w:left w:type="dxa" w:w="100"/>
              <w:bottom w:type="dxa" w:w="80"/>
              <w:right w:type="dxa" w:w="100"/>
            </w:tcMar>
          </w:tcPr>
          <w:p>
            <w:r>
              <w:t xml:space="preserve">Transaction line items (quantity, unit price, discount, line total, gross profit)</w:t>
            </w:r>
          </w:p>
        </w:tc>
      </w:tr>
      <w:tr>
        <w:trPr>
          <w:cantSplit/>
        </w:trPr>
        <w:tc>
          <w:tcPr>
            <w:tcW w:type="dxa" w:w="2000"/>
            <w:tcMar>
              <w:top w:type="dxa" w:w="80"/>
              <w:left w:type="dxa" w:w="100"/>
              <w:bottom w:type="dxa" w:w="80"/>
              <w:right w:type="dxa" w:w="100"/>
            </w:tcMar>
          </w:tcPr>
          <w:p>
            <w:r>
              <w:t xml:space="preserve">returns</w:t>
            </w:r>
          </w:p>
        </w:tc>
        <w:tc>
          <w:tcPr>
            <w:tcW w:type="dxa" w:w="1500"/>
            <w:tcMar>
              <w:top w:type="dxa" w:w="80"/>
              <w:left w:type="dxa" w:w="100"/>
              <w:bottom w:type="dxa" w:w="80"/>
              <w:right w:type="dxa" w:w="100"/>
            </w:tcMar>
          </w:tcPr>
          <w:p>
            <w:r>
              <w:t xml:space="preserve">8,762</w:t>
            </w:r>
          </w:p>
        </w:tc>
        <w:tc>
          <w:tcPr>
            <w:tcW w:type="dxa" w:w="6000"/>
            <w:tcMar>
              <w:top w:type="dxa" w:w="80"/>
              <w:left w:type="dxa" w:w="100"/>
              <w:bottom w:type="dxa" w:w="80"/>
              <w:right w:type="dxa" w:w="100"/>
            </w:tcMar>
          </w:tcPr>
          <w:p>
            <w:r>
              <w:t xml:space="preserve">Returned items with reason code, quantity and refund amount</w:t>
            </w:r>
          </w:p>
        </w:tc>
      </w:tr>
      <w:tr>
        <w:trPr>
          <w:cantSplit/>
        </w:trPr>
        <w:tc>
          <w:tcPr>
            <w:tcW w:type="dxa" w:w="2000"/>
            <w:shd w:fill="F2F2F2" w:color="auto" w:val="clear"/>
            <w:tcMar>
              <w:top w:type="dxa" w:w="80"/>
              <w:left w:type="dxa" w:w="100"/>
              <w:bottom w:type="dxa" w:w="80"/>
              <w:right w:type="dxa" w:w="100"/>
            </w:tcMar>
          </w:tcPr>
          <w:p>
            <w:r>
              <w:t xml:space="preserve">customers</w:t>
            </w:r>
          </w:p>
        </w:tc>
        <w:tc>
          <w:tcPr>
            <w:tcW w:type="dxa" w:w="1500"/>
            <w:shd w:fill="F2F2F2" w:color="auto" w:val="clear"/>
            <w:tcMar>
              <w:top w:type="dxa" w:w="80"/>
              <w:left w:type="dxa" w:w="100"/>
              <w:bottom w:type="dxa" w:w="80"/>
              <w:right w:type="dxa" w:w="100"/>
            </w:tcMar>
          </w:tcPr>
          <w:p>
            <w:r>
              <w:t xml:space="preserve">3,157</w:t>
            </w:r>
          </w:p>
        </w:tc>
        <w:tc>
          <w:tcPr>
            <w:tcW w:type="dxa" w:w="6000"/>
            <w:shd w:fill="F2F2F2" w:color="auto" w:val="clear"/>
            <w:tcMar>
              <w:top w:type="dxa" w:w="80"/>
              <w:left w:type="dxa" w:w="100"/>
              <w:bottom w:type="dxa" w:w="80"/>
              <w:right w:type="dxa" w:w="100"/>
            </w:tcMar>
          </w:tcPr>
          <w:p>
            <w:r>
              <w:t xml:space="preserve">Customer profile (loyalty tier, age group, income level, location)</w:t>
            </w:r>
          </w:p>
        </w:tc>
      </w:tr>
      <w:tr>
        <w:trPr>
          <w:cantSplit/>
        </w:trPr>
        <w:tc>
          <w:tcPr>
            <w:tcW w:type="dxa" w:w="2000"/>
            <w:tcMar>
              <w:top w:type="dxa" w:w="80"/>
              <w:left w:type="dxa" w:w="100"/>
              <w:bottom w:type="dxa" w:w="80"/>
              <w:right w:type="dxa" w:w="100"/>
            </w:tcMar>
          </w:tcPr>
          <w:p>
            <w:r>
              <w:t xml:space="preserve">date_dim</w:t>
            </w:r>
          </w:p>
        </w:tc>
        <w:tc>
          <w:tcPr>
            <w:tcW w:type="dxa" w:w="1500"/>
            <w:tcMar>
              <w:top w:type="dxa" w:w="80"/>
              <w:left w:type="dxa" w:w="100"/>
              <w:bottom w:type="dxa" w:w="80"/>
              <w:right w:type="dxa" w:w="100"/>
            </w:tcMar>
          </w:tcPr>
          <w:p>
            <w:r>
              <w:t xml:space="preserve">1,095</w:t>
            </w:r>
          </w:p>
        </w:tc>
        <w:tc>
          <w:tcPr>
            <w:tcW w:type="dxa" w:w="6000"/>
            <w:tcMar>
              <w:top w:type="dxa" w:w="80"/>
              <w:left w:type="dxa" w:w="100"/>
              <w:bottom w:type="dxa" w:w="80"/>
              <w:right w:type="dxa" w:w="100"/>
            </w:tcMar>
          </w:tcPr>
          <w:p>
            <w:r>
              <w:t xml:space="preserve">Calendar dimension covering three years, with fiscal and holiday attributes</w:t>
            </w:r>
          </w:p>
        </w:tc>
      </w:tr>
      <w:tr>
        <w:trPr>
          <w:cantSplit/>
        </w:trPr>
        <w:tc>
          <w:tcPr>
            <w:tcW w:type="dxa" w:w="2000"/>
            <w:shd w:fill="F2F2F2" w:color="auto" w:val="clear"/>
            <w:tcMar>
              <w:top w:type="dxa" w:w="80"/>
              <w:left w:type="dxa" w:w="100"/>
              <w:bottom w:type="dxa" w:w="80"/>
              <w:right w:type="dxa" w:w="100"/>
            </w:tcMar>
          </w:tcPr>
          <w:p>
            <w:r>
              <w:t xml:space="preserve">products</w:t>
            </w:r>
          </w:p>
        </w:tc>
        <w:tc>
          <w:tcPr>
            <w:tcW w:type="dxa" w:w="1500"/>
            <w:shd w:fill="F2F2F2" w:color="auto" w:val="clear"/>
            <w:tcMar>
              <w:top w:type="dxa" w:w="80"/>
              <w:left w:type="dxa" w:w="100"/>
              <w:bottom w:type="dxa" w:w="80"/>
              <w:right w:type="dxa" w:w="100"/>
            </w:tcMar>
          </w:tcPr>
          <w:p>
            <w:r>
              <w:t xml:space="preserve">342</w:t>
            </w:r>
          </w:p>
        </w:tc>
        <w:tc>
          <w:tcPr>
            <w:tcW w:type="dxa" w:w="6000"/>
            <w:shd w:fill="F2F2F2" w:color="auto" w:val="clear"/>
            <w:tcMar>
              <w:top w:type="dxa" w:w="80"/>
              <w:left w:type="dxa" w:w="100"/>
              <w:bottom w:type="dxa" w:w="80"/>
              <w:right w:type="dxa" w:w="100"/>
            </w:tcMar>
          </w:tcPr>
          <w:p>
            <w:r>
              <w:t xml:space="preserve">Product catalogue (SKU, category, brand, supplier, price, cost)</w:t>
            </w:r>
          </w:p>
        </w:tc>
      </w:tr>
      <w:tr>
        <w:trPr>
          <w:cantSplit/>
        </w:trPr>
        <w:tc>
          <w:tcPr>
            <w:tcW w:type="dxa" w:w="2000"/>
            <w:tcMar>
              <w:top w:type="dxa" w:w="80"/>
              <w:left w:type="dxa" w:w="100"/>
              <w:bottom w:type="dxa" w:w="80"/>
              <w:right w:type="dxa" w:w="100"/>
            </w:tcMar>
          </w:tcPr>
          <w:p>
            <w:r>
              <w:t xml:space="preserve">promotions</w:t>
            </w:r>
          </w:p>
        </w:tc>
        <w:tc>
          <w:tcPr>
            <w:tcW w:type="dxa" w:w="1500"/>
            <w:tcMar>
              <w:top w:type="dxa" w:w="80"/>
              <w:left w:type="dxa" w:w="100"/>
              <w:bottom w:type="dxa" w:w="80"/>
              <w:right w:type="dxa" w:w="100"/>
            </w:tcMar>
          </w:tcPr>
          <w:p>
            <w:r>
              <w:t xml:space="preserve">45</w:t>
            </w:r>
          </w:p>
        </w:tc>
        <w:tc>
          <w:tcPr>
            <w:tcW w:type="dxa" w:w="6000"/>
            <w:tcMar>
              <w:top w:type="dxa" w:w="80"/>
              <w:left w:type="dxa" w:w="100"/>
              <w:bottom w:type="dxa" w:w="80"/>
              <w:right w:type="dxa" w:w="100"/>
            </w:tcMar>
          </w:tcPr>
          <w:p>
            <w:r>
              <w:t xml:space="preserve">Promotion definitions and validity dates</w:t>
            </w:r>
          </w:p>
        </w:tc>
      </w:tr>
      <w:tr>
        <w:trPr>
          <w:cantSplit/>
        </w:trPr>
        <w:tc>
          <w:tcPr>
            <w:tcW w:type="dxa" w:w="2000"/>
            <w:shd w:fill="F2F2F2" w:color="auto" w:val="clear"/>
            <w:tcMar>
              <w:top w:type="dxa" w:w="80"/>
              <w:left w:type="dxa" w:w="100"/>
              <w:bottom w:type="dxa" w:w="80"/>
              <w:right w:type="dxa" w:w="100"/>
            </w:tcMar>
          </w:tcPr>
          <w:p>
            <w:r>
              <w:t xml:space="preserve">brands</w:t>
            </w:r>
          </w:p>
        </w:tc>
        <w:tc>
          <w:tcPr>
            <w:tcW w:type="dxa" w:w="1500"/>
            <w:shd w:fill="F2F2F2" w:color="auto" w:val="clear"/>
            <w:tcMar>
              <w:top w:type="dxa" w:w="80"/>
              <w:left w:type="dxa" w:w="100"/>
              <w:bottom w:type="dxa" w:w="80"/>
              <w:right w:type="dxa" w:w="100"/>
            </w:tcMar>
          </w:tcPr>
          <w:p>
            <w:r>
              <w:t xml:space="preserve">37</w:t>
            </w:r>
          </w:p>
        </w:tc>
        <w:tc>
          <w:tcPr>
            <w:tcW w:type="dxa" w:w="6000"/>
            <w:shd w:fill="F2F2F2" w:color="auto" w:val="clear"/>
            <w:tcMar>
              <w:top w:type="dxa" w:w="80"/>
              <w:left w:type="dxa" w:w="100"/>
              <w:bottom w:type="dxa" w:w="80"/>
              <w:right w:type="dxa" w:w="100"/>
            </w:tcMar>
          </w:tcPr>
          <w:p>
            <w:r>
              <w:t xml:space="preserve">Brand reference with country of origin</w:t>
            </w:r>
          </w:p>
        </w:tc>
      </w:tr>
      <w:tr>
        <w:trPr>
          <w:cantSplit/>
        </w:trPr>
        <w:tc>
          <w:tcPr>
            <w:tcW w:type="dxa" w:w="2000"/>
            <w:tcMar>
              <w:top w:type="dxa" w:w="80"/>
              <w:left w:type="dxa" w:w="100"/>
              <w:bottom w:type="dxa" w:w="80"/>
              <w:right w:type="dxa" w:w="100"/>
            </w:tcMar>
          </w:tcPr>
          <w:p>
            <w:r>
              <w:t xml:space="preserve">categories</w:t>
            </w:r>
          </w:p>
        </w:tc>
        <w:tc>
          <w:tcPr>
            <w:tcW w:type="dxa" w:w="1500"/>
            <w:tcMar>
              <w:top w:type="dxa" w:w="80"/>
              <w:left w:type="dxa" w:w="100"/>
              <w:bottom w:type="dxa" w:w="80"/>
              <w:right w:type="dxa" w:w="100"/>
            </w:tcMar>
          </w:tcPr>
          <w:p>
            <w:r>
              <w:t xml:space="preserve">36</w:t>
            </w:r>
          </w:p>
        </w:tc>
        <w:tc>
          <w:tcPr>
            <w:tcW w:type="dxa" w:w="6000"/>
            <w:tcMar>
              <w:top w:type="dxa" w:w="80"/>
              <w:left w:type="dxa" w:w="100"/>
              <w:bottom w:type="dxa" w:w="80"/>
              <w:right w:type="dxa" w:w="100"/>
            </w:tcMar>
          </w:tcPr>
          <w:p>
            <w:r>
              <w:t xml:space="preserve">Product category hierarchy</w:t>
            </w:r>
          </w:p>
        </w:tc>
      </w:tr>
      <w:tr>
        <w:trPr>
          <w:cantSplit/>
        </w:trPr>
        <w:tc>
          <w:tcPr>
            <w:tcW w:type="dxa" w:w="2000"/>
            <w:shd w:fill="F2F2F2" w:color="auto" w:val="clear"/>
            <w:tcMar>
              <w:top w:type="dxa" w:w="80"/>
              <w:left w:type="dxa" w:w="100"/>
              <w:bottom w:type="dxa" w:w="80"/>
              <w:right w:type="dxa" w:w="100"/>
            </w:tcMar>
          </w:tcPr>
          <w:p>
            <w:r>
              <w:t xml:space="preserve">districts</w:t>
            </w:r>
          </w:p>
        </w:tc>
        <w:tc>
          <w:tcPr>
            <w:tcW w:type="dxa" w:w="1500"/>
            <w:shd w:fill="F2F2F2" w:color="auto" w:val="clear"/>
            <w:tcMar>
              <w:top w:type="dxa" w:w="80"/>
              <w:left w:type="dxa" w:w="100"/>
              <w:bottom w:type="dxa" w:w="80"/>
              <w:right w:type="dxa" w:w="100"/>
            </w:tcMar>
          </w:tcPr>
          <w:p>
            <w:r>
              <w:t xml:space="preserve">35</w:t>
            </w:r>
          </w:p>
        </w:tc>
        <w:tc>
          <w:tcPr>
            <w:tcW w:type="dxa" w:w="6000"/>
            <w:shd w:fill="F2F2F2" w:color="auto" w:val="clear"/>
            <w:tcMar>
              <w:top w:type="dxa" w:w="80"/>
              <w:left w:type="dxa" w:w="100"/>
              <w:bottom w:type="dxa" w:w="80"/>
              <w:right w:type="dxa" w:w="100"/>
            </w:tcMar>
          </w:tcPr>
          <w:p>
            <w:r>
              <w:t xml:space="preserve">District level of the geographic hierarchy</w:t>
            </w:r>
          </w:p>
        </w:tc>
      </w:tr>
      <w:tr>
        <w:trPr>
          <w:cantSplit/>
        </w:trPr>
        <w:tc>
          <w:tcPr>
            <w:tcW w:type="dxa" w:w="2000"/>
            <w:tcMar>
              <w:top w:type="dxa" w:w="80"/>
              <w:left w:type="dxa" w:w="100"/>
              <w:bottom w:type="dxa" w:w="80"/>
              <w:right w:type="dxa" w:w="100"/>
            </w:tcMar>
          </w:tcPr>
          <w:p>
            <w:r>
              <w:t xml:space="preserve">suppliers</w:t>
            </w:r>
          </w:p>
        </w:tc>
        <w:tc>
          <w:tcPr>
            <w:tcW w:type="dxa" w:w="1500"/>
            <w:tcMar>
              <w:top w:type="dxa" w:w="80"/>
              <w:left w:type="dxa" w:w="100"/>
              <w:bottom w:type="dxa" w:w="80"/>
              <w:right w:type="dxa" w:w="100"/>
            </w:tcMar>
          </w:tcPr>
          <w:p>
            <w:r>
              <w:t xml:space="preserve">20</w:t>
            </w:r>
          </w:p>
        </w:tc>
        <w:tc>
          <w:tcPr>
            <w:tcW w:type="dxa" w:w="6000"/>
            <w:tcMar>
              <w:top w:type="dxa" w:w="80"/>
              <w:left w:type="dxa" w:w="100"/>
              <w:bottom w:type="dxa" w:w="80"/>
              <w:right w:type="dxa" w:w="100"/>
            </w:tcMar>
          </w:tcPr>
          <w:p>
            <w:r>
              <w:t xml:space="preserve">Supplier reference with lead time</w:t>
            </w:r>
          </w:p>
        </w:tc>
      </w:tr>
      <w:tr>
        <w:trPr>
          <w:cantSplit/>
        </w:trPr>
        <w:tc>
          <w:tcPr>
            <w:tcW w:type="dxa" w:w="2000"/>
            <w:shd w:fill="F2F2F2" w:color="auto" w:val="clear"/>
            <w:tcMar>
              <w:top w:type="dxa" w:w="80"/>
              <w:left w:type="dxa" w:w="100"/>
              <w:bottom w:type="dxa" w:w="80"/>
              <w:right w:type="dxa" w:w="100"/>
            </w:tcMar>
          </w:tcPr>
          <w:p>
            <w:r>
              <w:t xml:space="preserve">stores</w:t>
            </w:r>
          </w:p>
        </w:tc>
        <w:tc>
          <w:tcPr>
            <w:tcW w:type="dxa" w:w="1500"/>
            <w:shd w:fill="F2F2F2" w:color="auto" w:val="clear"/>
            <w:tcMar>
              <w:top w:type="dxa" w:w="80"/>
              <w:left w:type="dxa" w:w="100"/>
              <w:bottom w:type="dxa" w:w="80"/>
              <w:right w:type="dxa" w:w="100"/>
            </w:tcMar>
          </w:tcPr>
          <w:p>
            <w:r>
              <w:t xml:space="preserve">16</w:t>
            </w:r>
          </w:p>
        </w:tc>
        <w:tc>
          <w:tcPr>
            <w:tcW w:type="dxa" w:w="6000"/>
            <w:shd w:fill="F2F2F2" w:color="auto" w:val="clear"/>
            <w:tcMar>
              <w:top w:type="dxa" w:w="80"/>
              <w:left w:type="dxa" w:w="100"/>
              <w:bottom w:type="dxa" w:w="80"/>
              <w:right w:type="dxa" w:w="100"/>
            </w:tcMar>
          </w:tcPr>
          <w:p>
            <w:r>
              <w:t xml:space="preserve">Store master data (type, city, opening date, district)</w:t>
            </w:r>
          </w:p>
        </w:tc>
      </w:tr>
      <w:tr>
        <w:trPr>
          <w:cantSplit/>
        </w:trPr>
        <w:tc>
          <w:tcPr>
            <w:tcW w:type="dxa" w:w="2000"/>
            <w:tcMar>
              <w:top w:type="dxa" w:w="80"/>
              <w:left w:type="dxa" w:w="100"/>
              <w:bottom w:type="dxa" w:w="80"/>
              <w:right w:type="dxa" w:w="100"/>
            </w:tcMar>
          </w:tcPr>
          <w:p>
            <w:r>
              <w:t xml:space="preserve">regions</w:t>
            </w:r>
          </w:p>
        </w:tc>
        <w:tc>
          <w:tcPr>
            <w:tcW w:type="dxa" w:w="1500"/>
            <w:tcMar>
              <w:top w:type="dxa" w:w="80"/>
              <w:left w:type="dxa" w:w="100"/>
              <w:bottom w:type="dxa" w:w="80"/>
              <w:right w:type="dxa" w:w="100"/>
            </w:tcMar>
          </w:tcPr>
          <w:p>
            <w:r>
              <w:t xml:space="preserve">8</w:t>
            </w:r>
          </w:p>
        </w:tc>
        <w:tc>
          <w:tcPr>
            <w:tcW w:type="dxa" w:w="6000"/>
            <w:tcMar>
              <w:top w:type="dxa" w:w="80"/>
              <w:left w:type="dxa" w:w="100"/>
              <w:bottom w:type="dxa" w:w="80"/>
              <w:right w:type="dxa" w:w="100"/>
            </w:tcMar>
          </w:tcPr>
          <w:p>
            <w:r>
              <w:t xml:space="preserve">Top level of the geographic hierarchy</w:t>
            </w:r>
          </w:p>
        </w:tc>
      </w:tr>
      <w:tr>
        <w:trPr>
          <w:cantSplit/>
        </w:trPr>
        <w:tc>
          <w:tcPr>
            <w:tcW w:type="dxa" w:w="2000"/>
            <w:shd w:fill="F2F2F2" w:color="auto" w:val="clear"/>
            <w:tcMar>
              <w:top w:type="dxa" w:w="80"/>
              <w:left w:type="dxa" w:w="100"/>
              <w:bottom w:type="dxa" w:w="80"/>
              <w:right w:type="dxa" w:w="100"/>
            </w:tcMar>
          </w:tcPr>
          <w:p>
            <w:r>
              <w:t xml:space="preserve">Total</w:t>
            </w:r>
          </w:p>
        </w:tc>
        <w:tc>
          <w:tcPr>
            <w:tcW w:type="dxa" w:w="1500"/>
            <w:shd w:fill="F2F2F2" w:color="auto" w:val="clear"/>
            <w:tcMar>
              <w:top w:type="dxa" w:w="80"/>
              <w:left w:type="dxa" w:w="100"/>
              <w:bottom w:type="dxa" w:w="80"/>
              <w:right w:type="dxa" w:w="100"/>
            </w:tcMar>
          </w:tcPr>
          <w:p>
            <w:r>
              <w:t xml:space="preserve">598,537</w:t>
            </w:r>
          </w:p>
        </w:tc>
        <w:tc>
          <w:tcPr>
            <w:tcW w:type="dxa" w:w="6000"/>
            <w:shd w:fill="F2F2F2" w:color="auto" w:val="clear"/>
            <w:tcMar>
              <w:top w:type="dxa" w:w="80"/>
              <w:left w:type="dxa" w:w="100"/>
              <w:bottom w:type="dxa" w:w="80"/>
              <w:right w:type="dxa" w:w="100"/>
            </w:tcMar>
          </w:tcPr>
          <w:p>
            <w:r>
              <w:t xml:space="preserve">Combined project dataset</w:t>
            </w:r>
          </w:p>
        </w:tc>
      </w:tr>
    </w:tbl>
    <w:p>
      <w:pPr>
        <w:pStyle w:val="Heading2"/>
        <w:keepNext/>
        <w:spacing w:after="120" w:before="280"/>
      </w:pPr>
      <w:r>
        <w:t xml:space="preserve">1.1 Source Data Inspection</w:t>
      </w:r>
    </w:p>
    <w:p>
      <w:pPr>
        <w:keepNext/>
        <w:spacing w:after="100" w:before="200"/>
        <w:jc w:val="center"/>
      </w:pPr>
      <w:r>
        <w:drawing>
          <wp:inline distT="0" distB="0" distL="0" distR="0">
            <wp:extent cx="59436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86150"/>
                    </a:xfrm>
                    <a:prstGeom prst="rect">
                      <a:avLst/>
                    </a:prstGeom>
                  </pic:spPr>
                </pic:pic>
              </a:graphicData>
            </a:graphic>
          </wp:inline>
        </w:drawing>
      </w:r>
    </w:p>
    <w:p>
      <w:pPr>
        <w:spacing w:after="240"/>
        <w:jc w:val="center"/>
      </w:pPr>
      <w:r>
        <w:rPr>
          <w:b/>
          <w:bCs/>
          <w:color w:val="555555"/>
          <w:sz w:val="20"/>
          <w:szCs w:val="20"/>
        </w:rPr>
        <w:t xml:space="preserve">Figure 1. Terminal inspection of the Parquet source files (rows and columns per table)</w:t>
      </w:r>
    </w:p>
    <w:p>
      <w:pPr>
        <w:spacing w:after="160"/>
      </w:pPr>
      <w:r>
        <w:t xml:space="preserve">A Python script in Visual Studio Code read every Parquet file under the data folder and printed the row count and column list for each table. The output confirms the structure summarised above and shows the key columns used to join tables: region_id, district_id, store_id, transaction_id, item_id, product_id, customer_id and date_id. The large items and transactions files carry a partition_date column, and the tables are stored as train-*.parquet files.</w:t>
      </w:r>
    </w:p>
    <w:p>
      <w:pPr>
        <w:pStyle w:val="Heading2"/>
        <w:keepNext/>
        <w:spacing w:after="120" w:before="280"/>
      </w:pPr>
      <w:r>
        <w:t xml:space="preserve">1.2 Core Business Questions</w:t>
      </w:r>
    </w:p>
    <w:p>
      <w:pPr>
        <w:pStyle w:val="ListParagraph"/>
        <w:numPr>
          <w:ilvl w:val="0"/>
          <w:numId w:val="1"/>
        </w:numPr>
        <w:spacing w:after="100"/>
      </w:pPr>
      <w:r>
        <w:t xml:space="preserve">How do sales, transactions, units and gross profit compare across regions and stores?</w:t>
      </w:r>
    </w:p>
    <w:p>
      <w:pPr>
        <w:pStyle w:val="ListParagraph"/>
        <w:numPr>
          <w:ilvl w:val="0"/>
          <w:numId w:val="1"/>
        </w:numPr>
        <w:spacing w:after="100"/>
      </w:pPr>
      <w:r>
        <w:t xml:space="preserve">How large are returns relative to sales, and where are they concentrated?</w:t>
      </w:r>
    </w:p>
    <w:p>
      <w:pPr>
        <w:pStyle w:val="ListParagraph"/>
        <w:numPr>
          <w:ilvl w:val="0"/>
          <w:numId w:val="1"/>
        </w:numPr>
        <w:spacing w:after="100"/>
      </w:pPr>
      <w:r>
        <w:t xml:space="preserve">How can regional managers be restricted to the data for their own region?</w:t>
      </w:r>
    </w:p>
    <w:p>
      <w:pPr>
        <w:pStyle w:val="ListParagraph"/>
        <w:numPr>
          <w:ilvl w:val="0"/>
          <w:numId w:val="1"/>
        </w:numPr>
        <w:spacing w:after="100"/>
      </w:pPr>
      <w:r>
        <w:t xml:space="preserve">Can the operational reporting be produced repeatedly for a chosen month and year?</w:t>
      </w:r>
    </w:p>
    <w:p>
      <w:pPr>
        <w:pStyle w:val="ListParagraph"/>
        <w:numPr>
          <w:ilvl w:val="0"/>
          <w:numId w:val="1"/>
        </w:numPr>
        <w:spacing w:after="100"/>
      </w:pPr>
      <w:r>
        <w:t xml:space="preserve">Can the same governed semantic model serve both interactive Power BI reports and paginated reports?</w:t>
      </w:r>
    </w:p>
    <w:p>
      <w:pPr>
        <w:pStyle w:val="Heading1"/>
        <w:keepNext/>
        <w:spacing w:after="160" w:before="360"/>
      </w:pPr>
      <w:r>
        <w:t xml:space="preserve">2. Data Validation</w:t>
      </w:r>
    </w:p>
    <w:p>
      <w:pPr>
        <w:spacing w:after="160"/>
      </w:pPr>
      <w:r>
        <w:t xml:space="preserve">Before loading, the source tables were profiled for nulls and duplicate keys and tested for referential integrity. The checks were run as Python one-liners using pandas against the Parquet files.</w:t>
      </w:r>
    </w:p>
    <w:p>
      <w:pPr>
        <w:pStyle w:val="Heading2"/>
        <w:keepNext/>
        <w:spacing w:after="120" w:before="280"/>
      </w:pPr>
      <w:r>
        <w:t xml:space="preserve">2.1 Nulls and Duplicates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300"/>
      </w:tblGrid>
      <w:tr>
        <w:trPr>
          <w:cantSplit/>
          <w:tblHeader/>
        </w:trPr>
        <w:tc>
          <w:tcPr>
            <w:tcW w:type="dxa" w:w="2600"/>
            <w:shd w:fill="2F5496" w:color="auto" w:val="clear"/>
            <w:tcMar>
              <w:top w:type="dxa" w:w="80"/>
              <w:left w:type="dxa" w:w="100"/>
              <w:bottom w:type="dxa" w:w="80"/>
              <w:right w:type="dxa" w:w="100"/>
            </w:tcMar>
          </w:tcPr>
          <w:p>
            <w:r>
              <w:rPr>
                <w:b/>
                <w:bCs/>
                <w:color w:val="FFFFFF"/>
              </w:rPr>
              <w:t xml:space="preserve">Table</w:t>
            </w:r>
          </w:p>
        </w:tc>
        <w:tc>
          <w:tcPr>
            <w:tcW w:type="dxa" w:w="2200"/>
            <w:shd w:fill="2F5496" w:color="auto" w:val="clear"/>
            <w:tcMar>
              <w:top w:type="dxa" w:w="80"/>
              <w:left w:type="dxa" w:w="100"/>
              <w:bottom w:type="dxa" w:w="80"/>
              <w:right w:type="dxa" w:w="100"/>
            </w:tcMar>
          </w:tcPr>
          <w:p>
            <w:r>
              <w:rPr>
                <w:b/>
                <w:bCs/>
                <w:color w:val="FFFFFF"/>
              </w:rPr>
              <w:t xml:space="preserve">Rows</w:t>
            </w:r>
          </w:p>
        </w:tc>
        <w:tc>
          <w:tcPr>
            <w:tcW w:type="dxa" w:w="2400"/>
            <w:shd w:fill="2F5496" w:color="auto" w:val="clear"/>
            <w:tcMar>
              <w:top w:type="dxa" w:w="80"/>
              <w:left w:type="dxa" w:w="100"/>
              <w:bottom w:type="dxa" w:w="80"/>
              <w:right w:type="dxa" w:w="100"/>
            </w:tcMar>
          </w:tcPr>
          <w:p>
            <w:r>
              <w:rPr>
                <w:b/>
                <w:bCs/>
                <w:color w:val="FFFFFF"/>
              </w:rPr>
              <w:t xml:space="preserve">Null cells</w:t>
            </w:r>
          </w:p>
        </w:tc>
        <w:tc>
          <w:tcPr>
            <w:tcW w:type="dxa" w:w="2300"/>
            <w:shd w:fill="2F5496" w:color="auto" w:val="clear"/>
            <w:tcMar>
              <w:top w:type="dxa" w:w="80"/>
              <w:left w:type="dxa" w:w="100"/>
              <w:bottom w:type="dxa" w:w="80"/>
              <w:right w:type="dxa" w:w="100"/>
            </w:tcMar>
          </w:tcPr>
          <w:p>
            <w:r>
              <w:rPr>
                <w:b/>
                <w:bCs/>
                <w:color w:val="FFFFFF"/>
              </w:rPr>
              <w:t xml:space="preserve">Duplicate keys</w:t>
            </w:r>
          </w:p>
        </w:tc>
      </w:tr>
      <w:tr>
        <w:trPr>
          <w:cantSplit/>
        </w:trPr>
        <w:tc>
          <w:tcPr>
            <w:tcW w:type="dxa" w:w="2600"/>
            <w:tcMar>
              <w:top w:type="dxa" w:w="80"/>
              <w:left w:type="dxa" w:w="100"/>
              <w:bottom w:type="dxa" w:w="80"/>
              <w:right w:type="dxa" w:w="100"/>
            </w:tcMar>
          </w:tcPr>
          <w:p>
            <w:r>
              <w:t xml:space="preserve">brands</w:t>
            </w:r>
          </w:p>
        </w:tc>
        <w:tc>
          <w:tcPr>
            <w:tcW w:type="dxa" w:w="2200"/>
            <w:tcMar>
              <w:top w:type="dxa" w:w="80"/>
              <w:left w:type="dxa" w:w="100"/>
              <w:bottom w:type="dxa" w:w="80"/>
              <w:right w:type="dxa" w:w="100"/>
            </w:tcMar>
          </w:tcPr>
          <w:p>
            <w:r>
              <w:t xml:space="preserve">37</w:t>
            </w:r>
          </w:p>
        </w:tc>
        <w:tc>
          <w:tcPr>
            <w:tcW w:type="dxa" w:w="2400"/>
            <w:tcMar>
              <w:top w:type="dxa" w:w="80"/>
              <w:left w:type="dxa" w:w="100"/>
              <w:bottom w:type="dxa" w:w="80"/>
              <w:right w:type="dxa" w:w="100"/>
            </w:tcMar>
          </w:tcPr>
          <w:p>
            <w:r>
              <w:t xml:space="preserve">0</w:t>
            </w:r>
          </w:p>
        </w:tc>
        <w:tc>
          <w:tcPr>
            <w:tcW w:type="dxa" w:w="2300"/>
            <w:tcMar>
              <w:top w:type="dxa" w:w="80"/>
              <w:left w:type="dxa" w:w="100"/>
              <w:bottom w:type="dxa" w:w="80"/>
              <w:right w:type="dxa" w:w="100"/>
            </w:tcMar>
          </w:tcPr>
          <w:p>
            <w:r>
              <w:t xml:space="preserve">0</w:t>
            </w:r>
          </w:p>
        </w:tc>
      </w:tr>
      <w:tr>
        <w:trPr>
          <w:cantSplit/>
        </w:trPr>
        <w:tc>
          <w:tcPr>
            <w:tcW w:type="dxa" w:w="2600"/>
            <w:shd w:fill="F2F2F2" w:color="auto" w:val="clear"/>
            <w:tcMar>
              <w:top w:type="dxa" w:w="80"/>
              <w:left w:type="dxa" w:w="100"/>
              <w:bottom w:type="dxa" w:w="80"/>
              <w:right w:type="dxa" w:w="100"/>
            </w:tcMar>
          </w:tcPr>
          <w:p>
            <w:r>
              <w:t xml:space="preserve">categories</w:t>
            </w:r>
          </w:p>
        </w:tc>
        <w:tc>
          <w:tcPr>
            <w:tcW w:type="dxa" w:w="2200"/>
            <w:shd w:fill="F2F2F2" w:color="auto" w:val="clear"/>
            <w:tcMar>
              <w:top w:type="dxa" w:w="80"/>
              <w:left w:type="dxa" w:w="100"/>
              <w:bottom w:type="dxa" w:w="80"/>
              <w:right w:type="dxa" w:w="100"/>
            </w:tcMar>
          </w:tcPr>
          <w:p>
            <w:r>
              <w:t xml:space="preserve">36</w:t>
            </w:r>
          </w:p>
        </w:tc>
        <w:tc>
          <w:tcPr>
            <w:tcW w:type="dxa" w:w="2400"/>
            <w:shd w:fill="F2F2F2" w:color="auto" w:val="clear"/>
            <w:tcMar>
              <w:top w:type="dxa" w:w="80"/>
              <w:left w:type="dxa" w:w="100"/>
              <w:bottom w:type="dxa" w:w="80"/>
              <w:right w:type="dxa" w:w="100"/>
            </w:tcMar>
          </w:tcPr>
          <w:p>
            <w:r>
              <w:t xml:space="preserve">6</w:t>
            </w:r>
          </w:p>
        </w:tc>
        <w:tc>
          <w:tcPr>
            <w:tcW w:type="dxa" w:w="2300"/>
            <w:shd w:fill="F2F2F2" w:color="auto" w:val="clear"/>
            <w:tcMar>
              <w:top w:type="dxa" w:w="80"/>
              <w:left w:type="dxa" w:w="100"/>
              <w:bottom w:type="dxa" w:w="80"/>
              <w:right w:type="dxa" w:w="100"/>
            </w:tcMar>
          </w:tcPr>
          <w:p>
            <w:r>
              <w:t xml:space="preserve">0</w:t>
            </w:r>
          </w:p>
        </w:tc>
      </w:tr>
      <w:tr>
        <w:trPr>
          <w:cantSplit/>
        </w:trPr>
        <w:tc>
          <w:tcPr>
            <w:tcW w:type="dxa" w:w="2600"/>
            <w:tcMar>
              <w:top w:type="dxa" w:w="80"/>
              <w:left w:type="dxa" w:w="100"/>
              <w:bottom w:type="dxa" w:w="80"/>
              <w:right w:type="dxa" w:w="100"/>
            </w:tcMar>
          </w:tcPr>
          <w:p>
            <w:r>
              <w:t xml:space="preserve">customers</w:t>
            </w:r>
          </w:p>
        </w:tc>
        <w:tc>
          <w:tcPr>
            <w:tcW w:type="dxa" w:w="2200"/>
            <w:tcMar>
              <w:top w:type="dxa" w:w="80"/>
              <w:left w:type="dxa" w:w="100"/>
              <w:bottom w:type="dxa" w:w="80"/>
              <w:right w:type="dxa" w:w="100"/>
            </w:tcMar>
          </w:tcPr>
          <w:p>
            <w:r>
              <w:t xml:space="preserve">3,157</w:t>
            </w:r>
          </w:p>
        </w:tc>
        <w:tc>
          <w:tcPr>
            <w:tcW w:type="dxa" w:w="2400"/>
            <w:tcMar>
              <w:top w:type="dxa" w:w="80"/>
              <w:left w:type="dxa" w:w="100"/>
              <w:bottom w:type="dxa" w:w="80"/>
              <w:right w:type="dxa" w:w="100"/>
            </w:tcMar>
          </w:tcPr>
          <w:p>
            <w:r>
              <w:t xml:space="preserve">528</w:t>
            </w:r>
          </w:p>
        </w:tc>
        <w:tc>
          <w:tcPr>
            <w:tcW w:type="dxa" w:w="2300"/>
            <w:tcMar>
              <w:top w:type="dxa" w:w="80"/>
              <w:left w:type="dxa" w:w="100"/>
              <w:bottom w:type="dxa" w:w="80"/>
              <w:right w:type="dxa" w:w="100"/>
            </w:tcMar>
          </w:tcPr>
          <w:p>
            <w:r>
              <w:t xml:space="preserve">0</w:t>
            </w:r>
          </w:p>
        </w:tc>
      </w:tr>
      <w:tr>
        <w:trPr>
          <w:cantSplit/>
        </w:trPr>
        <w:tc>
          <w:tcPr>
            <w:tcW w:type="dxa" w:w="2600"/>
            <w:shd w:fill="F2F2F2" w:color="auto" w:val="clear"/>
            <w:tcMar>
              <w:top w:type="dxa" w:w="80"/>
              <w:left w:type="dxa" w:w="100"/>
              <w:bottom w:type="dxa" w:w="80"/>
              <w:right w:type="dxa" w:w="100"/>
            </w:tcMar>
          </w:tcPr>
          <w:p>
            <w:r>
              <w:t xml:space="preserve">date_dim</w:t>
            </w:r>
          </w:p>
        </w:tc>
        <w:tc>
          <w:tcPr>
            <w:tcW w:type="dxa" w:w="2200"/>
            <w:shd w:fill="F2F2F2" w:color="auto" w:val="clear"/>
            <w:tcMar>
              <w:top w:type="dxa" w:w="80"/>
              <w:left w:type="dxa" w:w="100"/>
              <w:bottom w:type="dxa" w:w="80"/>
              <w:right w:type="dxa" w:w="100"/>
            </w:tcMar>
          </w:tcPr>
          <w:p>
            <w:r>
              <w:t xml:space="preserve">1,095</w:t>
            </w:r>
          </w:p>
        </w:tc>
        <w:tc>
          <w:tcPr>
            <w:tcW w:type="dxa" w:w="2400"/>
            <w:shd w:fill="F2F2F2" w:color="auto" w:val="clear"/>
            <w:tcMar>
              <w:top w:type="dxa" w:w="80"/>
              <w:left w:type="dxa" w:w="100"/>
              <w:bottom w:type="dxa" w:w="80"/>
              <w:right w:type="dxa" w:w="100"/>
            </w:tcMar>
          </w:tcPr>
          <w:p>
            <w:r>
              <w:t xml:space="preserve">1,086</w:t>
            </w:r>
          </w:p>
        </w:tc>
        <w:tc>
          <w:tcPr>
            <w:tcW w:type="dxa" w:w="2300"/>
            <w:shd w:fill="F2F2F2" w:color="auto" w:val="clear"/>
            <w:tcMar>
              <w:top w:type="dxa" w:w="80"/>
              <w:left w:type="dxa" w:w="100"/>
              <w:bottom w:type="dxa" w:w="80"/>
              <w:right w:type="dxa" w:w="100"/>
            </w:tcMar>
          </w:tcPr>
          <w:p>
            <w:r>
              <w:t xml:space="preserve">0</w:t>
            </w:r>
          </w:p>
        </w:tc>
      </w:tr>
      <w:tr>
        <w:trPr>
          <w:cantSplit/>
        </w:trPr>
        <w:tc>
          <w:tcPr>
            <w:tcW w:type="dxa" w:w="2600"/>
            <w:tcMar>
              <w:top w:type="dxa" w:w="80"/>
              <w:left w:type="dxa" w:w="100"/>
              <w:bottom w:type="dxa" w:w="80"/>
              <w:right w:type="dxa" w:w="100"/>
            </w:tcMar>
          </w:tcPr>
          <w:p>
            <w:r>
              <w:t xml:space="preserve">districts</w:t>
            </w:r>
          </w:p>
        </w:tc>
        <w:tc>
          <w:tcPr>
            <w:tcW w:type="dxa" w:w="2200"/>
            <w:tcMar>
              <w:top w:type="dxa" w:w="80"/>
              <w:left w:type="dxa" w:w="100"/>
              <w:bottom w:type="dxa" w:w="80"/>
              <w:right w:type="dxa" w:w="100"/>
            </w:tcMar>
          </w:tcPr>
          <w:p>
            <w:r>
              <w:t xml:space="preserve">35</w:t>
            </w:r>
          </w:p>
        </w:tc>
        <w:tc>
          <w:tcPr>
            <w:tcW w:type="dxa" w:w="2400"/>
            <w:tcMar>
              <w:top w:type="dxa" w:w="80"/>
              <w:left w:type="dxa" w:w="100"/>
              <w:bottom w:type="dxa" w:w="80"/>
              <w:right w:type="dxa" w:w="100"/>
            </w:tcMar>
          </w:tcPr>
          <w:p>
            <w:r>
              <w:t xml:space="preserve">0</w:t>
            </w:r>
          </w:p>
        </w:tc>
        <w:tc>
          <w:tcPr>
            <w:tcW w:type="dxa" w:w="2300"/>
            <w:tcMar>
              <w:top w:type="dxa" w:w="80"/>
              <w:left w:type="dxa" w:w="100"/>
              <w:bottom w:type="dxa" w:w="80"/>
              <w:right w:type="dxa" w:w="100"/>
            </w:tcMar>
          </w:tcPr>
          <w:p>
            <w:r>
              <w:t xml:space="preserve">0</w:t>
            </w:r>
          </w:p>
        </w:tc>
      </w:tr>
      <w:tr>
        <w:trPr>
          <w:cantSplit/>
        </w:trPr>
        <w:tc>
          <w:tcPr>
            <w:tcW w:type="dxa" w:w="2600"/>
            <w:shd w:fill="F2F2F2" w:color="auto" w:val="clear"/>
            <w:tcMar>
              <w:top w:type="dxa" w:w="80"/>
              <w:left w:type="dxa" w:w="100"/>
              <w:bottom w:type="dxa" w:w="80"/>
              <w:right w:type="dxa" w:w="100"/>
            </w:tcMar>
          </w:tcPr>
          <w:p>
            <w:r>
              <w:t xml:space="preserve">items</w:t>
            </w:r>
          </w:p>
        </w:tc>
        <w:tc>
          <w:tcPr>
            <w:tcW w:type="dxa" w:w="2200"/>
            <w:shd w:fill="F2F2F2" w:color="auto" w:val="clear"/>
            <w:tcMar>
              <w:top w:type="dxa" w:w="80"/>
              <w:left w:type="dxa" w:w="100"/>
              <w:bottom w:type="dxa" w:w="80"/>
              <w:right w:type="dxa" w:w="100"/>
            </w:tcMar>
          </w:tcPr>
          <w:p>
            <w:r>
              <w:t xml:space="preserve">420,016</w:t>
            </w:r>
          </w:p>
        </w:tc>
        <w:tc>
          <w:tcPr>
            <w:tcW w:type="dxa" w:w="2400"/>
            <w:shd w:fill="F2F2F2" w:color="auto" w:val="clear"/>
            <w:tcMar>
              <w:top w:type="dxa" w:w="80"/>
              <w:left w:type="dxa" w:w="100"/>
              <w:bottom w:type="dxa" w:w="80"/>
              <w:right w:type="dxa" w:w="100"/>
            </w:tcMar>
          </w:tcPr>
          <w:p>
            <w:r>
              <w:t xml:space="preserve">315,050</w:t>
            </w:r>
          </w:p>
        </w:tc>
        <w:tc>
          <w:tcPr>
            <w:tcW w:type="dxa" w:w="2300"/>
            <w:shd w:fill="F2F2F2" w:color="auto" w:val="clear"/>
            <w:tcMar>
              <w:top w:type="dxa" w:w="80"/>
              <w:left w:type="dxa" w:w="100"/>
              <w:bottom w:type="dxa" w:w="80"/>
              <w:right w:type="dxa" w:w="100"/>
            </w:tcMar>
          </w:tcPr>
          <w:p>
            <w:r>
              <w:t xml:space="preserve">0</w:t>
            </w:r>
          </w:p>
        </w:tc>
      </w:tr>
      <w:tr>
        <w:trPr>
          <w:cantSplit/>
        </w:trPr>
        <w:tc>
          <w:tcPr>
            <w:tcW w:type="dxa" w:w="2600"/>
            <w:tcMar>
              <w:top w:type="dxa" w:w="80"/>
              <w:left w:type="dxa" w:w="100"/>
              <w:bottom w:type="dxa" w:w="80"/>
              <w:right w:type="dxa" w:w="100"/>
            </w:tcMar>
          </w:tcPr>
          <w:p>
            <w:r>
              <w:t xml:space="preserve">products</w:t>
            </w:r>
          </w:p>
        </w:tc>
        <w:tc>
          <w:tcPr>
            <w:tcW w:type="dxa" w:w="2200"/>
            <w:tcMar>
              <w:top w:type="dxa" w:w="80"/>
              <w:left w:type="dxa" w:w="100"/>
              <w:bottom w:type="dxa" w:w="80"/>
              <w:right w:type="dxa" w:w="100"/>
            </w:tcMar>
          </w:tcPr>
          <w:p>
            <w:r>
              <w:t xml:space="preserve">342</w:t>
            </w:r>
          </w:p>
        </w:tc>
        <w:tc>
          <w:tcPr>
            <w:tcW w:type="dxa" w:w="2400"/>
            <w:tcMar>
              <w:top w:type="dxa" w:w="80"/>
              <w:left w:type="dxa" w:w="100"/>
              <w:bottom w:type="dxa" w:w="80"/>
              <w:right w:type="dxa" w:w="100"/>
            </w:tcMar>
          </w:tcPr>
          <w:p>
            <w:r>
              <w:t xml:space="preserve">178</w:t>
            </w:r>
          </w:p>
        </w:tc>
        <w:tc>
          <w:tcPr>
            <w:tcW w:type="dxa" w:w="2300"/>
            <w:tcMar>
              <w:top w:type="dxa" w:w="80"/>
              <w:left w:type="dxa" w:w="100"/>
              <w:bottom w:type="dxa" w:w="80"/>
              <w:right w:type="dxa" w:w="100"/>
            </w:tcMar>
          </w:tcPr>
          <w:p>
            <w:r>
              <w:t xml:space="preserve">0</w:t>
            </w:r>
          </w:p>
        </w:tc>
      </w:tr>
      <w:tr>
        <w:trPr>
          <w:cantSplit/>
        </w:trPr>
        <w:tc>
          <w:tcPr>
            <w:tcW w:type="dxa" w:w="2600"/>
            <w:shd w:fill="F2F2F2" w:color="auto" w:val="clear"/>
            <w:tcMar>
              <w:top w:type="dxa" w:w="80"/>
              <w:left w:type="dxa" w:w="100"/>
              <w:bottom w:type="dxa" w:w="80"/>
              <w:right w:type="dxa" w:w="100"/>
            </w:tcMar>
          </w:tcPr>
          <w:p>
            <w:r>
              <w:t xml:space="preserve">promotions</w:t>
            </w:r>
          </w:p>
        </w:tc>
        <w:tc>
          <w:tcPr>
            <w:tcW w:type="dxa" w:w="2200"/>
            <w:shd w:fill="F2F2F2" w:color="auto" w:val="clear"/>
            <w:tcMar>
              <w:top w:type="dxa" w:w="80"/>
              <w:left w:type="dxa" w:w="100"/>
              <w:bottom w:type="dxa" w:w="80"/>
              <w:right w:type="dxa" w:w="100"/>
            </w:tcMar>
          </w:tcPr>
          <w:p>
            <w:r>
              <w:t xml:space="preserve">45</w:t>
            </w:r>
          </w:p>
        </w:tc>
        <w:tc>
          <w:tcPr>
            <w:tcW w:type="dxa" w:w="2400"/>
            <w:shd w:fill="F2F2F2" w:color="auto" w:val="clear"/>
            <w:tcMar>
              <w:top w:type="dxa" w:w="80"/>
              <w:left w:type="dxa" w:w="100"/>
              <w:bottom w:type="dxa" w:w="80"/>
              <w:right w:type="dxa" w:w="100"/>
            </w:tcMar>
          </w:tcPr>
          <w:p>
            <w:r>
              <w:t xml:space="preserve">15</w:t>
            </w:r>
          </w:p>
        </w:tc>
        <w:tc>
          <w:tcPr>
            <w:tcW w:type="dxa" w:w="2300"/>
            <w:shd w:fill="F2F2F2" w:color="auto" w:val="clear"/>
            <w:tcMar>
              <w:top w:type="dxa" w:w="80"/>
              <w:left w:type="dxa" w:w="100"/>
              <w:bottom w:type="dxa" w:w="80"/>
              <w:right w:type="dxa" w:w="100"/>
            </w:tcMar>
          </w:tcPr>
          <w:p>
            <w:r>
              <w:t xml:space="preserve">0</w:t>
            </w:r>
          </w:p>
        </w:tc>
      </w:tr>
      <w:tr>
        <w:trPr>
          <w:cantSplit/>
        </w:trPr>
        <w:tc>
          <w:tcPr>
            <w:tcW w:type="dxa" w:w="2600"/>
            <w:tcMar>
              <w:top w:type="dxa" w:w="80"/>
              <w:left w:type="dxa" w:w="100"/>
              <w:bottom w:type="dxa" w:w="80"/>
              <w:right w:type="dxa" w:w="100"/>
            </w:tcMar>
          </w:tcPr>
          <w:p>
            <w:r>
              <w:t xml:space="preserve">regions</w:t>
            </w:r>
          </w:p>
        </w:tc>
        <w:tc>
          <w:tcPr>
            <w:tcW w:type="dxa" w:w="2200"/>
            <w:tcMar>
              <w:top w:type="dxa" w:w="80"/>
              <w:left w:type="dxa" w:w="100"/>
              <w:bottom w:type="dxa" w:w="80"/>
              <w:right w:type="dxa" w:w="100"/>
            </w:tcMar>
          </w:tcPr>
          <w:p>
            <w:r>
              <w:t xml:space="preserve">8</w:t>
            </w:r>
          </w:p>
        </w:tc>
        <w:tc>
          <w:tcPr>
            <w:tcW w:type="dxa" w:w="2400"/>
            <w:tcMar>
              <w:top w:type="dxa" w:w="80"/>
              <w:left w:type="dxa" w:w="100"/>
              <w:bottom w:type="dxa" w:w="80"/>
              <w:right w:type="dxa" w:w="100"/>
            </w:tcMar>
          </w:tcPr>
          <w:p>
            <w:r>
              <w:t xml:space="preserve">0</w:t>
            </w:r>
          </w:p>
        </w:tc>
        <w:tc>
          <w:tcPr>
            <w:tcW w:type="dxa" w:w="2300"/>
            <w:tcMar>
              <w:top w:type="dxa" w:w="80"/>
              <w:left w:type="dxa" w:w="100"/>
              <w:bottom w:type="dxa" w:w="80"/>
              <w:right w:type="dxa" w:w="100"/>
            </w:tcMar>
          </w:tcPr>
          <w:p>
            <w:r>
              <w:t xml:space="preserve">0</w:t>
            </w:r>
          </w:p>
        </w:tc>
      </w:tr>
      <w:tr>
        <w:trPr>
          <w:cantSplit/>
        </w:trPr>
        <w:tc>
          <w:tcPr>
            <w:tcW w:type="dxa" w:w="2600"/>
            <w:shd w:fill="F2F2F2" w:color="auto" w:val="clear"/>
            <w:tcMar>
              <w:top w:type="dxa" w:w="80"/>
              <w:left w:type="dxa" w:w="100"/>
              <w:bottom w:type="dxa" w:w="80"/>
              <w:right w:type="dxa" w:w="100"/>
            </w:tcMar>
          </w:tcPr>
          <w:p>
            <w:r>
              <w:t xml:space="preserve">returns</w:t>
            </w:r>
          </w:p>
        </w:tc>
        <w:tc>
          <w:tcPr>
            <w:tcW w:type="dxa" w:w="2200"/>
            <w:shd w:fill="F2F2F2" w:color="auto" w:val="clear"/>
            <w:tcMar>
              <w:top w:type="dxa" w:w="80"/>
              <w:left w:type="dxa" w:w="100"/>
              <w:bottom w:type="dxa" w:w="80"/>
              <w:right w:type="dxa" w:w="100"/>
            </w:tcMar>
          </w:tcPr>
          <w:p>
            <w:r>
              <w:t xml:space="preserve">8,762</w:t>
            </w:r>
          </w:p>
        </w:tc>
        <w:tc>
          <w:tcPr>
            <w:tcW w:type="dxa" w:w="2400"/>
            <w:shd w:fill="F2F2F2" w:color="auto" w:val="clear"/>
            <w:tcMar>
              <w:top w:type="dxa" w:w="80"/>
              <w:left w:type="dxa" w:w="100"/>
              <w:bottom w:type="dxa" w:w="80"/>
              <w:right w:type="dxa" w:w="100"/>
            </w:tcMar>
          </w:tcPr>
          <w:p>
            <w:r>
              <w:t xml:space="preserve">396</w:t>
            </w:r>
          </w:p>
        </w:tc>
        <w:tc>
          <w:tcPr>
            <w:tcW w:type="dxa" w:w="2300"/>
            <w:shd w:fill="F2F2F2" w:color="auto" w:val="clear"/>
            <w:tcMar>
              <w:top w:type="dxa" w:w="80"/>
              <w:left w:type="dxa" w:w="100"/>
              <w:bottom w:type="dxa" w:w="80"/>
              <w:right w:type="dxa" w:w="100"/>
            </w:tcMar>
          </w:tcPr>
          <w:p>
            <w:r>
              <w:t xml:space="preserve">0</w:t>
            </w:r>
          </w:p>
        </w:tc>
      </w:tr>
      <w:tr>
        <w:trPr>
          <w:cantSplit/>
        </w:trPr>
        <w:tc>
          <w:tcPr>
            <w:tcW w:type="dxa" w:w="2600"/>
            <w:tcMar>
              <w:top w:type="dxa" w:w="80"/>
              <w:left w:type="dxa" w:w="100"/>
              <w:bottom w:type="dxa" w:w="80"/>
              <w:right w:type="dxa" w:w="100"/>
            </w:tcMar>
          </w:tcPr>
          <w:p>
            <w:r>
              <w:t xml:space="preserve">stores</w:t>
            </w:r>
          </w:p>
        </w:tc>
        <w:tc>
          <w:tcPr>
            <w:tcW w:type="dxa" w:w="2200"/>
            <w:tcMar>
              <w:top w:type="dxa" w:w="80"/>
              <w:left w:type="dxa" w:w="100"/>
              <w:bottom w:type="dxa" w:w="80"/>
              <w:right w:type="dxa" w:w="100"/>
            </w:tcMar>
          </w:tcPr>
          <w:p>
            <w:r>
              <w:t xml:space="preserve">16</w:t>
            </w:r>
          </w:p>
        </w:tc>
        <w:tc>
          <w:tcPr>
            <w:tcW w:type="dxa" w:w="2400"/>
            <w:tcMar>
              <w:top w:type="dxa" w:w="80"/>
              <w:left w:type="dxa" w:w="100"/>
              <w:bottom w:type="dxa" w:w="80"/>
              <w:right w:type="dxa" w:w="100"/>
            </w:tcMar>
          </w:tcPr>
          <w:p>
            <w:r>
              <w:t xml:space="preserve">0</w:t>
            </w:r>
          </w:p>
        </w:tc>
        <w:tc>
          <w:tcPr>
            <w:tcW w:type="dxa" w:w="2300"/>
            <w:tcMar>
              <w:top w:type="dxa" w:w="80"/>
              <w:left w:type="dxa" w:w="100"/>
              <w:bottom w:type="dxa" w:w="80"/>
              <w:right w:type="dxa" w:w="100"/>
            </w:tcMar>
          </w:tcPr>
          <w:p>
            <w:r>
              <w:t xml:space="preserve">0</w:t>
            </w:r>
          </w:p>
        </w:tc>
      </w:tr>
      <w:tr>
        <w:trPr>
          <w:cantSplit/>
        </w:trPr>
        <w:tc>
          <w:tcPr>
            <w:tcW w:type="dxa" w:w="2600"/>
            <w:shd w:fill="F2F2F2" w:color="auto" w:val="clear"/>
            <w:tcMar>
              <w:top w:type="dxa" w:w="80"/>
              <w:left w:type="dxa" w:w="100"/>
              <w:bottom w:type="dxa" w:w="80"/>
              <w:right w:type="dxa" w:w="100"/>
            </w:tcMar>
          </w:tcPr>
          <w:p>
            <w:r>
              <w:t xml:space="preserve">suppliers</w:t>
            </w:r>
          </w:p>
        </w:tc>
        <w:tc>
          <w:tcPr>
            <w:tcW w:type="dxa" w:w="2200"/>
            <w:shd w:fill="F2F2F2" w:color="auto" w:val="clear"/>
            <w:tcMar>
              <w:top w:type="dxa" w:w="80"/>
              <w:left w:type="dxa" w:w="100"/>
              <w:bottom w:type="dxa" w:w="80"/>
              <w:right w:type="dxa" w:w="100"/>
            </w:tcMar>
          </w:tcPr>
          <w:p>
            <w:r>
              <w:t xml:space="preserve">20</w:t>
            </w:r>
          </w:p>
        </w:tc>
        <w:tc>
          <w:tcPr>
            <w:tcW w:type="dxa" w:w="2400"/>
            <w:shd w:fill="F2F2F2" w:color="auto" w:val="clear"/>
            <w:tcMar>
              <w:top w:type="dxa" w:w="80"/>
              <w:left w:type="dxa" w:w="100"/>
              <w:bottom w:type="dxa" w:w="80"/>
              <w:right w:type="dxa" w:w="100"/>
            </w:tcMar>
          </w:tcPr>
          <w:p>
            <w:r>
              <w:t xml:space="preserve">0</w:t>
            </w:r>
          </w:p>
        </w:tc>
        <w:tc>
          <w:tcPr>
            <w:tcW w:type="dxa" w:w="2300"/>
            <w:shd w:fill="F2F2F2" w:color="auto" w:val="clear"/>
            <w:tcMar>
              <w:top w:type="dxa" w:w="80"/>
              <w:left w:type="dxa" w:w="100"/>
              <w:bottom w:type="dxa" w:w="80"/>
              <w:right w:type="dxa" w:w="100"/>
            </w:tcMar>
          </w:tcPr>
          <w:p>
            <w:r>
              <w:t xml:space="preserve">0</w:t>
            </w:r>
          </w:p>
        </w:tc>
      </w:tr>
      <w:tr>
        <w:trPr>
          <w:cantSplit/>
        </w:trPr>
        <w:tc>
          <w:tcPr>
            <w:tcW w:type="dxa" w:w="2600"/>
            <w:tcMar>
              <w:top w:type="dxa" w:w="80"/>
              <w:left w:type="dxa" w:w="100"/>
              <w:bottom w:type="dxa" w:w="80"/>
              <w:right w:type="dxa" w:w="100"/>
            </w:tcMar>
          </w:tcPr>
          <w:p>
            <w:r>
              <w:t xml:space="preserve">transactions</w:t>
            </w:r>
          </w:p>
        </w:tc>
        <w:tc>
          <w:tcPr>
            <w:tcW w:type="dxa" w:w="2200"/>
            <w:tcMar>
              <w:top w:type="dxa" w:w="80"/>
              <w:left w:type="dxa" w:w="100"/>
              <w:bottom w:type="dxa" w:w="80"/>
              <w:right w:type="dxa" w:w="100"/>
            </w:tcMar>
          </w:tcPr>
          <w:p>
            <w:r>
              <w:t xml:space="preserve">164,968</w:t>
            </w:r>
          </w:p>
        </w:tc>
        <w:tc>
          <w:tcPr>
            <w:tcW w:type="dxa" w:w="2400"/>
            <w:tcMar>
              <w:top w:type="dxa" w:w="80"/>
              <w:left w:type="dxa" w:w="100"/>
              <w:bottom w:type="dxa" w:w="80"/>
              <w:right w:type="dxa" w:w="100"/>
            </w:tcMar>
          </w:tcPr>
          <w:p>
            <w:r>
              <w:t xml:space="preserve">0</w:t>
            </w:r>
          </w:p>
        </w:tc>
        <w:tc>
          <w:tcPr>
            <w:tcW w:type="dxa" w:w="2300"/>
            <w:tcMar>
              <w:top w:type="dxa" w:w="80"/>
              <w:left w:type="dxa" w:w="100"/>
              <w:bottom w:type="dxa" w:w="80"/>
              <w:right w:type="dxa" w:w="100"/>
            </w:tcMar>
          </w:tcPr>
          <w:p>
            <w:r>
              <w:t xml:space="preserve">0</w:t>
            </w:r>
          </w:p>
        </w:tc>
      </w:tr>
    </w:tbl>
    <w:p>
      <w:pPr>
        <w:spacing w:after="160"/>
      </w:pPr>
      <w:r>
        <w:t xml:space="preserve"/>
      </w:r>
    </w:p>
    <w:p>
      <w:pPr>
        <w:spacing w:after="160"/>
      </w:pPr>
      <w:r>
        <w:t xml:space="preserve">No table has duplicate primary keys, so every identifier is suitable as a relationship key. Null counts are concentrated in optional descriptive columns; the items table has the most (315,050 null cells), which is consistent with optional fields such as promotion_id being empty for line items sold without a promotion, though the screenshots do not show which columns hold them. The transactions, stores, regions, districts, brands and suppliers tables are fully populated.</w:t>
      </w:r>
    </w:p>
    <w:p>
      <w:pPr>
        <w:pStyle w:val="Heading2"/>
        <w:keepNext/>
        <w:spacing w:after="120" w:before="280"/>
      </w:pPr>
      <w:r>
        <w:t xml:space="preserve">2.2 Referential Integrity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2100"/>
      </w:tblGrid>
      <w:tr>
        <w:trPr>
          <w:cantSplit/>
          <w:tblHeader/>
        </w:trPr>
        <w:tc>
          <w:tcPr>
            <w:tcW w:type="dxa" w:w="4200"/>
            <w:shd w:fill="2F5496" w:color="auto" w:val="clear"/>
            <w:tcMar>
              <w:top w:type="dxa" w:w="80"/>
              <w:left w:type="dxa" w:w="100"/>
              <w:bottom w:type="dxa" w:w="80"/>
              <w:right w:type="dxa" w:w="100"/>
            </w:tcMar>
          </w:tcPr>
          <w:p>
            <w:r>
              <w:rPr>
                <w:b/>
                <w:bCs/>
                <w:color w:val="FFFFFF"/>
              </w:rPr>
              <w:t xml:space="preserve">Relationship tested</w:t>
            </w:r>
          </w:p>
        </w:tc>
        <w:tc>
          <w:tcPr>
            <w:tcW w:type="dxa" w:w="3200"/>
            <w:shd w:fill="2F5496" w:color="auto" w:val="clear"/>
            <w:tcMar>
              <w:top w:type="dxa" w:w="80"/>
              <w:left w:type="dxa" w:w="100"/>
              <w:bottom w:type="dxa" w:w="80"/>
              <w:right w:type="dxa" w:w="100"/>
            </w:tcMar>
          </w:tcPr>
          <w:p>
            <w:r>
              <w:rPr>
                <w:b/>
                <w:bCs/>
                <w:color w:val="FFFFFF"/>
              </w:rPr>
              <w:t xml:space="preserve">Child rows</w:t>
            </w:r>
          </w:p>
        </w:tc>
        <w:tc>
          <w:tcPr>
            <w:tcW w:type="dxa" w:w="2100"/>
            <w:shd w:fill="2F5496" w:color="auto" w:val="clear"/>
            <w:tcMar>
              <w:top w:type="dxa" w:w="80"/>
              <w:left w:type="dxa" w:w="100"/>
              <w:bottom w:type="dxa" w:w="80"/>
              <w:right w:type="dxa" w:w="100"/>
            </w:tcMar>
          </w:tcPr>
          <w:p>
            <w:r>
              <w:rPr>
                <w:b/>
                <w:bCs/>
                <w:color w:val="FFFFFF"/>
              </w:rPr>
              <w:t xml:space="preserve">Invalid keys</w:t>
            </w:r>
          </w:p>
        </w:tc>
      </w:tr>
      <w:tr>
        <w:trPr>
          <w:cantSplit/>
        </w:trPr>
        <w:tc>
          <w:tcPr>
            <w:tcW w:type="dxa" w:w="4200"/>
            <w:tcMar>
              <w:top w:type="dxa" w:w="80"/>
              <w:left w:type="dxa" w:w="100"/>
              <w:bottom w:type="dxa" w:w="80"/>
              <w:right w:type="dxa" w:w="100"/>
            </w:tcMar>
          </w:tcPr>
          <w:p>
            <w:r>
              <w:t xml:space="preserve">Region → District</w:t>
            </w:r>
          </w:p>
        </w:tc>
        <w:tc>
          <w:tcPr>
            <w:tcW w:type="dxa" w:w="3200"/>
            <w:tcMar>
              <w:top w:type="dxa" w:w="80"/>
              <w:left w:type="dxa" w:w="100"/>
              <w:bottom w:type="dxa" w:w="80"/>
              <w:right w:type="dxa" w:w="100"/>
            </w:tcMar>
          </w:tcPr>
          <w:p>
            <w:r>
              <w:t xml:space="preserve">35 districts</w:t>
            </w:r>
          </w:p>
        </w:tc>
        <w:tc>
          <w:tcPr>
            <w:tcW w:type="dxa" w:w="2100"/>
            <w:tcMar>
              <w:top w:type="dxa" w:w="80"/>
              <w:left w:type="dxa" w:w="100"/>
              <w:bottom w:type="dxa" w:w="80"/>
              <w:right w:type="dxa" w:w="100"/>
            </w:tcMar>
          </w:tcPr>
          <w:p>
            <w:r>
              <w:t xml:space="preserve">0</w:t>
            </w:r>
          </w:p>
        </w:tc>
      </w:tr>
      <w:tr>
        <w:trPr>
          <w:cantSplit/>
        </w:trPr>
        <w:tc>
          <w:tcPr>
            <w:tcW w:type="dxa" w:w="4200"/>
            <w:shd w:fill="F2F2F2" w:color="auto" w:val="clear"/>
            <w:tcMar>
              <w:top w:type="dxa" w:w="80"/>
              <w:left w:type="dxa" w:w="100"/>
              <w:bottom w:type="dxa" w:w="80"/>
              <w:right w:type="dxa" w:w="100"/>
            </w:tcMar>
          </w:tcPr>
          <w:p>
            <w:r>
              <w:t xml:space="preserve">District → Store</w:t>
            </w:r>
          </w:p>
        </w:tc>
        <w:tc>
          <w:tcPr>
            <w:tcW w:type="dxa" w:w="3200"/>
            <w:shd w:fill="F2F2F2" w:color="auto" w:val="clear"/>
            <w:tcMar>
              <w:top w:type="dxa" w:w="80"/>
              <w:left w:type="dxa" w:w="100"/>
              <w:bottom w:type="dxa" w:w="80"/>
              <w:right w:type="dxa" w:w="100"/>
            </w:tcMar>
          </w:tcPr>
          <w:p>
            <w:r>
              <w:t xml:space="preserve">16 stores</w:t>
            </w:r>
          </w:p>
        </w:tc>
        <w:tc>
          <w:tcPr>
            <w:tcW w:type="dxa" w:w="2100"/>
            <w:shd w:fill="F2F2F2" w:color="auto" w:val="clear"/>
            <w:tcMar>
              <w:top w:type="dxa" w:w="80"/>
              <w:left w:type="dxa" w:w="100"/>
              <w:bottom w:type="dxa" w:w="80"/>
              <w:right w:type="dxa" w:w="100"/>
            </w:tcMar>
          </w:tcPr>
          <w:p>
            <w:r>
              <w:t xml:space="preserve">0</w:t>
            </w:r>
          </w:p>
        </w:tc>
      </w:tr>
      <w:tr>
        <w:trPr>
          <w:cantSplit/>
        </w:trPr>
        <w:tc>
          <w:tcPr>
            <w:tcW w:type="dxa" w:w="4200"/>
            <w:tcMar>
              <w:top w:type="dxa" w:w="80"/>
              <w:left w:type="dxa" w:w="100"/>
              <w:bottom w:type="dxa" w:w="80"/>
              <w:right w:type="dxa" w:w="100"/>
            </w:tcMar>
          </w:tcPr>
          <w:p>
            <w:r>
              <w:t xml:space="preserve">Store → Transaction</w:t>
            </w:r>
          </w:p>
        </w:tc>
        <w:tc>
          <w:tcPr>
            <w:tcW w:type="dxa" w:w="3200"/>
            <w:tcMar>
              <w:top w:type="dxa" w:w="80"/>
              <w:left w:type="dxa" w:w="100"/>
              <w:bottom w:type="dxa" w:w="80"/>
              <w:right w:type="dxa" w:w="100"/>
            </w:tcMar>
          </w:tcPr>
          <w:p>
            <w:r>
              <w:t xml:space="preserve">164,968 transactions</w:t>
            </w:r>
          </w:p>
        </w:tc>
        <w:tc>
          <w:tcPr>
            <w:tcW w:type="dxa" w:w="2100"/>
            <w:tcMar>
              <w:top w:type="dxa" w:w="80"/>
              <w:left w:type="dxa" w:w="100"/>
              <w:bottom w:type="dxa" w:w="80"/>
              <w:right w:type="dxa" w:w="100"/>
            </w:tcMar>
          </w:tcPr>
          <w:p>
            <w:r>
              <w:t xml:space="preserve">0</w:t>
            </w:r>
          </w:p>
        </w:tc>
      </w:tr>
      <w:tr>
        <w:trPr>
          <w:cantSplit/>
        </w:trPr>
        <w:tc>
          <w:tcPr>
            <w:tcW w:type="dxa" w:w="4200"/>
            <w:shd w:fill="F2F2F2" w:color="auto" w:val="clear"/>
            <w:tcMar>
              <w:top w:type="dxa" w:w="80"/>
              <w:left w:type="dxa" w:w="100"/>
              <w:bottom w:type="dxa" w:w="80"/>
              <w:right w:type="dxa" w:w="100"/>
            </w:tcMar>
          </w:tcPr>
          <w:p>
            <w:r>
              <w:t xml:space="preserve">Transaction date → Date dimension</w:t>
            </w:r>
          </w:p>
        </w:tc>
        <w:tc>
          <w:tcPr>
            <w:tcW w:type="dxa" w:w="3200"/>
            <w:shd w:fill="F2F2F2" w:color="auto" w:val="clear"/>
            <w:tcMar>
              <w:top w:type="dxa" w:w="80"/>
              <w:left w:type="dxa" w:w="100"/>
              <w:bottom w:type="dxa" w:w="80"/>
              <w:right w:type="dxa" w:w="100"/>
            </w:tcMar>
          </w:tcPr>
          <w:p>
            <w:r>
              <w:t xml:space="preserve">164,968 transactions</w:t>
            </w:r>
          </w:p>
        </w:tc>
        <w:tc>
          <w:tcPr>
            <w:tcW w:type="dxa" w:w="2100"/>
            <w:shd w:fill="F2F2F2" w:color="auto" w:val="clear"/>
            <w:tcMar>
              <w:top w:type="dxa" w:w="80"/>
              <w:left w:type="dxa" w:w="100"/>
              <w:bottom w:type="dxa" w:w="80"/>
              <w:right w:type="dxa" w:w="100"/>
            </w:tcMar>
          </w:tcPr>
          <w:p>
            <w:r>
              <w:t xml:space="preserve">0</w:t>
            </w:r>
          </w:p>
        </w:tc>
      </w:tr>
      <w:tr>
        <w:trPr>
          <w:cantSplit/>
        </w:trPr>
        <w:tc>
          <w:tcPr>
            <w:tcW w:type="dxa" w:w="4200"/>
            <w:tcMar>
              <w:top w:type="dxa" w:w="80"/>
              <w:left w:type="dxa" w:w="100"/>
              <w:bottom w:type="dxa" w:w="80"/>
              <w:right w:type="dxa" w:w="100"/>
            </w:tcMar>
          </w:tcPr>
          <w:p>
            <w:r>
              <w:t xml:space="preserve">Transaction → Items</w:t>
            </w:r>
          </w:p>
        </w:tc>
        <w:tc>
          <w:tcPr>
            <w:tcW w:type="dxa" w:w="3200"/>
            <w:tcMar>
              <w:top w:type="dxa" w:w="80"/>
              <w:left w:type="dxa" w:w="100"/>
              <w:bottom w:type="dxa" w:w="80"/>
              <w:right w:type="dxa" w:w="100"/>
            </w:tcMar>
          </w:tcPr>
          <w:p>
            <w:r>
              <w:t xml:space="preserve">420,016 items</w:t>
            </w:r>
          </w:p>
        </w:tc>
        <w:tc>
          <w:tcPr>
            <w:tcW w:type="dxa" w:w="2100"/>
            <w:tcMar>
              <w:top w:type="dxa" w:w="80"/>
              <w:left w:type="dxa" w:w="100"/>
              <w:bottom w:type="dxa" w:w="80"/>
              <w:right w:type="dxa" w:w="100"/>
            </w:tcMar>
          </w:tcPr>
          <w:p>
            <w:r>
              <w:t xml:space="preserve">0</w:t>
            </w:r>
          </w:p>
        </w:tc>
      </w:tr>
      <w:tr>
        <w:trPr>
          <w:cantSplit/>
        </w:trPr>
        <w:tc>
          <w:tcPr>
            <w:tcW w:type="dxa" w:w="4200"/>
            <w:shd w:fill="F2F2F2" w:color="auto" w:val="clear"/>
            <w:tcMar>
              <w:top w:type="dxa" w:w="80"/>
              <w:left w:type="dxa" w:w="100"/>
              <w:bottom w:type="dxa" w:w="80"/>
              <w:right w:type="dxa" w:w="100"/>
            </w:tcMar>
          </w:tcPr>
          <w:p>
            <w:r>
              <w:t xml:space="preserve">Item → Product</w:t>
            </w:r>
          </w:p>
        </w:tc>
        <w:tc>
          <w:tcPr>
            <w:tcW w:type="dxa" w:w="3200"/>
            <w:shd w:fill="F2F2F2" w:color="auto" w:val="clear"/>
            <w:tcMar>
              <w:top w:type="dxa" w:w="80"/>
              <w:left w:type="dxa" w:w="100"/>
              <w:bottom w:type="dxa" w:w="80"/>
              <w:right w:type="dxa" w:w="100"/>
            </w:tcMar>
          </w:tcPr>
          <w:p>
            <w:r>
              <w:t xml:space="preserve">420,016 items</w:t>
            </w:r>
          </w:p>
        </w:tc>
        <w:tc>
          <w:tcPr>
            <w:tcW w:type="dxa" w:w="2100"/>
            <w:shd w:fill="F2F2F2" w:color="auto" w:val="clear"/>
            <w:tcMar>
              <w:top w:type="dxa" w:w="80"/>
              <w:left w:type="dxa" w:w="100"/>
              <w:bottom w:type="dxa" w:w="80"/>
              <w:right w:type="dxa" w:w="100"/>
            </w:tcMar>
          </w:tcPr>
          <w:p>
            <w:r>
              <w:t xml:space="preserve">0</w:t>
            </w:r>
          </w:p>
        </w:tc>
      </w:tr>
      <w:tr>
        <w:trPr>
          <w:cantSplit/>
        </w:trPr>
        <w:tc>
          <w:tcPr>
            <w:tcW w:type="dxa" w:w="4200"/>
            <w:tcMar>
              <w:top w:type="dxa" w:w="80"/>
              <w:left w:type="dxa" w:w="100"/>
              <w:bottom w:type="dxa" w:w="80"/>
              <w:right w:type="dxa" w:w="100"/>
            </w:tcMar>
          </w:tcPr>
          <w:p>
            <w:r>
              <w:t xml:space="preserve">Transaction → Customer</w:t>
            </w:r>
          </w:p>
        </w:tc>
        <w:tc>
          <w:tcPr>
            <w:tcW w:type="dxa" w:w="3200"/>
            <w:tcMar>
              <w:top w:type="dxa" w:w="80"/>
              <w:left w:type="dxa" w:w="100"/>
              <w:bottom w:type="dxa" w:w="80"/>
              <w:right w:type="dxa" w:w="100"/>
            </w:tcMar>
          </w:tcPr>
          <w:p>
            <w:r>
              <w:t xml:space="preserve">164,968 transactions</w:t>
            </w:r>
          </w:p>
        </w:tc>
        <w:tc>
          <w:tcPr>
            <w:tcW w:type="dxa" w:w="2100"/>
            <w:tcMar>
              <w:top w:type="dxa" w:w="80"/>
              <w:left w:type="dxa" w:w="100"/>
              <w:bottom w:type="dxa" w:w="80"/>
              <w:right w:type="dxa" w:w="100"/>
            </w:tcMar>
          </w:tcPr>
          <w:p>
            <w:r>
              <w:t xml:space="preserve">0</w:t>
            </w:r>
          </w:p>
        </w:tc>
      </w:tr>
    </w:tbl>
    <w:p>
      <w:pPr>
        <w:keepNext/>
        <w:spacing w:after="100" w:before="200"/>
        <w:jc w:val="center"/>
      </w:pPr>
      <w:r>
        <w:drawing>
          <wp:inline distT="0" distB="0" distL="0" distR="0">
            <wp:extent cx="59436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81425"/>
                    </a:xfrm>
                    <a:prstGeom prst="rect">
                      <a:avLst/>
                    </a:prstGeom>
                  </pic:spPr>
                </pic:pic>
              </a:graphicData>
            </a:graphic>
          </wp:inline>
        </w:drawing>
      </w:r>
    </w:p>
    <w:p>
      <w:pPr>
        <w:spacing w:after="240"/>
        <w:jc w:val="center"/>
      </w:pPr>
      <w:r>
        <w:rPr>
          <w:b/>
          <w:bCs/>
          <w:color w:val="555555"/>
          <w:sz w:val="20"/>
          <w:szCs w:val="20"/>
        </w:rPr>
        <w:t xml:space="preserve">Figure 2. Null, duplicate and foreign-key validation results</w:t>
      </w:r>
    </w:p>
    <w:p>
      <w:pPr>
        <w:spacing w:after="160"/>
      </w:pPr>
      <w:r>
        <w:t xml:space="preserve">The screenshot shows the summary table of rows, nulls and duplicates, followed by the relationship checks. Every check returned zero invalid identifiers, so the hierarchy from region to district to store to transaction to item to product is intact, and each transaction resolves to a valid date and customer. An IndexError from an earlier attempt is visible at the top of the terminal; the validation command was corrected and re-run successfully.</w:t>
      </w:r>
    </w:p>
    <w:p>
      <w:pPr>
        <w:pStyle w:val="Heading1"/>
        <w:keepNext/>
        <w:spacing w:after="160" w:before="360"/>
      </w:pPr>
      <w:r>
        <w:t xml:space="preserve">3. Fabric Lakehouse Ingestion</w:t>
      </w:r>
    </w:p>
    <w:p>
      <w:pPr>
        <w:pStyle w:val="Heading2"/>
        <w:keepNext/>
        <w:spacing w:after="120" w:before="280"/>
      </w:pPr>
      <w:r>
        <w:t xml:space="preserve">3.1 Uploading the Source Files</w:t>
      </w:r>
    </w:p>
    <w:p>
      <w:pPr>
        <w:keepNext/>
        <w:spacing w:after="100" w:before="200"/>
        <w:jc w:val="center"/>
      </w:pPr>
      <w:r>
        <w:drawing>
          <wp:inline distT="0" distB="0" distL="0" distR="0">
            <wp:extent cx="5943600"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876925"/>
                    </a:xfrm>
                    <a:prstGeom prst="rect">
                      <a:avLst/>
                    </a:prstGeom>
                  </pic:spPr>
                </pic:pic>
              </a:graphicData>
            </a:graphic>
          </wp:inline>
        </w:drawing>
      </w:r>
    </w:p>
    <w:p>
      <w:pPr>
        <w:spacing w:after="240"/>
        <w:jc w:val="center"/>
      </w:pPr>
      <w:r>
        <w:rPr>
          <w:b/>
          <w:bCs/>
          <w:color w:val="555555"/>
          <w:sz w:val="20"/>
          <w:szCs w:val="20"/>
        </w:rPr>
        <w:t xml:space="preserve">Figure 3. Uploading the Parquet files to the Retail_Operations Lakehouse</w:t>
      </w:r>
    </w:p>
    <w:p>
      <w:pPr>
        <w:spacing w:after="160"/>
      </w:pPr>
      <w:r>
        <w:t xml:space="preserve">The 13 Parquet files were uploaded to the Files area of the Retail_Operations Lakehouse in the Retail_Dataset workspace. The upload panel shows every file completed successfully, with sizes ranging from 2 KB (Regions) to 19 MB (Items); the Transactions file is 7 MB and Customers 300 KB.</w:t>
      </w:r>
    </w:p>
    <w:p>
      <w:pPr>
        <w:pStyle w:val="Heading2"/>
        <w:keepNext/>
        <w:spacing w:after="120" w:before="280"/>
      </w:pPr>
      <w:r>
        <w:t xml:space="preserve">3.2 Lakehouse Tables</w:t>
      </w:r>
    </w:p>
    <w:p>
      <w:pPr>
        <w:keepNext/>
        <w:spacing w:after="100" w:before="200"/>
        <w:jc w:val="center"/>
      </w:pPr>
      <w:r>
        <w:drawing>
          <wp:inline distT="0" distB="0" distL="0" distR="0">
            <wp:extent cx="59436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124200"/>
                    </a:xfrm>
                    <a:prstGeom prst="rect">
                      <a:avLst/>
                    </a:prstGeom>
                  </pic:spPr>
                </pic:pic>
              </a:graphicData>
            </a:graphic>
          </wp:inline>
        </w:drawing>
      </w:r>
    </w:p>
    <w:p>
      <w:pPr>
        <w:spacing w:after="240"/>
        <w:jc w:val="center"/>
      </w:pPr>
      <w:r>
        <w:rPr>
          <w:b/>
          <w:bCs/>
          <w:color w:val="555555"/>
          <w:sz w:val="20"/>
          <w:szCs w:val="20"/>
        </w:rPr>
        <w:t xml:space="preserve">Figure 4. Lakehouse explorer showing the loaded tables and uploaded files</w:t>
      </w:r>
    </w:p>
    <w:p>
      <w:pPr>
        <w:spacing w:after="160"/>
      </w:pPr>
      <w:r>
        <w:t xml:space="preserve">The Lakehouse explorer shows the dbo schema containing the tables brands, categories, customers, date, districts, items, products, promotions, regions, returns, stores, suppliers and transactions, alongside the Files folder holding the 13 source files. Loading the files as Delta tables makes them available to the SQL analytics endpoint and to a Direct Lake semantic model. The date_dim source appears as the date table in the Lakehouse.</w:t>
      </w:r>
    </w:p>
    <w:p>
      <w:pPr>
        <w:pStyle w:val="Heading1"/>
        <w:keepNext/>
        <w:spacing w:after="160" w:before="360"/>
      </w:pPr>
      <w:r>
        <w:t xml:space="preserve">4. Semantic Model and Relationships</w:t>
      </w:r>
    </w:p>
    <w:p>
      <w:pPr>
        <w:pStyle w:val="Heading2"/>
        <w:keepNext/>
        <w:spacing w:after="120" w:before="280"/>
      </w:pPr>
      <w:r>
        <w:t xml:space="preserve">4.1 Relationship Model</w:t>
      </w:r>
    </w:p>
    <w:p>
      <w:pPr>
        <w:keepNext/>
        <w:spacing w:after="100" w:before="200"/>
        <w:jc w:val="center"/>
      </w:pPr>
      <w:r>
        <w:drawing>
          <wp:inline distT="0" distB="0" distL="0" distR="0">
            <wp:extent cx="59436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152775"/>
                    </a:xfrm>
                    <a:prstGeom prst="rect">
                      <a:avLst/>
                    </a:prstGeom>
                  </pic:spPr>
                </pic:pic>
              </a:graphicData>
            </a:graphic>
          </wp:inline>
        </w:drawing>
      </w:r>
    </w:p>
    <w:p>
      <w:pPr>
        <w:spacing w:after="240"/>
        <w:jc w:val="center"/>
      </w:pPr>
      <w:r>
        <w:rPr>
          <w:b/>
          <w:bCs/>
          <w:color w:val="555555"/>
          <w:sz w:val="20"/>
          <w:szCs w:val="20"/>
        </w:rPr>
        <w:t xml:space="preserve">Figure 5. Retail_Operations_Model relationship diagram in Fabric</w:t>
      </w:r>
    </w:p>
    <w:p>
      <w:pPr>
        <w:spacing w:after="160"/>
      </w:pPr>
      <w:r>
        <w:t xml:space="preserve">The model view of Retail_Operations_Model shows all tables related through their identifiers. The geography branch runs regions → districts → stores → transactions. Transactions relate to the date table, to customers and to items, and items relate to products and promotions. Products in turn relate to categories, brands and suppliers, while returns connect back to transactions and customers.</w:t>
      </w:r>
    </w:p>
    <w:p>
      <w:pPr>
        <w:spacing w:after="160"/>
      </w:pPr>
      <w:r>
        <w:t xml:space="preserve">Transactions and items act as the central fact tables, and the descriptive tables surround them as dimensions. This reduces duplication of descriptive fields and lets a filter on a region, store, product category or date flow through to sales, units, profit and returns.</w:t>
      </w:r>
    </w:p>
    <w:p>
      <w:pPr>
        <w:pStyle w:val="Heading2"/>
        <w:keepNext/>
        <w:spacing w:after="120" w:before="280"/>
      </w:pPr>
      <w:r>
        <w:t xml:space="preserve">4.2 Connecting Power BI Desktop to the Model</w:t>
      </w:r>
    </w:p>
    <w:p>
      <w:pPr>
        <w:keepNext/>
        <w:spacing w:after="100" w:before="200"/>
        <w:jc w:val="center"/>
      </w:pPr>
      <w:r>
        <w:drawing>
          <wp:inline distT="0" distB="0" distL="0" distR="0">
            <wp:extent cx="5029200" cy="498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29200" cy="4981575"/>
                    </a:xfrm>
                    <a:prstGeom prst="rect">
                      <a:avLst/>
                    </a:prstGeom>
                  </pic:spPr>
                </pic:pic>
              </a:graphicData>
            </a:graphic>
          </wp:inline>
        </w:drawing>
      </w:r>
    </w:p>
    <w:p>
      <w:pPr>
        <w:spacing w:after="240"/>
        <w:jc w:val="center"/>
      </w:pPr>
      <w:r>
        <w:rPr>
          <w:b/>
          <w:bCs/>
          <w:color w:val="555555"/>
          <w:sz w:val="20"/>
          <w:szCs w:val="20"/>
        </w:rPr>
        <w:t xml:space="preserve">Figure 6. OneLake data hub in Power BI Desktop listing Retail_Operations_Model</w:t>
      </w:r>
    </w:p>
    <w:p>
      <w:pPr>
        <w:spacing w:after="160"/>
      </w:pPr>
      <w:r>
        <w:t xml:space="preserve">Power BI Desktop connects to the published semantic model through the OneLake data hub. Retail_Operations_Model appears in the Retail_Dataset location, owned by the project author and last refreshed on 26/9/26. Because reports connect live to the shared model, measures and security rules are defined once and reused by every report.</w:t>
      </w:r>
    </w:p>
    <w:p>
      <w:pPr>
        <w:pStyle w:val="Heading1"/>
        <w:keepNext/>
        <w:spacing w:after="160" w:before="360"/>
      </w:pPr>
      <w:r>
        <w:t xml:space="preserve">5. Row-Level Security</w:t>
      </w:r>
    </w:p>
    <w:p>
      <w:pPr>
        <w:spacing w:after="160"/>
      </w:pPr>
      <w:r>
        <w:t xml:space="preserve">Regional managers should only see data for their own region. This was implemented with a mapping table in the Lakehouse and a dynamic security role in the semantic model.</w:t>
      </w:r>
    </w:p>
    <w:p>
      <w:pPr>
        <w:pStyle w:val="Heading2"/>
        <w:keepNext/>
        <w:spacing w:after="120" w:before="280"/>
      </w:pPr>
      <w:r>
        <w:t xml:space="preserve">5.1 Creating the RegionSecurity Table</w:t>
      </w:r>
    </w:p>
    <w:p>
      <w:pPr>
        <w:keepNext/>
        <w:spacing w:after="100" w:before="20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267075"/>
                    </a:xfrm>
                    <a:prstGeom prst="rect">
                      <a:avLst/>
                    </a:prstGeom>
                  </pic:spPr>
                </pic:pic>
              </a:graphicData>
            </a:graphic>
          </wp:inline>
        </w:drawing>
      </w:r>
    </w:p>
    <w:p>
      <w:pPr>
        <w:spacing w:after="240"/>
        <w:jc w:val="center"/>
      </w:pPr>
      <w:r>
        <w:rPr>
          <w:b/>
          <w:bCs/>
          <w:color w:val="555555"/>
          <w:sz w:val="20"/>
          <w:szCs w:val="20"/>
        </w:rPr>
        <w:t xml:space="preserve">Figure 7. PySpark notebook creating the RegionSecurity Delta table</w:t>
      </w:r>
    </w:p>
    <w:p>
      <w:pPr>
        <w:spacing w:after="160"/>
      </w:pPr>
      <w:r>
        <w:t xml:space="preserve">A Fabric notebook defined a list of manager email addresses (manager.region1@retail.com through manager.region8@retail.com), each paired with a region_id from 1 to 8. A two-column schema (UserEmail, region_id) was applied and the data written in overwrite mode as a Delta table named RegionSecurity. The run completed in about 23 seconds and printed a success message.</w:t>
      </w:r>
    </w:p>
    <w:p>
      <w:pPr>
        <w:pStyle w:val="Heading2"/>
        <w:keepNext/>
        <w:spacing w:after="120" w:before="280"/>
      </w:pPr>
      <w:r>
        <w:t xml:space="preserve">5.2 Defining the Security Role</w:t>
      </w:r>
    </w:p>
    <w:p>
      <w:pPr>
        <w:keepNext/>
        <w:spacing w:after="100" w:before="200"/>
        <w:jc w:val="center"/>
      </w:pPr>
      <w:r>
        <w:drawing>
          <wp:inline distT="0" distB="0" distL="0" distR="0">
            <wp:extent cx="50292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4267200"/>
                    </a:xfrm>
                    <a:prstGeom prst="rect">
                      <a:avLst/>
                    </a:prstGeom>
                  </pic:spPr>
                </pic:pic>
              </a:graphicData>
            </a:graphic>
          </wp:inline>
        </w:drawing>
      </w:r>
    </w:p>
    <w:p>
      <w:pPr>
        <w:spacing w:after="240"/>
        <w:jc w:val="center"/>
      </w:pPr>
      <w:r>
        <w:rPr>
          <w:b/>
          <w:bCs/>
          <w:color w:val="555555"/>
          <w:sz w:val="20"/>
          <w:szCs w:val="20"/>
        </w:rPr>
        <w:t xml:space="preserve">Figure 8. Creating the RegionalManager role and filter on the regionsecurity table</w:t>
      </w:r>
    </w:p>
    <w:p>
      <w:pPr>
        <w:spacing w:after="160"/>
      </w:pPr>
      <w:r>
        <w:t xml:space="preserve">In Manage security roles, a RegionalManager role was created and a table filter was placed on the regionsecurity table using the expression [UserEmail] = USERPRINCIPALNAME(). This limits the mapping table to the row belonging to the signed-in user.</w:t>
      </w:r>
    </w:p>
    <w:p>
      <w:pPr>
        <w:keepNext/>
        <w:spacing w:after="100" w:before="200"/>
        <w:jc w:val="center"/>
      </w:pPr>
      <w:r>
        <w:drawing>
          <wp:inline distT="0" distB="0" distL="0" distR="0">
            <wp:extent cx="50292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4581525"/>
                    </a:xfrm>
                    <a:prstGeom prst="rect">
                      <a:avLst/>
                    </a:prstGeom>
                  </pic:spPr>
                </pic:pic>
              </a:graphicData>
            </a:graphic>
          </wp:inline>
        </w:drawing>
      </w:r>
    </w:p>
    <w:p>
      <w:pPr>
        <w:spacing w:after="240"/>
        <w:jc w:val="center"/>
      </w:pPr>
      <w:r>
        <w:rPr>
          <w:b/>
          <w:bCs/>
          <w:color w:val="555555"/>
          <w:sz w:val="20"/>
          <w:szCs w:val="20"/>
        </w:rPr>
        <w:t xml:space="preserve">Figure 9. DAX filter on Regions that restricts rows using RegionSecurity</w:t>
      </w:r>
    </w:p>
    <w:p>
      <w:pPr>
        <w:spacing w:after="160"/>
      </w:pPr>
      <w:r>
        <w:t xml:space="preserve">A second filter on the Regions table keeps only regions whose region_id appears in the current user's rows of RegionSecurity, using IN with SELECTCOLUMNS and FILTER. Because relationships propagate filters down the hierarchy, restricting Regions also restricts districts, stores, transactions and items to that region.</w:t>
      </w:r>
    </w:p>
    <w:p>
      <w:pPr>
        <w:pStyle w:val="Heading2"/>
        <w:keepNext/>
        <w:spacing w:after="120" w:before="280"/>
      </w:pPr>
      <w:r>
        <w:t xml:space="preserve">5.3 Assigning Members</w:t>
      </w:r>
    </w:p>
    <w:p>
      <w:pPr>
        <w:keepNext/>
        <w:spacing w:after="100" w:before="200"/>
        <w:jc w:val="center"/>
      </w:pPr>
      <w:r>
        <w:drawing>
          <wp:inline distT="0" distB="0" distL="0" distR="0">
            <wp:extent cx="4572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4152900"/>
                    </a:xfrm>
                    <a:prstGeom prst="rect">
                      <a:avLst/>
                    </a:prstGeom>
                  </pic:spPr>
                </pic:pic>
              </a:graphicData>
            </a:graphic>
          </wp:inline>
        </w:drawing>
      </w:r>
    </w:p>
    <w:p>
      <w:pPr>
        <w:spacing w:after="240"/>
        <w:jc w:val="center"/>
      </w:pPr>
      <w:r>
        <w:rPr>
          <w:b/>
          <w:bCs/>
          <w:color w:val="555555"/>
          <w:sz w:val="20"/>
          <w:szCs w:val="20"/>
        </w:rPr>
        <w:t xml:space="preserve">Figure 10. Assigning members to the RegionalManager role</w:t>
      </w:r>
    </w:p>
    <w:p>
      <w:pPr>
        <w:spacing w:after="160"/>
      </w:pPr>
      <w:r>
        <w:t xml:space="preserve">On the Assign tab, users are added to the RegionalManager role. One member is assigned in the screenshot, allowing the rule to be tested with the project account.</w:t>
      </w:r>
    </w:p>
    <w:p>
      <w:pPr>
        <w:pStyle w:val="Heading2"/>
        <w:keepNext/>
        <w:spacing w:after="120" w:before="280"/>
      </w:pPr>
      <w:r>
        <w:t xml:space="preserve">5.4 Recreating the Mapping Table</w:t>
      </w:r>
    </w:p>
    <w:p>
      <w:pPr>
        <w:keepNext/>
        <w:spacing w:after="100" w:before="200"/>
        <w:jc w:val="center"/>
      </w:pPr>
      <w:r>
        <w:drawing>
          <wp:inline distT="0" distB="0" distL="0" distR="0">
            <wp:extent cx="54864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05175"/>
                    </a:xfrm>
                    <a:prstGeom prst="rect">
                      <a:avLst/>
                    </a:prstGeom>
                  </pic:spPr>
                </pic:pic>
              </a:graphicData>
            </a:graphic>
          </wp:inline>
        </w:drawing>
      </w:r>
    </w:p>
    <w:p>
      <w:pPr>
        <w:spacing w:after="240"/>
        <w:jc w:val="center"/>
      </w:pPr>
      <w:r>
        <w:rPr>
          <w:b/>
          <w:bCs/>
          <w:color w:val="555555"/>
          <w:sz w:val="20"/>
          <w:szCs w:val="20"/>
        </w:rPr>
        <w:t xml:space="preserve">Figure 11. RegionSecurity table recreated with string region identifiers</w:t>
      </w:r>
    </w:p>
    <w:p>
      <w:pPr>
        <w:spacing w:after="160"/>
      </w:pPr>
      <w:r>
        <w:t xml:space="preserve">The mapping notebook was later revised and re-run so that the region_id column is a string rather than an integer, with each manager email paired to an identifier value, and an additional test account mapped to the first region's identifier. The table was recreated successfully (all 6 Spark jobs succeeded). Keeping the key data type identical on both sides of the IN comparison is required for the security filter to match rows.</w:t>
      </w:r>
    </w:p>
    <w:p>
      <w:pPr>
        <w:pStyle w:val="Heading1"/>
        <w:keepNext/>
        <w:spacing w:after="160" w:before="360"/>
      </w:pPr>
      <w:r>
        <w:t xml:space="preserve">6. Power BI Store Sales Summary</w:t>
      </w:r>
    </w:p>
    <w:p>
      <w:pPr>
        <w:keepNext/>
        <w:spacing w:after="100" w:before="200"/>
        <w:jc w:val="center"/>
      </w:pPr>
      <w:r>
        <w:drawing>
          <wp:inline distT="0" distB="0" distL="0" distR="0">
            <wp:extent cx="3838575"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38575" cy="4352925"/>
                    </a:xfrm>
                    <a:prstGeom prst="rect">
                      <a:avLst/>
                    </a:prstGeom>
                  </pic:spPr>
                </pic:pic>
              </a:graphicData>
            </a:graphic>
          </wp:inline>
        </w:drawing>
      </w:r>
    </w:p>
    <w:p>
      <w:pPr>
        <w:spacing w:after="240"/>
        <w:jc w:val="center"/>
      </w:pPr>
      <w:r>
        <w:rPr>
          <w:b/>
          <w:bCs/>
          <w:color w:val="555555"/>
          <w:sz w:val="20"/>
          <w:szCs w:val="20"/>
        </w:rPr>
        <w:t xml:space="preserve">Figure 12. Power BI table of total sales by district, store and region</w:t>
      </w:r>
    </w:p>
    <w:p>
      <w:pPr>
        <w:spacing w:after="160"/>
      </w:pPr>
      <w:r>
        <w:t xml:space="preserve">A Power BI table visual sums total_amount by district, store and region with banded rows and a grand total of 120,708,096.68, which matches the overall sales figure in the paginated report. The table doubles as a cross-check between the interactive and paginated layers.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500"/>
      </w:tblGrid>
      <w:tr>
        <w:trPr>
          <w:cantSplit/>
          <w:tblHeader/>
        </w:trPr>
        <w:tc>
          <w:tcPr>
            <w:tcW w:type="dxa" w:w="1400"/>
            <w:shd w:fill="2F5496" w:color="auto" w:val="clear"/>
            <w:tcMar>
              <w:top w:type="dxa" w:w="80"/>
              <w:left w:type="dxa" w:w="100"/>
              <w:bottom w:type="dxa" w:w="80"/>
              <w:right w:type="dxa" w:w="100"/>
            </w:tcMar>
          </w:tcPr>
          <w:p>
            <w:r>
              <w:rPr>
                <w:b/>
                <w:bCs/>
                <w:color w:val="FFFFFF"/>
              </w:rPr>
              <w:t xml:space="preserve">Region</w:t>
            </w:r>
          </w:p>
        </w:tc>
        <w:tc>
          <w:tcPr>
            <w:tcW w:type="dxa" w:w="4600"/>
            <w:shd w:fill="2F5496" w:color="auto" w:val="clear"/>
            <w:tcMar>
              <w:top w:type="dxa" w:w="80"/>
              <w:left w:type="dxa" w:w="100"/>
              <w:bottom w:type="dxa" w:w="80"/>
              <w:right w:type="dxa" w:w="100"/>
            </w:tcMar>
          </w:tcPr>
          <w:p>
            <w:r>
              <w:rPr>
                <w:b/>
                <w:bCs/>
                <w:color w:val="FFFFFF"/>
              </w:rPr>
              <w:t xml:space="preserve">Stores</w:t>
            </w:r>
          </w:p>
        </w:tc>
        <w:tc>
          <w:tcPr>
            <w:tcW w:type="dxa" w:w="3500"/>
            <w:shd w:fill="2F5496" w:color="auto" w:val="clear"/>
            <w:tcMar>
              <w:top w:type="dxa" w:w="80"/>
              <w:left w:type="dxa" w:w="100"/>
              <w:bottom w:type="dxa" w:w="80"/>
              <w:right w:type="dxa" w:w="100"/>
            </w:tcMar>
          </w:tcPr>
          <w:p>
            <w:r>
              <w:rPr>
                <w:b/>
                <w:bCs/>
                <w:color w:val="FFFFFF"/>
              </w:rPr>
              <w:t xml:space="preserve">Total sales</w:t>
            </w:r>
          </w:p>
        </w:tc>
      </w:tr>
      <w:tr>
        <w:trPr>
          <w:cantSplit/>
        </w:trPr>
        <w:tc>
          <w:tcPr>
            <w:tcW w:type="dxa" w:w="1400"/>
            <w:tcMar>
              <w:top w:type="dxa" w:w="80"/>
              <w:left w:type="dxa" w:w="100"/>
              <w:bottom w:type="dxa" w:w="80"/>
              <w:right w:type="dxa" w:w="100"/>
            </w:tcMar>
          </w:tcPr>
          <w:p>
            <w:r>
              <w:t xml:space="preserve">ACT</w:t>
            </w:r>
          </w:p>
        </w:tc>
        <w:tc>
          <w:tcPr>
            <w:tcW w:type="dxa" w:w="4600"/>
            <w:tcMar>
              <w:top w:type="dxa" w:w="80"/>
              <w:left w:type="dxa" w:w="100"/>
              <w:bottom w:type="dxa" w:w="80"/>
              <w:right w:type="dxa" w:w="100"/>
            </w:tcMar>
          </w:tcPr>
          <w:p>
            <w:r>
              <w:t xml:space="preserve">Canberra</w:t>
            </w:r>
          </w:p>
        </w:tc>
        <w:tc>
          <w:tcPr>
            <w:tcW w:type="dxa" w:w="3500"/>
            <w:tcMar>
              <w:top w:type="dxa" w:w="80"/>
              <w:left w:type="dxa" w:w="100"/>
              <w:bottom w:type="dxa" w:w="80"/>
              <w:right w:type="dxa" w:w="100"/>
            </w:tcMar>
          </w:tcPr>
          <w:p>
            <w:r>
              <w:t xml:space="preserve">8,005,659.83</w:t>
            </w:r>
          </w:p>
        </w:tc>
      </w:tr>
      <w:tr>
        <w:trPr>
          <w:cantSplit/>
        </w:trPr>
        <w:tc>
          <w:tcPr>
            <w:tcW w:type="dxa" w:w="1400"/>
            <w:shd w:fill="F2F2F2" w:color="auto" w:val="clear"/>
            <w:tcMar>
              <w:top w:type="dxa" w:w="80"/>
              <w:left w:type="dxa" w:w="100"/>
              <w:bottom w:type="dxa" w:w="80"/>
              <w:right w:type="dxa" w:w="100"/>
            </w:tcMar>
          </w:tcPr>
          <w:p>
            <w:r>
              <w:t xml:space="preserve">NSW</w:t>
            </w:r>
          </w:p>
        </w:tc>
        <w:tc>
          <w:tcPr>
            <w:tcW w:type="dxa" w:w="4600"/>
            <w:shd w:fill="F2F2F2" w:color="auto" w:val="clear"/>
            <w:tcMar>
              <w:top w:type="dxa" w:w="80"/>
              <w:left w:type="dxa" w:w="100"/>
              <w:bottom w:type="dxa" w:w="80"/>
              <w:right w:type="dxa" w:w="100"/>
            </w:tcMar>
          </w:tcPr>
          <w:p>
            <w:r>
              <w:t xml:space="preserve">Central Coast, Parramatta, Sydney</w:t>
            </w:r>
          </w:p>
        </w:tc>
        <w:tc>
          <w:tcPr>
            <w:tcW w:type="dxa" w:w="3500"/>
            <w:shd w:fill="F2F2F2" w:color="auto" w:val="clear"/>
            <w:tcMar>
              <w:top w:type="dxa" w:w="80"/>
              <w:left w:type="dxa" w:w="100"/>
              <w:bottom w:type="dxa" w:w="80"/>
              <w:right w:type="dxa" w:w="100"/>
            </w:tcMar>
          </w:tcPr>
          <w:p>
            <w:r>
              <w:t xml:space="preserve">18,886,366.32</w:t>
            </w:r>
          </w:p>
        </w:tc>
      </w:tr>
      <w:tr>
        <w:trPr>
          <w:cantSplit/>
        </w:trPr>
        <w:tc>
          <w:tcPr>
            <w:tcW w:type="dxa" w:w="1400"/>
            <w:tcMar>
              <w:top w:type="dxa" w:w="80"/>
              <w:left w:type="dxa" w:w="100"/>
              <w:bottom w:type="dxa" w:w="80"/>
              <w:right w:type="dxa" w:w="100"/>
            </w:tcMar>
          </w:tcPr>
          <w:p>
            <w:r>
              <w:t xml:space="preserve">NT</w:t>
            </w:r>
          </w:p>
        </w:tc>
        <w:tc>
          <w:tcPr>
            <w:tcW w:type="dxa" w:w="4600"/>
            <w:tcMar>
              <w:top w:type="dxa" w:w="80"/>
              <w:left w:type="dxa" w:w="100"/>
              <w:bottom w:type="dxa" w:w="80"/>
              <w:right w:type="dxa" w:w="100"/>
            </w:tcMar>
          </w:tcPr>
          <w:p>
            <w:r>
              <w:t xml:space="preserve">Palmerston</w:t>
            </w:r>
          </w:p>
        </w:tc>
        <w:tc>
          <w:tcPr>
            <w:tcW w:type="dxa" w:w="3500"/>
            <w:tcMar>
              <w:top w:type="dxa" w:w="80"/>
              <w:left w:type="dxa" w:w="100"/>
              <w:bottom w:type="dxa" w:w="80"/>
              <w:right w:type="dxa" w:w="100"/>
            </w:tcMar>
          </w:tcPr>
          <w:p>
            <w:r>
              <w:t xml:space="preserve">7,730,985.01</w:t>
            </w:r>
          </w:p>
        </w:tc>
      </w:tr>
      <w:tr>
        <w:trPr>
          <w:cantSplit/>
        </w:trPr>
        <w:tc>
          <w:tcPr>
            <w:tcW w:type="dxa" w:w="1400"/>
            <w:shd w:fill="F2F2F2" w:color="auto" w:val="clear"/>
            <w:tcMar>
              <w:top w:type="dxa" w:w="80"/>
              <w:left w:type="dxa" w:w="100"/>
              <w:bottom w:type="dxa" w:w="80"/>
              <w:right w:type="dxa" w:w="100"/>
            </w:tcMar>
          </w:tcPr>
          <w:p>
            <w:r>
              <w:t xml:space="preserve">QLD</w:t>
            </w:r>
          </w:p>
        </w:tc>
        <w:tc>
          <w:tcPr>
            <w:tcW w:type="dxa" w:w="4600"/>
            <w:shd w:fill="F2F2F2" w:color="auto" w:val="clear"/>
            <w:tcMar>
              <w:top w:type="dxa" w:w="80"/>
              <w:left w:type="dxa" w:w="100"/>
              <w:bottom w:type="dxa" w:w="80"/>
              <w:right w:type="dxa" w:w="100"/>
            </w:tcMar>
          </w:tcPr>
          <w:p>
            <w:r>
              <w:t xml:space="preserve">Brisbane, Cairns, Gold Coast</w:t>
            </w:r>
          </w:p>
        </w:tc>
        <w:tc>
          <w:tcPr>
            <w:tcW w:type="dxa" w:w="3500"/>
            <w:shd w:fill="F2F2F2" w:color="auto" w:val="clear"/>
            <w:tcMar>
              <w:top w:type="dxa" w:w="80"/>
              <w:left w:type="dxa" w:w="100"/>
              <w:bottom w:type="dxa" w:w="80"/>
              <w:right w:type="dxa" w:w="100"/>
            </w:tcMar>
          </w:tcPr>
          <w:p>
            <w:r>
              <w:t xml:space="preserve">23,726,127.86</w:t>
            </w:r>
          </w:p>
        </w:tc>
      </w:tr>
      <w:tr>
        <w:trPr>
          <w:cantSplit/>
        </w:trPr>
        <w:tc>
          <w:tcPr>
            <w:tcW w:type="dxa" w:w="1400"/>
            <w:tcMar>
              <w:top w:type="dxa" w:w="80"/>
              <w:left w:type="dxa" w:w="100"/>
              <w:bottom w:type="dxa" w:w="80"/>
              <w:right w:type="dxa" w:w="100"/>
            </w:tcMar>
          </w:tcPr>
          <w:p>
            <w:r>
              <w:t xml:space="preserve">SA</w:t>
            </w:r>
          </w:p>
        </w:tc>
        <w:tc>
          <w:tcPr>
            <w:tcW w:type="dxa" w:w="4600"/>
            <w:tcMar>
              <w:top w:type="dxa" w:w="80"/>
              <w:left w:type="dxa" w:w="100"/>
              <w:bottom w:type="dxa" w:w="80"/>
              <w:right w:type="dxa" w:w="100"/>
            </w:tcMar>
          </w:tcPr>
          <w:p>
            <w:r>
              <w:t xml:space="preserve">Murray Bridge, Port Augusta</w:t>
            </w:r>
          </w:p>
        </w:tc>
        <w:tc>
          <w:tcPr>
            <w:tcW w:type="dxa" w:w="3500"/>
            <w:tcMar>
              <w:top w:type="dxa" w:w="80"/>
              <w:left w:type="dxa" w:w="100"/>
              <w:bottom w:type="dxa" w:w="80"/>
              <w:right w:type="dxa" w:w="100"/>
            </w:tcMar>
          </w:tcPr>
          <w:p>
            <w:r>
              <w:t xml:space="preserve">9,735,726.77</w:t>
            </w:r>
          </w:p>
        </w:tc>
      </w:tr>
      <w:tr>
        <w:trPr>
          <w:cantSplit/>
        </w:trPr>
        <w:tc>
          <w:tcPr>
            <w:tcW w:type="dxa" w:w="1400"/>
            <w:shd w:fill="F2F2F2" w:color="auto" w:val="clear"/>
            <w:tcMar>
              <w:top w:type="dxa" w:w="80"/>
              <w:left w:type="dxa" w:w="100"/>
              <w:bottom w:type="dxa" w:w="80"/>
              <w:right w:type="dxa" w:w="100"/>
            </w:tcMar>
          </w:tcPr>
          <w:p>
            <w:r>
              <w:t xml:space="preserve">TAS</w:t>
            </w:r>
          </w:p>
        </w:tc>
        <w:tc>
          <w:tcPr>
            <w:tcW w:type="dxa" w:w="4600"/>
            <w:shd w:fill="F2F2F2" w:color="auto" w:val="clear"/>
            <w:tcMar>
              <w:top w:type="dxa" w:w="80"/>
              <w:left w:type="dxa" w:w="100"/>
              <w:bottom w:type="dxa" w:w="80"/>
              <w:right w:type="dxa" w:w="100"/>
            </w:tcMar>
          </w:tcPr>
          <w:p>
            <w:r>
              <w:t xml:space="preserve">Launceston</w:t>
            </w:r>
          </w:p>
        </w:tc>
        <w:tc>
          <w:tcPr>
            <w:tcW w:type="dxa" w:w="3500"/>
            <w:shd w:fill="F2F2F2" w:color="auto" w:val="clear"/>
            <w:tcMar>
              <w:top w:type="dxa" w:w="80"/>
              <w:left w:type="dxa" w:w="100"/>
              <w:bottom w:type="dxa" w:w="80"/>
              <w:right w:type="dxa" w:w="100"/>
            </w:tcMar>
          </w:tcPr>
          <w:p>
            <w:r>
              <w:t xml:space="preserve">9,855,009.07</w:t>
            </w:r>
          </w:p>
        </w:tc>
      </w:tr>
      <w:tr>
        <w:trPr>
          <w:cantSplit/>
        </w:trPr>
        <w:tc>
          <w:tcPr>
            <w:tcW w:type="dxa" w:w="1400"/>
            <w:tcMar>
              <w:top w:type="dxa" w:w="80"/>
              <w:left w:type="dxa" w:w="100"/>
              <w:bottom w:type="dxa" w:w="80"/>
              <w:right w:type="dxa" w:w="100"/>
            </w:tcMar>
          </w:tcPr>
          <w:p>
            <w:r>
              <w:t xml:space="preserve">VIC</w:t>
            </w:r>
          </w:p>
        </w:tc>
        <w:tc>
          <w:tcPr>
            <w:tcW w:type="dxa" w:w="4600"/>
            <w:tcMar>
              <w:top w:type="dxa" w:w="80"/>
              <w:left w:type="dxa" w:w="100"/>
              <w:bottom w:type="dxa" w:w="80"/>
              <w:right w:type="dxa" w:w="100"/>
            </w:tcMar>
          </w:tcPr>
          <w:p>
            <w:r>
              <w:t xml:space="preserve">Ballarat, Melbourne, Shepparton</w:t>
            </w:r>
          </w:p>
        </w:tc>
        <w:tc>
          <w:tcPr>
            <w:tcW w:type="dxa" w:w="3500"/>
            <w:tcMar>
              <w:top w:type="dxa" w:w="80"/>
              <w:left w:type="dxa" w:w="100"/>
              <w:bottom w:type="dxa" w:w="80"/>
              <w:right w:type="dxa" w:w="100"/>
            </w:tcMar>
          </w:tcPr>
          <w:p>
            <w:r>
              <w:t xml:space="preserve">23,702,418.92</w:t>
            </w:r>
          </w:p>
        </w:tc>
      </w:tr>
      <w:tr>
        <w:trPr>
          <w:cantSplit/>
        </w:trPr>
        <w:tc>
          <w:tcPr>
            <w:tcW w:type="dxa" w:w="1400"/>
            <w:shd w:fill="F2F2F2" w:color="auto" w:val="clear"/>
            <w:tcMar>
              <w:top w:type="dxa" w:w="80"/>
              <w:left w:type="dxa" w:w="100"/>
              <w:bottom w:type="dxa" w:w="80"/>
              <w:right w:type="dxa" w:w="100"/>
            </w:tcMar>
          </w:tcPr>
          <w:p>
            <w:r>
              <w:t xml:space="preserve">WA</w:t>
            </w:r>
          </w:p>
        </w:tc>
        <w:tc>
          <w:tcPr>
            <w:tcW w:type="dxa" w:w="4600"/>
            <w:shd w:fill="F2F2F2" w:color="auto" w:val="clear"/>
            <w:tcMar>
              <w:top w:type="dxa" w:w="80"/>
              <w:left w:type="dxa" w:w="100"/>
              <w:bottom w:type="dxa" w:w="80"/>
              <w:right w:type="dxa" w:w="100"/>
            </w:tcMar>
          </w:tcPr>
          <w:p>
            <w:r>
              <w:t xml:space="preserve">Fremantle, Kalgoorlie</w:t>
            </w:r>
          </w:p>
        </w:tc>
        <w:tc>
          <w:tcPr>
            <w:tcW w:type="dxa" w:w="3500"/>
            <w:shd w:fill="F2F2F2" w:color="auto" w:val="clear"/>
            <w:tcMar>
              <w:top w:type="dxa" w:w="80"/>
              <w:left w:type="dxa" w:w="100"/>
              <w:bottom w:type="dxa" w:w="80"/>
              <w:right w:type="dxa" w:w="100"/>
            </w:tcMar>
          </w:tcPr>
          <w:p>
            <w:r>
              <w:t xml:space="preserve">19,065,802.90</w:t>
            </w:r>
          </w:p>
        </w:tc>
      </w:tr>
      <w:tr>
        <w:trPr>
          <w:cantSplit/>
        </w:trPr>
        <w:tc>
          <w:tcPr>
            <w:tcW w:type="dxa" w:w="1400"/>
            <w:tcMar>
              <w:top w:type="dxa" w:w="80"/>
              <w:left w:type="dxa" w:w="100"/>
              <w:bottom w:type="dxa" w:w="80"/>
              <w:right w:type="dxa" w:w="100"/>
            </w:tcMar>
          </w:tcPr>
          <w:p>
            <w:r>
              <w:t xml:space="preserve">Total</w:t>
            </w:r>
          </w:p>
        </w:tc>
        <w:tc>
          <w:tcPr>
            <w:tcW w:type="dxa" w:w="4600"/>
            <w:tcMar>
              <w:top w:type="dxa" w:w="80"/>
              <w:left w:type="dxa" w:w="100"/>
              <w:bottom w:type="dxa" w:w="80"/>
              <w:right w:type="dxa" w:w="100"/>
            </w:tcMar>
          </w:tcPr>
          <w:p>
            <w:r>
              <w:t xml:space="preserve">16 stores</w:t>
            </w:r>
          </w:p>
        </w:tc>
        <w:tc>
          <w:tcPr>
            <w:tcW w:type="dxa" w:w="3500"/>
            <w:tcMar>
              <w:top w:type="dxa" w:w="80"/>
              <w:left w:type="dxa" w:w="100"/>
              <w:bottom w:type="dxa" w:w="80"/>
              <w:right w:type="dxa" w:w="100"/>
            </w:tcMar>
          </w:tcPr>
          <w:p>
            <w:r>
              <w:t xml:space="preserve">120,708,096.68</w:t>
            </w:r>
          </w:p>
        </w:tc>
      </w:tr>
    </w:tbl>
    <w:p>
      <w:pPr>
        <w:spacing w:after="160"/>
      </w:pPr>
      <w:r>
        <w:t xml:space="preserve"/>
      </w:r>
    </w:p>
    <w:p>
      <w:pPr>
        <w:spacing w:after="160"/>
      </w:pPr>
      <w:r>
        <w:t xml:space="preserve">Regional totals above are the sums of the store values shown in the table. Queensland (23.73M) and Victoria (23.70M) lead, each with three stores. Maycee Gold Coast is the highest-selling store at 10,115,677.35, and Maycee Murray Bridge is the lowest at 2,359,108.06, roughly a quarter of the top store.</w:t>
      </w:r>
    </w:p>
    <w:p>
      <w:pPr>
        <w:pStyle w:val="Heading1"/>
        <w:keepNext/>
        <w:spacing w:after="160" w:before="360"/>
      </w:pPr>
      <w:r>
        <w:t xml:space="preserve">7. Paginated Reporting with Report Builder</w:t>
      </w:r>
    </w:p>
    <w:p>
      <w:pPr>
        <w:spacing w:after="160"/>
      </w:pPr>
      <w:r>
        <w:t xml:space="preserve">A paginated Monthly Operational &amp; Audit Report was built in Power BI Report Builder on top of Retail_Operations_Model, providing a printable, parameter-driven view for store operations and audit.</w:t>
      </w:r>
    </w:p>
    <w:p>
      <w:pPr>
        <w:pStyle w:val="Heading2"/>
        <w:keepNext/>
        <w:spacing w:after="120" w:before="280"/>
      </w:pPr>
      <w:r>
        <w:t xml:space="preserve">7.1 Data Source Connection</w:t>
      </w:r>
    </w:p>
    <w:p>
      <w:pPr>
        <w:keepNext/>
        <w:spacing w:after="100" w:before="200"/>
        <w:jc w:val="center"/>
      </w:pPr>
      <w:r>
        <w:drawing>
          <wp:inline distT="0" distB="0" distL="0" distR="0">
            <wp:extent cx="45720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5114925"/>
                    </a:xfrm>
                    <a:prstGeom prst="rect">
                      <a:avLst/>
                    </a:prstGeom>
                  </pic:spPr>
                </pic:pic>
              </a:graphicData>
            </a:graphic>
          </wp:inline>
        </w:drawing>
      </w:r>
    </w:p>
    <w:p>
      <w:pPr>
        <w:spacing w:after="240"/>
        <w:jc w:val="center"/>
      </w:pPr>
      <w:r>
        <w:rPr>
          <w:b/>
          <w:bCs/>
          <w:color w:val="555555"/>
          <w:sz w:val="20"/>
          <w:szCs w:val="20"/>
        </w:rPr>
        <w:t xml:space="preserve">Figure 13. Report Builder data source pointing at the semantic model</w:t>
      </w:r>
    </w:p>
    <w:p>
      <w:pPr>
        <w:spacing w:after="160"/>
      </w:pPr>
      <w:r>
        <w:t xml:space="preserve">The data source Retail_Operations_Model uses the Microsoft SQL Server Analysis Services connection type with a Power BI XMLA connection string that targets the Retail_Dataset workspace and the Retail_Operations_Model catalog. Test Connection returned 'Connection created successfully'.</w:t>
      </w:r>
    </w:p>
    <w:p>
      <w:pPr>
        <w:pStyle w:val="Heading2"/>
        <w:keepNext/>
        <w:spacing w:after="120" w:before="280"/>
      </w:pPr>
      <w:r>
        <w:t xml:space="preserve">7.2 KPI Query</w:t>
      </w:r>
    </w:p>
    <w:p>
      <w:pPr>
        <w:keepNext/>
        <w:spacing w:after="100" w:before="200"/>
        <w:jc w:val="center"/>
      </w:pPr>
      <w:r>
        <w:drawing>
          <wp:inline distT="0" distB="0" distL="0" distR="0">
            <wp:extent cx="5029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4476750"/>
                    </a:xfrm>
                    <a:prstGeom prst="rect">
                      <a:avLst/>
                    </a:prstGeom>
                  </pic:spPr>
                </pic:pic>
              </a:graphicData>
            </a:graphic>
          </wp:inline>
        </w:drawing>
      </w:r>
    </w:p>
    <w:p>
      <w:pPr>
        <w:spacing w:after="240"/>
        <w:jc w:val="center"/>
      </w:pPr>
      <w:r>
        <w:rPr>
          <w:b/>
          <w:bCs/>
          <w:color w:val="555555"/>
          <w:sz w:val="20"/>
          <w:szCs w:val="20"/>
        </w:rPr>
        <w:t xml:space="preserve">Figure 14. DAX query returning the headline KPIs</w:t>
      </w:r>
    </w:p>
    <w:p>
      <w:pPr>
        <w:spacing w:after="160"/>
      </w:pPr>
      <w:r>
        <w:t xml:space="preserve">The Query Designer, in DAX mode, evaluates a single row containing five KPIs: Total Sales, Total Transactions (distinct count of transaction_id), Total Units, Gross Profit and Total Returns (sum of refund_amount). The preview returns the values in the table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300"/>
      </w:tblGrid>
      <w:tr>
        <w:trPr>
          <w:cantSplit/>
          <w:tblHeader/>
        </w:trPr>
        <w:tc>
          <w:tcPr>
            <w:tcW w:type="dxa" w:w="2400"/>
            <w:shd w:fill="2F5496" w:color="auto" w:val="clear"/>
            <w:tcMar>
              <w:top w:type="dxa" w:w="80"/>
              <w:left w:type="dxa" w:w="100"/>
              <w:bottom w:type="dxa" w:w="80"/>
              <w:right w:type="dxa" w:w="100"/>
            </w:tcMar>
          </w:tcPr>
          <w:p>
            <w:r>
              <w:rPr>
                <w:b/>
                <w:bCs/>
                <w:color w:val="FFFFFF"/>
              </w:rPr>
              <w:t xml:space="preserve">KPI</w:t>
            </w:r>
          </w:p>
        </w:tc>
        <w:tc>
          <w:tcPr>
            <w:tcW w:type="dxa" w:w="2800"/>
            <w:shd w:fill="2F5496" w:color="auto" w:val="clear"/>
            <w:tcMar>
              <w:top w:type="dxa" w:w="80"/>
              <w:left w:type="dxa" w:w="100"/>
              <w:bottom w:type="dxa" w:w="80"/>
              <w:right w:type="dxa" w:w="100"/>
            </w:tcMar>
          </w:tcPr>
          <w:p>
            <w:r>
              <w:rPr>
                <w:b/>
                <w:bCs/>
                <w:color w:val="FFFFFF"/>
              </w:rPr>
              <w:t xml:space="preserve">Value</w:t>
            </w:r>
          </w:p>
        </w:tc>
        <w:tc>
          <w:tcPr>
            <w:tcW w:type="dxa" w:w="4300"/>
            <w:shd w:fill="2F5496" w:color="auto" w:val="clear"/>
            <w:tcMar>
              <w:top w:type="dxa" w:w="80"/>
              <w:left w:type="dxa" w:w="100"/>
              <w:bottom w:type="dxa" w:w="80"/>
              <w:right w:type="dxa" w:w="100"/>
            </w:tcMar>
          </w:tcPr>
          <w:p>
            <w:r>
              <w:rPr>
                <w:b/>
                <w:bCs/>
                <w:color w:val="FFFFFF"/>
              </w:rPr>
              <w:t xml:space="preserve">Derived insight</w:t>
            </w:r>
          </w:p>
        </w:tc>
      </w:tr>
      <w:tr>
        <w:trPr>
          <w:cantSplit/>
        </w:trPr>
        <w:tc>
          <w:tcPr>
            <w:tcW w:type="dxa" w:w="2400"/>
            <w:tcMar>
              <w:top w:type="dxa" w:w="80"/>
              <w:left w:type="dxa" w:w="100"/>
              <w:bottom w:type="dxa" w:w="80"/>
              <w:right w:type="dxa" w:w="100"/>
            </w:tcMar>
          </w:tcPr>
          <w:p>
            <w:r>
              <w:t xml:space="preserve">Total Sales</w:t>
            </w:r>
          </w:p>
        </w:tc>
        <w:tc>
          <w:tcPr>
            <w:tcW w:type="dxa" w:w="2800"/>
            <w:tcMar>
              <w:top w:type="dxa" w:w="80"/>
              <w:left w:type="dxa" w:w="100"/>
              <w:bottom w:type="dxa" w:w="80"/>
              <w:right w:type="dxa" w:w="100"/>
            </w:tcMar>
          </w:tcPr>
          <w:p>
            <w:r>
              <w:t xml:space="preserve">120,708,096.68</w:t>
            </w:r>
          </w:p>
        </w:tc>
        <w:tc>
          <w:tcPr>
            <w:tcW w:type="dxa" w:w="4300"/>
            <w:tcMar>
              <w:top w:type="dxa" w:w="80"/>
              <w:left w:type="dxa" w:w="100"/>
              <w:bottom w:type="dxa" w:w="80"/>
              <w:right w:type="dxa" w:w="100"/>
            </w:tcMar>
          </w:tcPr>
          <w:p>
            <w:r>
              <w:t xml:space="preserve">Average of about 731.71 per transaction</w:t>
            </w:r>
          </w:p>
        </w:tc>
      </w:tr>
      <w:tr>
        <w:trPr>
          <w:cantSplit/>
        </w:trPr>
        <w:tc>
          <w:tcPr>
            <w:tcW w:type="dxa" w:w="2400"/>
            <w:shd w:fill="F2F2F2" w:color="auto" w:val="clear"/>
            <w:tcMar>
              <w:top w:type="dxa" w:w="80"/>
              <w:left w:type="dxa" w:w="100"/>
              <w:bottom w:type="dxa" w:w="80"/>
              <w:right w:type="dxa" w:w="100"/>
            </w:tcMar>
          </w:tcPr>
          <w:p>
            <w:r>
              <w:t xml:space="preserve">Total Transactions</w:t>
            </w:r>
          </w:p>
        </w:tc>
        <w:tc>
          <w:tcPr>
            <w:tcW w:type="dxa" w:w="2800"/>
            <w:shd w:fill="F2F2F2" w:color="auto" w:val="clear"/>
            <w:tcMar>
              <w:top w:type="dxa" w:w="80"/>
              <w:left w:type="dxa" w:w="100"/>
              <w:bottom w:type="dxa" w:w="80"/>
              <w:right w:type="dxa" w:w="100"/>
            </w:tcMar>
          </w:tcPr>
          <w:p>
            <w:r>
              <w:t xml:space="preserve">164,968</w:t>
            </w:r>
          </w:p>
        </w:tc>
        <w:tc>
          <w:tcPr>
            <w:tcW w:type="dxa" w:w="4300"/>
            <w:shd w:fill="F2F2F2" w:color="auto" w:val="clear"/>
            <w:tcMar>
              <w:top w:type="dxa" w:w="80"/>
              <w:left w:type="dxa" w:w="100"/>
              <w:bottom w:type="dxa" w:w="80"/>
              <w:right w:type="dxa" w:w="100"/>
            </w:tcMar>
          </w:tcPr>
          <w:p>
            <w:r>
              <w:t xml:space="preserve">About 7.6 units per transaction</w:t>
            </w:r>
          </w:p>
        </w:tc>
      </w:tr>
      <w:tr>
        <w:trPr>
          <w:cantSplit/>
        </w:trPr>
        <w:tc>
          <w:tcPr>
            <w:tcW w:type="dxa" w:w="2400"/>
            <w:tcMar>
              <w:top w:type="dxa" w:w="80"/>
              <w:left w:type="dxa" w:w="100"/>
              <w:bottom w:type="dxa" w:w="80"/>
              <w:right w:type="dxa" w:w="100"/>
            </w:tcMar>
          </w:tcPr>
          <w:p>
            <w:r>
              <w:t xml:space="preserve">Total Units</w:t>
            </w:r>
          </w:p>
        </w:tc>
        <w:tc>
          <w:tcPr>
            <w:tcW w:type="dxa" w:w="2800"/>
            <w:tcMar>
              <w:top w:type="dxa" w:w="80"/>
              <w:left w:type="dxa" w:w="100"/>
              <w:bottom w:type="dxa" w:w="80"/>
              <w:right w:type="dxa" w:w="100"/>
            </w:tcMar>
          </w:tcPr>
          <w:p>
            <w:r>
              <w:t xml:space="preserve">1,258,088</w:t>
            </w:r>
          </w:p>
        </w:tc>
        <w:tc>
          <w:tcPr>
            <w:tcW w:type="dxa" w:w="4300"/>
            <w:tcMar>
              <w:top w:type="dxa" w:w="80"/>
              <w:left w:type="dxa" w:w="100"/>
              <w:bottom w:type="dxa" w:w="80"/>
              <w:right w:type="dxa" w:w="100"/>
            </w:tcMar>
          </w:tcPr>
          <w:p>
            <w:r>
              <w:t xml:space="preserve">Gross profit of about 55.52 per unit</w:t>
            </w:r>
          </w:p>
        </w:tc>
      </w:tr>
      <w:tr>
        <w:trPr>
          <w:cantSplit/>
        </w:trPr>
        <w:tc>
          <w:tcPr>
            <w:tcW w:type="dxa" w:w="2400"/>
            <w:shd w:fill="F2F2F2" w:color="auto" w:val="clear"/>
            <w:tcMar>
              <w:top w:type="dxa" w:w="80"/>
              <w:left w:type="dxa" w:w="100"/>
              <w:bottom w:type="dxa" w:w="80"/>
              <w:right w:type="dxa" w:w="100"/>
            </w:tcMar>
          </w:tcPr>
          <w:p>
            <w:r>
              <w:t xml:space="preserve">Gross Profit</w:t>
            </w:r>
          </w:p>
        </w:tc>
        <w:tc>
          <w:tcPr>
            <w:tcW w:type="dxa" w:w="2800"/>
            <w:shd w:fill="F2F2F2" w:color="auto" w:val="clear"/>
            <w:tcMar>
              <w:top w:type="dxa" w:w="80"/>
              <w:left w:type="dxa" w:w="100"/>
              <w:bottom w:type="dxa" w:w="80"/>
              <w:right w:type="dxa" w:w="100"/>
            </w:tcMar>
          </w:tcPr>
          <w:p>
            <w:r>
              <w:t xml:space="preserve">69,853,023.67</w:t>
            </w:r>
          </w:p>
        </w:tc>
        <w:tc>
          <w:tcPr>
            <w:tcW w:type="dxa" w:w="4300"/>
            <w:shd w:fill="F2F2F2" w:color="auto" w:val="clear"/>
            <w:tcMar>
              <w:top w:type="dxa" w:w="80"/>
              <w:left w:type="dxa" w:w="100"/>
              <w:bottom w:type="dxa" w:w="80"/>
              <w:right w:type="dxa" w:w="100"/>
            </w:tcMar>
          </w:tcPr>
          <w:p>
            <w:r>
              <w:t xml:space="preserve">Gross margin of about 57.9% of sales</w:t>
            </w:r>
          </w:p>
        </w:tc>
      </w:tr>
      <w:tr>
        <w:trPr>
          <w:cantSplit/>
        </w:trPr>
        <w:tc>
          <w:tcPr>
            <w:tcW w:type="dxa" w:w="2400"/>
            <w:tcMar>
              <w:top w:type="dxa" w:w="80"/>
              <w:left w:type="dxa" w:w="100"/>
              <w:bottom w:type="dxa" w:w="80"/>
              <w:right w:type="dxa" w:w="100"/>
            </w:tcMar>
          </w:tcPr>
          <w:p>
            <w:r>
              <w:t xml:space="preserve">Total Returns</w:t>
            </w:r>
          </w:p>
        </w:tc>
        <w:tc>
          <w:tcPr>
            <w:tcW w:type="dxa" w:w="2800"/>
            <w:tcMar>
              <w:top w:type="dxa" w:w="80"/>
              <w:left w:type="dxa" w:w="100"/>
              <w:bottom w:type="dxa" w:w="80"/>
              <w:right w:type="dxa" w:w="100"/>
            </w:tcMar>
          </w:tcPr>
          <w:p>
            <w:r>
              <w:t xml:space="preserve">1,657,952.83</w:t>
            </w:r>
          </w:p>
        </w:tc>
        <w:tc>
          <w:tcPr>
            <w:tcW w:type="dxa" w:w="4300"/>
            <w:tcMar>
              <w:top w:type="dxa" w:w="80"/>
              <w:left w:type="dxa" w:w="100"/>
              <w:bottom w:type="dxa" w:w="80"/>
              <w:right w:type="dxa" w:w="100"/>
            </w:tcMar>
          </w:tcPr>
          <w:p>
            <w:r>
              <w:t xml:space="preserve">Refunds equal about 1.4% of sales</w:t>
            </w:r>
          </w:p>
        </w:tc>
      </w:tr>
    </w:tbl>
    <w:p>
      <w:pPr>
        <w:spacing w:after="160"/>
      </w:pPr>
      <w:r>
        <w:t xml:space="preserve"/>
      </w:r>
    </w:p>
    <w:p>
      <w:pPr>
        <w:pStyle w:val="Heading2"/>
        <w:keepNext/>
        <w:spacing w:after="120" w:before="280"/>
      </w:pPr>
      <w:r>
        <w:t xml:space="preserve">7.3 Simple Report Output</w:t>
      </w:r>
    </w:p>
    <w:p>
      <w:pPr>
        <w:keepNext/>
        <w:spacing w:after="100" w:before="20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562350"/>
                    </a:xfrm>
                    <a:prstGeom prst="rect">
                      <a:avLst/>
                    </a:prstGeom>
                  </pic:spPr>
                </pic:pic>
              </a:graphicData>
            </a:graphic>
          </wp:inline>
        </w:drawing>
      </w:r>
    </w:p>
    <w:p>
      <w:pPr>
        <w:spacing w:after="240"/>
        <w:jc w:val="center"/>
      </w:pPr>
      <w:r>
        <w:rPr>
          <w:b/>
          <w:bCs/>
          <w:color w:val="555555"/>
          <w:sz w:val="20"/>
          <w:szCs w:val="20"/>
        </w:rPr>
        <w:t xml:space="preserve">Figure 15. First run of the report showing the KPI summary</w:t>
      </w:r>
    </w:p>
    <w:p>
      <w:pPr>
        <w:spacing w:after="160"/>
      </w:pPr>
      <w:r>
        <w:t xml:space="preserve">The first version of the report was run in the Report Builder preview with the title 'Retail Store Operations — Monthly Operational &amp; Audit Report' and the subtitle 'Reporting Period: All Available Data'. It shows the KPI table with the same values as the query, plus a run timestamp, confirming that the data source, dataset and layout work end to end.</w:t>
      </w:r>
    </w:p>
    <w:p>
      <w:pPr>
        <w:pStyle w:val="Heading2"/>
        <w:keepNext/>
        <w:spacing w:after="120" w:before="280"/>
      </w:pPr>
      <w:r>
        <w:t xml:space="preserve">7.4 Month and Year Parameters</w:t>
      </w:r>
    </w:p>
    <w:p>
      <w:pPr>
        <w:keepNext/>
        <w:spacing w:after="100" w:before="200"/>
        <w:jc w:val="center"/>
      </w:pPr>
      <w:r>
        <w:drawing>
          <wp:inline distT="0" distB="0" distL="0" distR="0">
            <wp:extent cx="50292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29200" cy="4419600"/>
                    </a:xfrm>
                    <a:prstGeom prst="rect">
                      <a:avLst/>
                    </a:prstGeom>
                  </pic:spPr>
                </pic:pic>
              </a:graphicData>
            </a:graphic>
          </wp:inline>
        </w:drawing>
      </w:r>
    </w:p>
    <w:p>
      <w:pPr>
        <w:spacing w:after="240"/>
        <w:jc w:val="center"/>
      </w:pPr>
      <w:r>
        <w:rPr>
          <w:b/>
          <w:bCs/>
          <w:color w:val="555555"/>
          <w:sz w:val="20"/>
          <w:szCs w:val="20"/>
        </w:rPr>
        <w:t xml:space="preserve">Figure 16. Adding a month filter and marking it as a parameter</w:t>
      </w:r>
    </w:p>
    <w:p>
      <w:pPr>
        <w:spacing w:after="160"/>
      </w:pPr>
      <w:r>
        <w:t xml:space="preserve">A filter on the date table's month level was added in the Query Designer with the Equal operator and the parameter option ticked, which creates a report parameter. The date table exposes month, quarter, year, fiscal_year, fiscal_quarter, season, is_holiday and event_tag, so further filters can be added in the same way.</w:t>
      </w:r>
    </w:p>
    <w:p>
      <w:pPr>
        <w:keepNext/>
        <w:spacing w:after="100" w:before="200"/>
        <w:jc w:val="center"/>
      </w:pPr>
      <w:r>
        <w:drawing>
          <wp:inline distT="0" distB="0" distL="0" distR="0">
            <wp:extent cx="50292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29200" cy="4495800"/>
                    </a:xfrm>
                    <a:prstGeom prst="rect">
                      <a:avLst/>
                    </a:prstGeom>
                  </pic:spPr>
                </pic:pic>
              </a:graphicData>
            </a:graphic>
          </wp:inline>
        </w:drawing>
      </w:r>
    </w:p>
    <w:p>
      <w:pPr>
        <w:spacing w:after="240"/>
        <w:jc w:val="center"/>
      </w:pPr>
      <w:r>
        <w:rPr>
          <w:b/>
          <w:bCs/>
          <w:color w:val="555555"/>
          <w:sz w:val="20"/>
          <w:szCs w:val="20"/>
        </w:rPr>
        <w:t xml:space="preserve">Figure 17. Query Designer with month and year filters and result preview</w:t>
      </w:r>
    </w:p>
    <w:p>
      <w:pPr>
        <w:spacing w:after="160"/>
      </w:pPr>
      <w:r>
        <w:t xml:space="preserve">A second filter on year was added. In the preview, the month filter is set to {3} and the result grid returns Total Sales, Transactions, Units, Gross Profit and Returns by region and store, showing the query is filtered as intended.</w:t>
      </w:r>
    </w:p>
    <w:p>
      <w:pPr>
        <w:pStyle w:val="Heading2"/>
        <w:keepNext/>
        <w:spacing w:after="120" w:before="280"/>
      </w:pPr>
      <w:r>
        <w:t xml:space="preserve">7.5 Filtered Report Output</w:t>
      </w:r>
    </w:p>
    <w:p>
      <w:pPr>
        <w:keepNext/>
        <w:spacing w:after="100" w:before="200"/>
        <w:jc w:val="center"/>
      </w:pPr>
      <w:r>
        <w:drawing>
          <wp:inline distT="0" distB="0" distL="0" distR="0">
            <wp:extent cx="54864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4067175"/>
                    </a:xfrm>
                    <a:prstGeom prst="rect">
                      <a:avLst/>
                    </a:prstGeom>
                  </pic:spPr>
                </pic:pic>
              </a:graphicData>
            </a:graphic>
          </wp:inline>
        </w:drawing>
      </w:r>
    </w:p>
    <w:p>
      <w:pPr>
        <w:spacing w:after="240"/>
        <w:jc w:val="center"/>
      </w:pPr>
      <w:r>
        <w:rPr>
          <w:b/>
          <w:bCs/>
          <w:color w:val="555555"/>
          <w:sz w:val="20"/>
          <w:szCs w:val="20"/>
        </w:rPr>
        <w:t xml:space="preserve">Figure 18. Rendered report with month and year parameters (month 3, year 2019)</w:t>
      </w:r>
    </w:p>
    <w:p>
      <w:pPr>
        <w:spacing w:after="160"/>
      </w:pPr>
      <w:r>
        <w:t xml:space="preserve">The rendered report exposes month and year drop-downs (March 2019 selected). Below the KPI summary, a 'For the Selected Month' section lists each region and store with Total Sales, Total Transactions, Total Units, Gross Profit and Total Returns. For March 2019, for example, Maycee Sydney recorded 302,146.13 in sales from 372 transactions, and Maycee Gold Coast 302,994.84 from 367 transactions.</w:t>
      </w:r>
    </w:p>
    <w:p>
      <w:pPr>
        <w:pStyle w:val="Heading2"/>
        <w:keepNext/>
        <w:spacing w:after="120" w:before="280"/>
      </w:pPr>
      <w:r>
        <w:t xml:space="preserve">7.6 Full Region and Store Report</w:t>
      </w:r>
    </w:p>
    <w:p>
      <w:pPr>
        <w:keepNext/>
        <w:spacing w:after="100" w:before="200"/>
        <w:jc w:val="center"/>
      </w:pPr>
      <w:r>
        <w:drawing>
          <wp:inline distT="0" distB="0" distL="0" distR="0">
            <wp:extent cx="40386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38600" cy="6096000"/>
                    </a:xfrm>
                    <a:prstGeom prst="rect">
                      <a:avLst/>
                    </a:prstGeom>
                  </pic:spPr>
                </pic:pic>
              </a:graphicData>
            </a:graphic>
          </wp:inline>
        </w:drawing>
      </w:r>
    </w:p>
    <w:p>
      <w:pPr>
        <w:spacing w:after="240"/>
        <w:jc w:val="center"/>
      </w:pPr>
      <w:r>
        <w:rPr>
          <w:b/>
          <w:bCs/>
          <w:color w:val="555555"/>
          <w:sz w:val="20"/>
          <w:szCs w:val="20"/>
        </w:rPr>
        <w:t xml:space="preserve">Figure 19. Paginated report for all available data by region and store</w:t>
      </w:r>
    </w:p>
    <w:p>
      <w:pPr>
        <w:spacing w:after="160"/>
      </w:pPr>
      <w:r>
        <w:t xml:space="preserve">The all-data version groups stores by region and reports transactions, sales, units, gross profit and returns for each store, with a run timestamp in the footer. Store values agree with the Power BI table in Section 6: Maycee Canberra shows 8,005,659.83 and Maycee Sydney 9,937,339.19 in both. This confirms the paginated and interactive layers read the same semantic model.</w:t>
      </w:r>
    </w:p>
    <w:p>
      <w:pPr>
        <w:pStyle w:val="Heading1"/>
        <w:keepNext/>
        <w:spacing w:after="160" w:before="360"/>
      </w:pPr>
      <w:r>
        <w:t xml:space="preserve">8. Validation, Limitations and Recommendations</w:t>
      </w:r>
    </w:p>
    <w:p>
      <w:pPr>
        <w:pStyle w:val="Heading2"/>
        <w:keepNext/>
        <w:spacing w:after="120" w:before="280"/>
      </w:pPr>
      <w:r>
        <w:t xml:space="preserve">8.1 Validation Across Layers</w:t>
      </w:r>
    </w:p>
    <w:p>
      <w:pPr>
        <w:pStyle w:val="ListParagraph"/>
        <w:numPr>
          <w:ilvl w:val="0"/>
          <w:numId w:val="1"/>
        </w:numPr>
        <w:spacing w:after="100"/>
      </w:pPr>
      <w:r>
        <w:t xml:space="preserve">Source tables had zero duplicate keys and zero invalid foreign keys before modelling.</w:t>
      </w:r>
    </w:p>
    <w:p>
      <w:pPr>
        <w:pStyle w:val="ListParagraph"/>
        <w:numPr>
          <w:ilvl w:val="0"/>
          <w:numId w:val="1"/>
        </w:numPr>
        <w:spacing w:after="100"/>
      </w:pPr>
      <w:r>
        <w:t xml:space="preserve">The 13 uploaded files appear as 13 Lakehouse tables, matching the source count.</w:t>
      </w:r>
    </w:p>
    <w:p>
      <w:pPr>
        <w:pStyle w:val="ListParagraph"/>
        <w:numPr>
          <w:ilvl w:val="0"/>
          <w:numId w:val="1"/>
        </w:numPr>
        <w:spacing w:after="100"/>
      </w:pPr>
      <w:r>
        <w:t xml:space="preserve">The Report Builder KPI query and the rendered report show identical totals (120,708,096.68 sales, 164,968 transactions).</w:t>
      </w:r>
    </w:p>
    <w:p>
      <w:pPr>
        <w:pStyle w:val="ListParagraph"/>
        <w:numPr>
          <w:ilvl w:val="0"/>
          <w:numId w:val="1"/>
        </w:numPr>
        <w:spacing w:after="100"/>
      </w:pPr>
      <w:r>
        <w:t xml:space="preserve">Store-level sales in Power BI and in the paginated report agree, and regional sums add to the overall total.</w:t>
      </w:r>
    </w:p>
    <w:p>
      <w:pPr>
        <w:pStyle w:val="ListParagraph"/>
        <w:numPr>
          <w:ilvl w:val="0"/>
          <w:numId w:val="1"/>
        </w:numPr>
        <w:spacing w:after="100"/>
      </w:pPr>
      <w:r>
        <w:t xml:space="preserve">The RegionalManager role, mapping table and assignment together demonstrate dynamic row-level security tied to the signed-in user.</w:t>
      </w:r>
    </w:p>
    <w:p>
      <w:pPr>
        <w:pStyle w:val="Heading2"/>
        <w:keepNext/>
        <w:spacing w:after="120" w:before="280"/>
      </w:pPr>
      <w:r>
        <w:t xml:space="preserve">8.2 Limitations</w:t>
      </w:r>
    </w:p>
    <w:p>
      <w:pPr>
        <w:pStyle w:val="ListParagraph"/>
        <w:numPr>
          <w:ilvl w:val="0"/>
          <w:numId w:val="1"/>
        </w:numPr>
        <w:spacing w:after="100"/>
      </w:pPr>
      <w:r>
        <w:t xml:space="preserve">Several tables contain many null cells (items 315,050; date_dim 1,086; customers 528). The affected columns are not identified in the evidence and should be documented so that reports handle them deliberately.</w:t>
      </w:r>
    </w:p>
    <w:p>
      <w:pPr>
        <w:pStyle w:val="ListParagraph"/>
        <w:numPr>
          <w:ilvl w:val="0"/>
          <w:numId w:val="1"/>
        </w:numPr>
        <w:spacing w:after="100"/>
      </w:pPr>
      <w:r>
        <w:t xml:space="preserve">The RegionSecurity table was recreated with a different region_id data type, and the screenshots show test accounts alongside manager placeholders. Production use needs real user accounts and a single documented key type.</w:t>
      </w:r>
    </w:p>
    <w:p>
      <w:pPr>
        <w:pStyle w:val="ListParagraph"/>
        <w:numPr>
          <w:ilvl w:val="0"/>
          <w:numId w:val="1"/>
        </w:numPr>
        <w:spacing w:after="100"/>
      </w:pPr>
      <w:r>
        <w:t xml:space="preserve">In the month-filtered report, the KPI summary at the top still shows the all-period totals, so it appears not to respond to the month and year parameters.</w:t>
      </w:r>
    </w:p>
    <w:p>
      <w:pPr>
        <w:pStyle w:val="ListParagraph"/>
        <w:numPr>
          <w:ilvl w:val="0"/>
          <w:numId w:val="1"/>
        </w:numPr>
        <w:spacing w:after="100"/>
      </w:pPr>
      <w:r>
        <w:t xml:space="preserve">Report Builder displays unformatted decimals (for example 1657952.8300001), which reflects floating-point results with no number format applied.</w:t>
      </w:r>
    </w:p>
    <w:p>
      <w:pPr>
        <w:pStyle w:val="ListParagraph"/>
        <w:numPr>
          <w:ilvl w:val="0"/>
          <w:numId w:val="1"/>
        </w:numPr>
        <w:spacing w:after="100"/>
      </w:pPr>
      <w:r>
        <w:t xml:space="preserve">The screenshots evidence one paginated report and one Power BI table; the interactive dashboard pages are not shown, so visual-level findings are limited to the store sales table.</w:t>
      </w:r>
    </w:p>
    <w:p>
      <w:pPr>
        <w:pStyle w:val="Heading2"/>
        <w:keepNext/>
        <w:spacing w:after="120" w:before="280"/>
      </w:pPr>
      <w:r>
        <w:t xml:space="preserve">8.3 Recommendations</w:t>
      </w:r>
    </w:p>
    <w:p>
      <w:pPr>
        <w:pStyle w:val="ListParagraph"/>
        <w:numPr>
          <w:ilvl w:val="0"/>
          <w:numId w:val="1"/>
        </w:numPr>
        <w:spacing w:after="100"/>
      </w:pPr>
      <w:r>
        <w:t xml:space="preserve">Document which columns are null and why, and add handling for optional fields such as promotions on line items.</w:t>
      </w:r>
    </w:p>
    <w:p>
      <w:pPr>
        <w:pStyle w:val="ListParagraph"/>
        <w:numPr>
          <w:ilvl w:val="0"/>
          <w:numId w:val="1"/>
        </w:numPr>
        <w:spacing w:after="100"/>
      </w:pPr>
      <w:r>
        <w:t xml:space="preserve">Bind the KPI summary in the paginated report to the month and year parameters, and apply currency and integer number formats.</w:t>
      </w:r>
    </w:p>
    <w:p>
      <w:pPr>
        <w:pStyle w:val="ListParagraph"/>
        <w:numPr>
          <w:ilvl w:val="0"/>
          <w:numId w:val="1"/>
        </w:numPr>
        <w:spacing w:after="100"/>
      </w:pPr>
      <w:r>
        <w:t xml:space="preserve">Add measures for gross margin percentage, return rate and average transaction value so they are defined once in the semantic model.</w:t>
      </w:r>
    </w:p>
    <w:p>
      <w:pPr>
        <w:pStyle w:val="ListParagraph"/>
        <w:numPr>
          <w:ilvl w:val="0"/>
          <w:numId w:val="1"/>
        </w:numPr>
        <w:spacing w:after="100"/>
      </w:pPr>
      <w:r>
        <w:t xml:space="preserve">Replace placeholder manager emails with Microsoft Entra security groups and test each role with View as.</w:t>
      </w:r>
    </w:p>
    <w:p>
      <w:pPr>
        <w:pStyle w:val="ListParagraph"/>
        <w:numPr>
          <w:ilvl w:val="0"/>
          <w:numId w:val="1"/>
        </w:numPr>
        <w:spacing w:after="100"/>
      </w:pPr>
      <w:r>
        <w:t xml:space="preserve">Add drill-through from region and store summaries to transaction, product and returns detail.</w:t>
      </w:r>
    </w:p>
    <w:p>
      <w:pPr>
        <w:pStyle w:val="ListParagraph"/>
        <w:numPr>
          <w:ilvl w:val="0"/>
          <w:numId w:val="1"/>
        </w:numPr>
        <w:spacing w:after="100"/>
      </w:pPr>
      <w:r>
        <w:t xml:space="preserve">Schedule the paginated report as a monthly subscription so the audit report is delivered automatically.</w:t>
      </w:r>
    </w:p>
    <w:p>
      <w:pPr>
        <w:pStyle w:val="Heading1"/>
        <w:keepNext/>
        <w:spacing w:after="160" w:before="360"/>
      </w:pPr>
      <w:r>
        <w:t xml:space="preserve">9. Conclusion</w:t>
      </w:r>
    </w:p>
    <w:p>
      <w:pPr>
        <w:spacing w:after="160"/>
      </w:pPr>
      <w:r>
        <w:t xml:space="preserve">The Retail Operations project demonstrates an end-to-end business-intelligence workflow: 13 source tables were inspected and validated, uploaded to a Fabric Lakehouse, modelled into a connected semantic model, secured with dynamic row-level security for regional managers, summarised in a Power BI table and delivered as a parameter-driven paginated report from Power BI Report Builder.</w:t>
      </w:r>
    </w:p>
    <w:p>
      <w:pPr>
        <w:spacing w:after="160"/>
      </w:pPr>
      <w:r>
        <w:t xml:space="preserve">The strongest findings are the clean relational integrity of the data (zero invalid keys and duplicates), the 57.9% gross margin on 120.7M of sales, the low 1.4% refund rate, and the consistent totals across Power BI and Report Builder. Together with the security model, these results provide a sound basis for governed, repeatable retail reporting and for further development of interactive dashboards.</w:t>
      </w:r>
    </w:p>
    <w:p>
      <w:pPr>
        <w:pStyle w:val="Heading1"/>
        <w:keepNext/>
        <w:spacing w:after="160" w:before="360"/>
      </w:pPr>
      <w:r>
        <w:t xml:space="preserve">Appendix A - Evidence 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cantSplit/>
          <w:tblHeader/>
        </w:trPr>
        <w:tc>
          <w:tcPr>
            <w:tcW w:type="dxa" w:w="4200"/>
            <w:shd w:fill="2F5496" w:color="auto" w:val="clear"/>
            <w:tcMar>
              <w:top w:type="dxa" w:w="80"/>
              <w:left w:type="dxa" w:w="100"/>
              <w:bottom w:type="dxa" w:w="80"/>
              <w:right w:type="dxa" w:w="100"/>
            </w:tcMar>
          </w:tcPr>
          <w:p>
            <w:r>
              <w:rPr>
                <w:b/>
                <w:bCs/>
                <w:color w:val="FFFFFF"/>
              </w:rPr>
              <w:t xml:space="preserve">Evidence file</w:t>
            </w:r>
          </w:p>
        </w:tc>
        <w:tc>
          <w:tcPr>
            <w:tcW w:type="dxa" w:w="5300"/>
            <w:shd w:fill="2F5496" w:color="auto" w:val="clear"/>
            <w:tcMar>
              <w:top w:type="dxa" w:w="80"/>
              <w:left w:type="dxa" w:w="100"/>
              <w:bottom w:type="dxa" w:w="80"/>
              <w:right w:type="dxa" w:w="100"/>
            </w:tcMar>
          </w:tcPr>
          <w:p>
            <w:r>
              <w:rPr>
                <w:b/>
                <w:bCs/>
                <w:color w:val="FFFFFF"/>
              </w:rPr>
              <w:t xml:space="preserve">Report section</w:t>
            </w:r>
          </w:p>
        </w:tc>
      </w:tr>
      <w:tr>
        <w:trPr>
          <w:cantSplit/>
        </w:trPr>
        <w:tc>
          <w:tcPr>
            <w:tcW w:type="dxa" w:w="4200"/>
            <w:tcMar>
              <w:top w:type="dxa" w:w="80"/>
              <w:left w:type="dxa" w:w="100"/>
              <w:bottom w:type="dxa" w:w="80"/>
              <w:right w:type="dxa" w:w="100"/>
            </w:tcMar>
          </w:tcPr>
          <w:p>
            <w:r>
              <w:t xml:space="preserve">Dataset_Inspection.png</w:t>
            </w:r>
          </w:p>
        </w:tc>
        <w:tc>
          <w:tcPr>
            <w:tcW w:type="dxa" w:w="5300"/>
            <w:tcMar>
              <w:top w:type="dxa" w:w="80"/>
              <w:left w:type="dxa" w:w="100"/>
              <w:bottom w:type="dxa" w:w="80"/>
              <w:right w:type="dxa" w:w="100"/>
            </w:tcMar>
          </w:tcPr>
          <w:p>
            <w:r>
              <w:t xml:space="preserve">Source data inspection (Section 1.1)</w:t>
            </w:r>
          </w:p>
        </w:tc>
      </w:tr>
      <w:tr>
        <w:trPr>
          <w:cantSplit/>
        </w:trPr>
        <w:tc>
          <w:tcPr>
            <w:tcW w:type="dxa" w:w="4200"/>
            <w:shd w:fill="F2F2F2" w:color="auto" w:val="clear"/>
            <w:tcMar>
              <w:top w:type="dxa" w:w="80"/>
              <w:left w:type="dxa" w:w="100"/>
              <w:bottom w:type="dxa" w:w="80"/>
              <w:right w:type="dxa" w:w="100"/>
            </w:tcMar>
          </w:tcPr>
          <w:p>
            <w:r>
              <w:t xml:space="preserve">Data_Validation.png</w:t>
            </w:r>
          </w:p>
        </w:tc>
        <w:tc>
          <w:tcPr>
            <w:tcW w:type="dxa" w:w="5300"/>
            <w:shd w:fill="F2F2F2" w:color="auto" w:val="clear"/>
            <w:tcMar>
              <w:top w:type="dxa" w:w="80"/>
              <w:left w:type="dxa" w:w="100"/>
              <w:bottom w:type="dxa" w:w="80"/>
              <w:right w:type="dxa" w:w="100"/>
            </w:tcMar>
          </w:tcPr>
          <w:p>
            <w:r>
              <w:t xml:space="preserve">Nulls, duplicates and referential integrity (Section 2)</w:t>
            </w:r>
          </w:p>
        </w:tc>
      </w:tr>
      <w:tr>
        <w:trPr>
          <w:cantSplit/>
        </w:trPr>
        <w:tc>
          <w:tcPr>
            <w:tcW w:type="dxa" w:w="4200"/>
            <w:tcMar>
              <w:top w:type="dxa" w:w="80"/>
              <w:left w:type="dxa" w:w="100"/>
              <w:bottom w:type="dxa" w:w="80"/>
              <w:right w:type="dxa" w:w="100"/>
            </w:tcMar>
          </w:tcPr>
          <w:p>
            <w:r>
              <w:t xml:space="preserve">Fabrics_Upload.png</w:t>
            </w:r>
          </w:p>
        </w:tc>
        <w:tc>
          <w:tcPr>
            <w:tcW w:type="dxa" w:w="5300"/>
            <w:tcMar>
              <w:top w:type="dxa" w:w="80"/>
              <w:left w:type="dxa" w:w="100"/>
              <w:bottom w:type="dxa" w:w="80"/>
              <w:right w:type="dxa" w:w="100"/>
            </w:tcMar>
          </w:tcPr>
          <w:p>
            <w:r>
              <w:t xml:space="preserve">Lakehouse file upload (Section 3.1)</w:t>
            </w:r>
          </w:p>
        </w:tc>
      </w:tr>
      <w:tr>
        <w:trPr>
          <w:cantSplit/>
        </w:trPr>
        <w:tc>
          <w:tcPr>
            <w:tcW w:type="dxa" w:w="4200"/>
            <w:shd w:fill="F2F2F2" w:color="auto" w:val="clear"/>
            <w:tcMar>
              <w:top w:type="dxa" w:w="80"/>
              <w:left w:type="dxa" w:w="100"/>
              <w:bottom w:type="dxa" w:w="80"/>
              <w:right w:type="dxa" w:w="100"/>
            </w:tcMar>
          </w:tcPr>
          <w:p>
            <w:r>
              <w:t xml:space="preserve">Loading_Tables.png</w:t>
            </w:r>
          </w:p>
        </w:tc>
        <w:tc>
          <w:tcPr>
            <w:tcW w:type="dxa" w:w="5300"/>
            <w:shd w:fill="F2F2F2" w:color="auto" w:val="clear"/>
            <w:tcMar>
              <w:top w:type="dxa" w:w="80"/>
              <w:left w:type="dxa" w:w="100"/>
              <w:bottom w:type="dxa" w:w="80"/>
              <w:right w:type="dxa" w:w="100"/>
            </w:tcMar>
          </w:tcPr>
          <w:p>
            <w:r>
              <w:t xml:space="preserve">Lakehouse tables (Section 3.2)</w:t>
            </w:r>
          </w:p>
        </w:tc>
      </w:tr>
      <w:tr>
        <w:trPr>
          <w:cantSplit/>
        </w:trPr>
        <w:tc>
          <w:tcPr>
            <w:tcW w:type="dxa" w:w="4200"/>
            <w:tcMar>
              <w:top w:type="dxa" w:w="80"/>
              <w:left w:type="dxa" w:w="100"/>
              <w:bottom w:type="dxa" w:w="80"/>
              <w:right w:type="dxa" w:w="100"/>
            </w:tcMar>
          </w:tcPr>
          <w:p>
            <w:r>
              <w:t xml:space="preserve">Relationships_Modelling.png</w:t>
            </w:r>
          </w:p>
        </w:tc>
        <w:tc>
          <w:tcPr>
            <w:tcW w:type="dxa" w:w="5300"/>
            <w:tcMar>
              <w:top w:type="dxa" w:w="80"/>
              <w:left w:type="dxa" w:w="100"/>
              <w:bottom w:type="dxa" w:w="80"/>
              <w:right w:type="dxa" w:w="100"/>
            </w:tcMar>
          </w:tcPr>
          <w:p>
            <w:r>
              <w:t xml:space="preserve">Relationship model (Section 4.1)</w:t>
            </w:r>
          </w:p>
        </w:tc>
      </w:tr>
      <w:tr>
        <w:trPr>
          <w:cantSplit/>
        </w:trPr>
        <w:tc>
          <w:tcPr>
            <w:tcW w:type="dxa" w:w="4200"/>
            <w:shd w:fill="F2F2F2" w:color="auto" w:val="clear"/>
            <w:tcMar>
              <w:top w:type="dxa" w:w="80"/>
              <w:left w:type="dxa" w:w="100"/>
              <w:bottom w:type="dxa" w:w="80"/>
              <w:right w:type="dxa" w:w="100"/>
            </w:tcMar>
          </w:tcPr>
          <w:p>
            <w:r>
              <w:t xml:space="preserve">Connecting_Power_BI_Desktop.png</w:t>
            </w:r>
          </w:p>
        </w:tc>
        <w:tc>
          <w:tcPr>
            <w:tcW w:type="dxa" w:w="5300"/>
            <w:shd w:fill="F2F2F2" w:color="auto" w:val="clear"/>
            <w:tcMar>
              <w:top w:type="dxa" w:w="80"/>
              <w:left w:type="dxa" w:w="100"/>
              <w:bottom w:type="dxa" w:w="80"/>
              <w:right w:type="dxa" w:w="100"/>
            </w:tcMar>
          </w:tcPr>
          <w:p>
            <w:r>
              <w:t xml:space="preserve">Power BI Desktop connection (Section 4.2)</w:t>
            </w:r>
          </w:p>
        </w:tc>
      </w:tr>
      <w:tr>
        <w:trPr>
          <w:cantSplit/>
        </w:trPr>
        <w:tc>
          <w:tcPr>
            <w:tcW w:type="dxa" w:w="4200"/>
            <w:tcMar>
              <w:top w:type="dxa" w:w="80"/>
              <w:left w:type="dxa" w:w="100"/>
              <w:bottom w:type="dxa" w:w="80"/>
              <w:right w:type="dxa" w:w="100"/>
            </w:tcMar>
          </w:tcPr>
          <w:p>
            <w:r>
              <w:t xml:space="preserve">NoteBook_Lakehouse_Connection.png</w:t>
            </w:r>
          </w:p>
        </w:tc>
        <w:tc>
          <w:tcPr>
            <w:tcW w:type="dxa" w:w="5300"/>
            <w:tcMar>
              <w:top w:type="dxa" w:w="80"/>
              <w:left w:type="dxa" w:w="100"/>
              <w:bottom w:type="dxa" w:w="80"/>
              <w:right w:type="dxa" w:w="100"/>
            </w:tcMar>
          </w:tcPr>
          <w:p>
            <w:r>
              <w:t xml:space="preserve">RegionSecurity table creation (Section 5.1)</w:t>
            </w:r>
          </w:p>
        </w:tc>
      </w:tr>
      <w:tr>
        <w:trPr>
          <w:cantSplit/>
        </w:trPr>
        <w:tc>
          <w:tcPr>
            <w:tcW w:type="dxa" w:w="4200"/>
            <w:shd w:fill="F2F2F2" w:color="auto" w:val="clear"/>
            <w:tcMar>
              <w:top w:type="dxa" w:w="80"/>
              <w:left w:type="dxa" w:w="100"/>
              <w:bottom w:type="dxa" w:w="80"/>
              <w:right w:type="dxa" w:w="100"/>
            </w:tcMar>
          </w:tcPr>
          <w:p>
            <w:r>
              <w:t xml:space="preserve">Adding_Security_Roles.png</w:t>
            </w:r>
          </w:p>
        </w:tc>
        <w:tc>
          <w:tcPr>
            <w:tcW w:type="dxa" w:w="5300"/>
            <w:shd w:fill="F2F2F2" w:color="auto" w:val="clear"/>
            <w:tcMar>
              <w:top w:type="dxa" w:w="80"/>
              <w:left w:type="dxa" w:w="100"/>
              <w:bottom w:type="dxa" w:w="80"/>
              <w:right w:type="dxa" w:w="100"/>
            </w:tcMar>
          </w:tcPr>
          <w:p>
            <w:r>
              <w:t xml:space="preserve">Security role and table filter (Section 5.2)</w:t>
            </w:r>
          </w:p>
        </w:tc>
      </w:tr>
      <w:tr>
        <w:trPr>
          <w:cantSplit/>
        </w:trPr>
        <w:tc>
          <w:tcPr>
            <w:tcW w:type="dxa" w:w="4200"/>
            <w:tcMar>
              <w:top w:type="dxa" w:w="80"/>
              <w:left w:type="dxa" w:w="100"/>
              <w:bottom w:type="dxa" w:w="80"/>
              <w:right w:type="dxa" w:w="100"/>
            </w:tcMar>
          </w:tcPr>
          <w:p>
            <w:r>
              <w:t xml:space="preserve">Manage_rOLE.png</w:t>
            </w:r>
          </w:p>
        </w:tc>
        <w:tc>
          <w:tcPr>
            <w:tcW w:type="dxa" w:w="5300"/>
            <w:tcMar>
              <w:top w:type="dxa" w:w="80"/>
              <w:left w:type="dxa" w:w="100"/>
              <w:bottom w:type="dxa" w:w="80"/>
              <w:right w:type="dxa" w:w="100"/>
            </w:tcMar>
          </w:tcPr>
          <w:p>
            <w:r>
              <w:t xml:space="preserve">Regions DAX filter (Section 5.2)</w:t>
            </w:r>
          </w:p>
        </w:tc>
      </w:tr>
      <w:tr>
        <w:trPr>
          <w:cantSplit/>
        </w:trPr>
        <w:tc>
          <w:tcPr>
            <w:tcW w:type="dxa" w:w="4200"/>
            <w:shd w:fill="F2F2F2" w:color="auto" w:val="clear"/>
            <w:tcMar>
              <w:top w:type="dxa" w:w="80"/>
              <w:left w:type="dxa" w:w="100"/>
              <w:bottom w:type="dxa" w:w="80"/>
              <w:right w:type="dxa" w:w="100"/>
            </w:tcMar>
          </w:tcPr>
          <w:p>
            <w:r>
              <w:t xml:space="preserve">Adding_Roles.png</w:t>
            </w:r>
          </w:p>
        </w:tc>
        <w:tc>
          <w:tcPr>
            <w:tcW w:type="dxa" w:w="5300"/>
            <w:shd w:fill="F2F2F2" w:color="auto" w:val="clear"/>
            <w:tcMar>
              <w:top w:type="dxa" w:w="80"/>
              <w:left w:type="dxa" w:w="100"/>
              <w:bottom w:type="dxa" w:w="80"/>
              <w:right w:type="dxa" w:w="100"/>
            </w:tcMar>
          </w:tcPr>
          <w:p>
            <w:r>
              <w:t xml:space="preserve">Role member assignment (Section 5.3)</w:t>
            </w:r>
          </w:p>
        </w:tc>
      </w:tr>
      <w:tr>
        <w:trPr>
          <w:cantSplit/>
        </w:trPr>
        <w:tc>
          <w:tcPr>
            <w:tcW w:type="dxa" w:w="4200"/>
            <w:tcMar>
              <w:top w:type="dxa" w:w="80"/>
              <w:left w:type="dxa" w:w="100"/>
              <w:bottom w:type="dxa" w:w="80"/>
              <w:right w:type="dxa" w:w="100"/>
            </w:tcMar>
          </w:tcPr>
          <w:p>
            <w:r>
              <w:t xml:space="preserve">Region_Sec_Mapping.png</w:t>
            </w:r>
          </w:p>
        </w:tc>
        <w:tc>
          <w:tcPr>
            <w:tcW w:type="dxa" w:w="5300"/>
            <w:tcMar>
              <w:top w:type="dxa" w:w="80"/>
              <w:left w:type="dxa" w:w="100"/>
              <w:bottom w:type="dxa" w:w="80"/>
              <w:right w:type="dxa" w:w="100"/>
            </w:tcMar>
          </w:tcPr>
          <w:p>
            <w:r>
              <w:t xml:space="preserve">Recreated mapping table (Section 5.4)</w:t>
            </w:r>
          </w:p>
        </w:tc>
      </w:tr>
      <w:tr>
        <w:trPr>
          <w:cantSplit/>
        </w:trPr>
        <w:tc>
          <w:tcPr>
            <w:tcW w:type="dxa" w:w="4200"/>
            <w:shd w:fill="F2F2F2" w:color="auto" w:val="clear"/>
            <w:tcMar>
              <w:top w:type="dxa" w:w="80"/>
              <w:left w:type="dxa" w:w="100"/>
              <w:bottom w:type="dxa" w:w="80"/>
              <w:right w:type="dxa" w:w="100"/>
            </w:tcMar>
          </w:tcPr>
          <w:p>
            <w:r>
              <w:t xml:space="preserve">Simple_Table.png</w:t>
            </w:r>
          </w:p>
        </w:tc>
        <w:tc>
          <w:tcPr>
            <w:tcW w:type="dxa" w:w="5300"/>
            <w:shd w:fill="F2F2F2" w:color="auto" w:val="clear"/>
            <w:tcMar>
              <w:top w:type="dxa" w:w="80"/>
              <w:left w:type="dxa" w:w="100"/>
              <w:bottom w:type="dxa" w:w="80"/>
              <w:right w:type="dxa" w:w="100"/>
            </w:tcMar>
          </w:tcPr>
          <w:p>
            <w:r>
              <w:t xml:space="preserve">Store sales summary (Section 6)</w:t>
            </w:r>
          </w:p>
        </w:tc>
      </w:tr>
      <w:tr>
        <w:trPr>
          <w:cantSplit/>
        </w:trPr>
        <w:tc>
          <w:tcPr>
            <w:tcW w:type="dxa" w:w="4200"/>
            <w:tcMar>
              <w:top w:type="dxa" w:w="80"/>
              <w:left w:type="dxa" w:w="100"/>
              <w:bottom w:type="dxa" w:w="80"/>
              <w:right w:type="dxa" w:w="100"/>
            </w:tcMar>
          </w:tcPr>
          <w:p>
            <w:r>
              <w:t xml:space="preserve">ReportBuilderDataConnection.png</w:t>
            </w:r>
          </w:p>
        </w:tc>
        <w:tc>
          <w:tcPr>
            <w:tcW w:type="dxa" w:w="5300"/>
            <w:tcMar>
              <w:top w:type="dxa" w:w="80"/>
              <w:left w:type="dxa" w:w="100"/>
              <w:bottom w:type="dxa" w:w="80"/>
              <w:right w:type="dxa" w:w="100"/>
            </w:tcMar>
          </w:tcPr>
          <w:p>
            <w:r>
              <w:t xml:space="preserve">Report Builder data source (Section 7.1)</w:t>
            </w:r>
          </w:p>
        </w:tc>
      </w:tr>
      <w:tr>
        <w:trPr>
          <w:cantSplit/>
        </w:trPr>
        <w:tc>
          <w:tcPr>
            <w:tcW w:type="dxa" w:w="4200"/>
            <w:shd w:fill="F2F2F2" w:color="auto" w:val="clear"/>
            <w:tcMar>
              <w:top w:type="dxa" w:w="80"/>
              <w:left w:type="dxa" w:w="100"/>
              <w:bottom w:type="dxa" w:w="80"/>
              <w:right w:type="dxa" w:w="100"/>
            </w:tcMar>
          </w:tcPr>
          <w:p>
            <w:r>
              <w:t xml:space="preserve">KPI_Query_Report_Builder.png</w:t>
            </w:r>
          </w:p>
        </w:tc>
        <w:tc>
          <w:tcPr>
            <w:tcW w:type="dxa" w:w="5300"/>
            <w:shd w:fill="F2F2F2" w:color="auto" w:val="clear"/>
            <w:tcMar>
              <w:top w:type="dxa" w:w="80"/>
              <w:left w:type="dxa" w:w="100"/>
              <w:bottom w:type="dxa" w:w="80"/>
              <w:right w:type="dxa" w:w="100"/>
            </w:tcMar>
          </w:tcPr>
          <w:p>
            <w:r>
              <w:t xml:space="preserve">KPI DAX query (Section 7.2)</w:t>
            </w:r>
          </w:p>
        </w:tc>
      </w:tr>
      <w:tr>
        <w:trPr>
          <w:cantSplit/>
        </w:trPr>
        <w:tc>
          <w:tcPr>
            <w:tcW w:type="dxa" w:w="4200"/>
            <w:tcMar>
              <w:top w:type="dxa" w:w="80"/>
              <w:left w:type="dxa" w:w="100"/>
              <w:bottom w:type="dxa" w:w="80"/>
              <w:right w:type="dxa" w:w="100"/>
            </w:tcMar>
          </w:tcPr>
          <w:p>
            <w:r>
              <w:t xml:space="preserve">Simple_Report_ReportBuilder.png</w:t>
            </w:r>
          </w:p>
        </w:tc>
        <w:tc>
          <w:tcPr>
            <w:tcW w:type="dxa" w:w="5300"/>
            <w:tcMar>
              <w:top w:type="dxa" w:w="80"/>
              <w:left w:type="dxa" w:w="100"/>
              <w:bottom w:type="dxa" w:w="80"/>
              <w:right w:type="dxa" w:w="100"/>
            </w:tcMar>
          </w:tcPr>
          <w:p>
            <w:r>
              <w:t xml:space="preserve">First report run (Section 7.3)</w:t>
            </w:r>
          </w:p>
        </w:tc>
      </w:tr>
      <w:tr>
        <w:trPr>
          <w:cantSplit/>
        </w:trPr>
        <w:tc>
          <w:tcPr>
            <w:tcW w:type="dxa" w:w="4200"/>
            <w:shd w:fill="F2F2F2" w:color="auto" w:val="clear"/>
            <w:tcMar>
              <w:top w:type="dxa" w:w="80"/>
              <w:left w:type="dxa" w:w="100"/>
              <w:bottom w:type="dxa" w:w="80"/>
              <w:right w:type="dxa" w:w="100"/>
            </w:tcMar>
          </w:tcPr>
          <w:p>
            <w:r>
              <w:t xml:space="preserve">Month_Parameter_Filter.png</w:t>
            </w:r>
          </w:p>
        </w:tc>
        <w:tc>
          <w:tcPr>
            <w:tcW w:type="dxa" w:w="5300"/>
            <w:shd w:fill="F2F2F2" w:color="auto" w:val="clear"/>
            <w:tcMar>
              <w:top w:type="dxa" w:w="80"/>
              <w:left w:type="dxa" w:w="100"/>
              <w:bottom w:type="dxa" w:w="80"/>
              <w:right w:type="dxa" w:w="100"/>
            </w:tcMar>
          </w:tcPr>
          <w:p>
            <w:r>
              <w:t xml:space="preserve">Month parameter (Section 7.4)</w:t>
            </w:r>
          </w:p>
        </w:tc>
      </w:tr>
      <w:tr>
        <w:trPr>
          <w:cantSplit/>
        </w:trPr>
        <w:tc>
          <w:tcPr>
            <w:tcW w:type="dxa" w:w="4200"/>
            <w:tcMar>
              <w:top w:type="dxa" w:w="80"/>
              <w:left w:type="dxa" w:w="100"/>
              <w:bottom w:type="dxa" w:w="80"/>
              <w:right w:type="dxa" w:w="100"/>
            </w:tcMar>
          </w:tcPr>
          <w:p>
            <w:r>
              <w:t xml:space="preserve">MonthAndYearFilter1.png</w:t>
            </w:r>
          </w:p>
        </w:tc>
        <w:tc>
          <w:tcPr>
            <w:tcW w:type="dxa" w:w="5300"/>
            <w:tcMar>
              <w:top w:type="dxa" w:w="80"/>
              <w:left w:type="dxa" w:w="100"/>
              <w:bottom w:type="dxa" w:w="80"/>
              <w:right w:type="dxa" w:w="100"/>
            </w:tcMar>
          </w:tcPr>
          <w:p>
            <w:r>
              <w:t xml:space="preserve">Month and year filters (Section 7.4)</w:t>
            </w:r>
          </w:p>
        </w:tc>
      </w:tr>
      <w:tr>
        <w:trPr>
          <w:cantSplit/>
        </w:trPr>
        <w:tc>
          <w:tcPr>
            <w:tcW w:type="dxa" w:w="4200"/>
            <w:shd w:fill="F2F2F2" w:color="auto" w:val="clear"/>
            <w:tcMar>
              <w:top w:type="dxa" w:w="80"/>
              <w:left w:type="dxa" w:w="100"/>
              <w:bottom w:type="dxa" w:w="80"/>
              <w:right w:type="dxa" w:w="100"/>
            </w:tcMar>
          </w:tcPr>
          <w:p>
            <w:r>
              <w:t xml:space="preserve">MonthAndYearFilter.png</w:t>
            </w:r>
          </w:p>
        </w:tc>
        <w:tc>
          <w:tcPr>
            <w:tcW w:type="dxa" w:w="5300"/>
            <w:shd w:fill="F2F2F2" w:color="auto" w:val="clear"/>
            <w:tcMar>
              <w:top w:type="dxa" w:w="80"/>
              <w:left w:type="dxa" w:w="100"/>
              <w:bottom w:type="dxa" w:w="80"/>
              <w:right w:type="dxa" w:w="100"/>
            </w:tcMar>
          </w:tcPr>
          <w:p>
            <w:r>
              <w:t xml:space="preserve">Filtered report output (Section 7.5)</w:t>
            </w:r>
          </w:p>
        </w:tc>
      </w:tr>
      <w:tr>
        <w:trPr>
          <w:cantSplit/>
        </w:trPr>
        <w:tc>
          <w:tcPr>
            <w:tcW w:type="dxa" w:w="4200"/>
            <w:tcMar>
              <w:top w:type="dxa" w:w="80"/>
              <w:left w:type="dxa" w:w="100"/>
              <w:bottom w:type="dxa" w:w="80"/>
              <w:right w:type="dxa" w:w="100"/>
            </w:tcMar>
          </w:tcPr>
          <w:p>
            <w:r>
              <w:t xml:space="preserve">Report_Builder_Report.png</w:t>
            </w:r>
          </w:p>
        </w:tc>
        <w:tc>
          <w:tcPr>
            <w:tcW w:type="dxa" w:w="5300"/>
            <w:tcMar>
              <w:top w:type="dxa" w:w="80"/>
              <w:left w:type="dxa" w:w="100"/>
              <w:bottom w:type="dxa" w:w="80"/>
              <w:right w:type="dxa" w:w="100"/>
            </w:tcMar>
          </w:tcPr>
          <w:p>
            <w:r>
              <w:t xml:space="preserve">Full region and store report (Section 7.6)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Retail Operations BI 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bf9fcfe8696d9a5b9f3f55a88a17a53660c890.png"/><Relationship Id="rId10" Type="http://schemas.openxmlformats.org/officeDocument/2006/relationships/image" Target="media/4c138c5869e94722ac7912a8ec6d0085b330e874.png"/><Relationship Id="rId11" Type="http://schemas.openxmlformats.org/officeDocument/2006/relationships/image" Target="media/96d584514f4bde7857ef0d5a4d70256440235138.png"/><Relationship Id="rId12" Type="http://schemas.openxmlformats.org/officeDocument/2006/relationships/image" Target="media/21f74528172379970f66cc7fb4e89b0b1b933c32.png"/><Relationship Id="rId13" Type="http://schemas.openxmlformats.org/officeDocument/2006/relationships/image" Target="media/093b829f8a8e901738bb95a0f3eb9c36a4e792d6.png"/><Relationship Id="rId14" Type="http://schemas.openxmlformats.org/officeDocument/2006/relationships/image" Target="media/97fffb028ed00990e9cf24998a827e432eea4085.png"/><Relationship Id="rId15" Type="http://schemas.openxmlformats.org/officeDocument/2006/relationships/image" Target="media/001e240c1c14a5f6b6c6ac514220ab5193b6345f.png"/><Relationship Id="rId16" Type="http://schemas.openxmlformats.org/officeDocument/2006/relationships/image" Target="media/062a039402f58f227ef8913cc716a869cb474c6b.png"/><Relationship Id="rId17" Type="http://schemas.openxmlformats.org/officeDocument/2006/relationships/image" Target="media/ba696f6a2382121f2f0d2667286954628f447345.png"/><Relationship Id="rId18" Type="http://schemas.openxmlformats.org/officeDocument/2006/relationships/image" Target="media/f8f9e8ba451602167c4c1dc2c5557f839f556c54.png"/><Relationship Id="rId19" Type="http://schemas.openxmlformats.org/officeDocument/2006/relationships/image" Target="media/fcf655875ad8ef10740040ba6fc04882df3207d6.png"/><Relationship Id="rId20" Type="http://schemas.openxmlformats.org/officeDocument/2006/relationships/image" Target="media/5859e7d185ea8bc926768182fe18e9af99df7751.png"/><Relationship Id="rId21" Type="http://schemas.openxmlformats.org/officeDocument/2006/relationships/image" Target="media/08866e06ddd01439a6acc9a39c6fdf4e3f6f32af.png"/><Relationship Id="rId22" Type="http://schemas.openxmlformats.org/officeDocument/2006/relationships/image" Target="media/2d2751c508657543878a1742941d465c35ba479b.png"/><Relationship Id="rId23" Type="http://schemas.openxmlformats.org/officeDocument/2006/relationships/image" Target="media/fd40389ebb5fb90cce445d7aa81e60c71a74f6f1.png"/><Relationship Id="rId24" Type="http://schemas.openxmlformats.org/officeDocument/2006/relationships/image" Target="media/3cc437a4a26648ba976260ac4b30d1a1513a9fc2.png"/><Relationship Id="rId25" Type="http://schemas.openxmlformats.org/officeDocument/2006/relationships/image" Target="media/0ab890893509579542a3a977c4bb444c36aa950f.png"/><Relationship Id="rId26" Type="http://schemas.openxmlformats.org/officeDocument/2006/relationships/image" Target="media/16c7b8796d15e7b11200ce080ca858f8d1f33b72.png"/><Relationship Id="rId27" Type="http://schemas.openxmlformats.org/officeDocument/2006/relationships/image" Target="media/1b0f2a360059511a93500d04f280e9eb39cde056.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2026-09-28T01:21:16.466Z</dcterms:created>
  <dcterms:modified xsi:type="dcterms:W3CDTF">2026-09-28T01:21:16.467Z</dcterms:modified>
</cp:coreProperties>
</file>

<file path=docProps/custom.xml><?xml version="1.0" encoding="utf-8"?>
<Properties xmlns="http://schemas.openxmlformats.org/officeDocument/2006/custom-properties" xmlns:vt="http://schemas.openxmlformats.org/officeDocument/2006/docPropsVTypes"/>
</file>