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7" w:type="dxa"/>
        <w:jc w:val="left"/>
        <w:tblInd w:w="-709" w:type="dxa"/>
        <w:tblLayout w:type="fixed"/>
        <w:tblCellMar>
          <w:top w:w="0" w:type="dxa"/>
          <w:left w:w="108" w:type="dxa"/>
          <w:bottom w:w="0" w:type="dxa"/>
          <w:right w:w="108" w:type="dxa"/>
        </w:tblCellMar>
      </w:tblPr>
      <w:tblGrid>
        <w:gridCol w:w="4111"/>
        <w:gridCol w:w="6096"/>
      </w:tblGrid>
      <w:tr>
        <w:trPr>
          <w:trHeight w:val="1548" w:hRule="atLeast"/>
        </w:trPr>
        <w:tc>
          <w:tcPr>
            <w:tcW w:w="4111" w:type="dxa"/>
            <w:tcBorders/>
          </w:tcPr>
          <w:p>
            <w:pPr>
              <w:pStyle w:val="Default"/>
              <w:ind w:firstLine="45"/>
              <w:jc w:val="center"/>
              <w:rPr>
                <w:b/>
                <w:b/>
                <w:color w:val="000000"/>
              </w:rPr>
            </w:pPr>
            <w:r>
              <w:rPr>
                <w:b/>
                <w:color w:val="000000"/>
              </w:rPr>
              <w:t xml:space="preserve">BỘ NÔNG NGHIỆP </w:t>
            </w:r>
          </w:p>
          <w:p>
            <w:pPr>
              <w:pStyle w:val="Default"/>
              <w:ind w:firstLine="45"/>
              <w:jc w:val="center"/>
              <w:rPr>
                <w:b/>
                <w:b/>
                <w:color w:val="000000"/>
              </w:rPr>
            </w:pPr>
            <w:r>
              <w:rPr>
                <w:b/>
                <w:color w:val="000000"/>
              </w:rPr>
              <w:t xml:space="preserve">VÀ PHÁT TRIỂN NÔNG THÔN </w:t>
            </w:r>
          </w:p>
          <w:p>
            <w:pPr>
              <w:pStyle w:val="Default"/>
              <w:tabs>
                <w:tab w:val="clear" w:pos="720"/>
                <w:tab w:val="left" w:pos="896" w:leader="none"/>
              </w:tabs>
              <w:ind w:firstLine="720"/>
              <w:jc w:val="center"/>
              <w:rPr>
                <w:b/>
                <w:b/>
                <w:bCs/>
                <w:color w:val="000000"/>
                <w:sz w:val="28"/>
                <w:szCs w:val="28"/>
              </w:rPr>
            </w:pPr>
            <w:r>
              <mc:AlternateContent>
                <mc:Choice Requires="wps">
                  <w:drawing>
                    <wp:anchor behindDoc="0" distT="0" distB="0" distL="0" distR="0" simplePos="0" locked="0" layoutInCell="1" allowOverlap="1" relativeHeight="3">
                      <wp:simplePos x="0" y="0"/>
                      <wp:positionH relativeFrom="column">
                        <wp:posOffset>506730</wp:posOffset>
                      </wp:positionH>
                      <wp:positionV relativeFrom="paragraph">
                        <wp:posOffset>60960</wp:posOffset>
                      </wp:positionV>
                      <wp:extent cx="1285875" cy="635"/>
                      <wp:effectExtent l="0" t="0" r="0" b="0"/>
                      <wp:wrapNone/>
                      <wp:docPr id="1" name="AutoShape 6"/>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6" stroked="t" o:allowincell="t" style="position:absolute;margin-left:39.9pt;margin-top:4.8pt;width:0pt;height:0pt" type="_x0000_t32">
                      <v:stroke color="black" weight="9360" joinstyle="miter" endcap="flat"/>
                      <v:fill o:detectmouseclick="t" on="false"/>
                      <w10:wrap type="none"/>
                    </v:shape>
                  </w:pict>
                </mc:Fallback>
              </mc:AlternateContent>
            </w:r>
            <w:r>
              <w:rPr>
                <w:b/>
                <w:bCs/>
                <w:color w:val="000000"/>
                <w:sz w:val="28"/>
                <w:szCs w:val="28"/>
              </w:rPr>
              <w:t xml:space="preserve"> </w:t>
            </w:r>
          </w:p>
          <w:p>
            <w:pPr>
              <w:pStyle w:val="Default"/>
              <w:tabs>
                <w:tab w:val="clear" w:pos="720"/>
                <w:tab w:val="left" w:pos="896" w:leader="none"/>
              </w:tabs>
              <w:ind w:firstLine="720"/>
              <w:jc w:val="center"/>
              <w:rPr>
                <w:color w:val="000000"/>
                <w:sz w:val="28"/>
                <w:szCs w:val="28"/>
              </w:rPr>
            </w:pPr>
            <w:r>
              <w:rPr>
                <w:color w:val="000000"/>
                <w:sz w:val="28"/>
                <w:szCs w:val="28"/>
              </w:rPr>
              <w:t xml:space="preserve"> </w:t>
            </w:r>
          </w:p>
        </w:tc>
        <w:tc>
          <w:tcPr>
            <w:tcW w:w="6096" w:type="dxa"/>
            <w:tcBorders/>
          </w:tcPr>
          <w:p>
            <w:pPr>
              <w:pStyle w:val="Default"/>
              <w:jc w:val="center"/>
              <w:rPr/>
            </w:pPr>
            <w:r>
              <w:rPr>
                <w:b/>
                <w:bCs/>
                <w:color w:val="000000"/>
                <w:sz w:val="28"/>
                <w:szCs w:val="28"/>
              </w:rPr>
              <w:t xml:space="preserve">      </w:t>
            </w:r>
            <w:r>
              <w:rPr>
                <w:b/>
                <w:bCs/>
                <w:color w:val="000000"/>
              </w:rPr>
              <w:t xml:space="preserve">CỘNG HÒA XÃ HỘI CHỦ NGHĨA VIỆT NAM </w:t>
            </w:r>
          </w:p>
          <w:p>
            <w:pPr>
              <w:pStyle w:val="Default"/>
              <w:ind w:firstLine="720"/>
              <w:jc w:val="center"/>
              <w:rPr>
                <w:color w:val="000000"/>
                <w:sz w:val="28"/>
                <w:szCs w:val="28"/>
              </w:rPr>
            </w:pPr>
            <w:r>
              <w:rPr>
                <w:b/>
                <w:bCs/>
                <w:iCs/>
                <w:color w:val="000000"/>
                <w:sz w:val="28"/>
                <w:szCs w:val="28"/>
              </w:rPr>
              <w:t>Độc lập - Tự do - Hạnh phúc</w:t>
            </w:r>
          </w:p>
          <w:p>
            <w:pPr>
              <w:pStyle w:val="Default"/>
              <w:ind w:firstLine="720"/>
              <w:jc w:val="center"/>
              <w:rPr>
                <w:b/>
                <w:b/>
                <w:bCs/>
                <w:i/>
                <w:i/>
                <w:iCs/>
                <w:color w:val="000000"/>
                <w:sz w:val="28"/>
                <w:szCs w:val="28"/>
                <w:lang w:val="en-US" w:eastAsia="en-US"/>
              </w:rPr>
            </w:pPr>
            <w:r>
              <w:rPr>
                <w:b/>
                <w:bCs/>
                <w:i/>
                <w:iCs/>
                <w:color w:val="000000"/>
                <w:sz w:val="28"/>
                <w:szCs w:val="28"/>
                <w:lang w:val="en-US" w:eastAsia="en-US"/>
              </w:rPr>
              <mc:AlternateContent>
                <mc:Choice Requires="wps">
                  <w:drawing>
                    <wp:anchor behindDoc="0" distT="0" distB="0" distL="114935" distR="114935" simplePos="0" locked="0" layoutInCell="1" allowOverlap="1" relativeHeight="2">
                      <wp:simplePos x="0" y="0"/>
                      <wp:positionH relativeFrom="column">
                        <wp:posOffset>1196340</wp:posOffset>
                      </wp:positionH>
                      <wp:positionV relativeFrom="paragraph">
                        <wp:posOffset>31750</wp:posOffset>
                      </wp:positionV>
                      <wp:extent cx="1973580" cy="0"/>
                      <wp:effectExtent l="0" t="5080" r="0" b="5080"/>
                      <wp:wrapNone/>
                      <wp:docPr id="2" name="Line 5"/>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94.2pt,2.5pt" to="249.55pt,2.5pt" ID="Line 5" stroked="t" o:allowincell="t" style="position:absolute">
                      <v:stroke color="black" weight="9360" joinstyle="miter" endcap="flat"/>
                      <v:fill o:detectmouseclick="t" on="false"/>
                      <w10:wrap type="none"/>
                    </v:line>
                  </w:pict>
                </mc:Fallback>
              </mc:AlternateContent>
            </w:r>
          </w:p>
          <w:p>
            <w:pPr>
              <w:pStyle w:val="Default"/>
              <w:ind w:firstLine="720"/>
              <w:jc w:val="center"/>
              <w:rPr>
                <w:i/>
                <w:i/>
                <w:color w:val="000000"/>
                <w:sz w:val="28"/>
                <w:szCs w:val="28"/>
              </w:rPr>
            </w:pPr>
            <w:r>
              <w:rPr>
                <w:i/>
                <w:iCs/>
                <w:color w:val="000000"/>
                <w:sz w:val="28"/>
                <w:szCs w:val="28"/>
              </w:rPr>
              <w:t xml:space="preserve">    </w:t>
            </w:r>
            <w:r>
              <w:rPr>
                <w:i/>
                <w:iCs/>
                <w:color w:val="000000"/>
                <w:sz w:val="28"/>
                <w:szCs w:val="28"/>
              </w:rPr>
              <w:t>Hà Nội, ngày 28 tháng 02 năm 2022</w:t>
            </w:r>
          </w:p>
        </w:tc>
      </w:tr>
    </w:tbl>
    <w:p>
      <w:pPr>
        <w:pStyle w:val="Default"/>
        <w:spacing w:lineRule="exact" w:line="360" w:before="80" w:after="80"/>
        <w:jc w:val="center"/>
        <w:rPr>
          <w:b/>
          <w:b/>
          <w:bCs/>
          <w:color w:val="000000"/>
          <w:sz w:val="28"/>
          <w:szCs w:val="28"/>
        </w:rPr>
      </w:pPr>
      <w:r>
        <w:rPr>
          <w:b/>
          <w:bCs/>
          <w:color w:val="000000"/>
          <w:sz w:val="28"/>
          <w:szCs w:val="28"/>
        </w:rPr>
        <w:t xml:space="preserve">BÁO CÁO </w:t>
      </w:r>
    </w:p>
    <w:p>
      <w:pPr>
        <w:pStyle w:val="Default"/>
        <w:jc w:val="center"/>
        <w:rPr>
          <w:b/>
          <w:b/>
          <w:bCs/>
          <w:color w:val="000000"/>
          <w:sz w:val="28"/>
          <w:szCs w:val="28"/>
        </w:rPr>
      </w:pPr>
      <w:r>
        <w:rPr>
          <w:b/>
          <w:bCs/>
          <w:color w:val="000000"/>
          <w:sz w:val="28"/>
          <w:szCs w:val="28"/>
        </w:rPr>
        <w:t>TÌNH HÌNH THỰC HIỆN KẾ HOẠCH THÁNG 02</w:t>
      </w:r>
    </w:p>
    <w:p>
      <w:pPr>
        <w:pStyle w:val="Default"/>
        <w:jc w:val="center"/>
        <w:rPr>
          <w:b/>
          <w:b/>
          <w:bCs/>
          <w:color w:val="000000"/>
          <w:sz w:val="28"/>
          <w:szCs w:val="28"/>
        </w:rPr>
      </w:pPr>
      <w:r>
        <w:rPr>
          <w:b/>
          <w:bCs/>
          <w:color w:val="000000"/>
          <w:sz w:val="28"/>
          <w:szCs w:val="28"/>
        </w:rPr>
        <w:t>VÀ NHIỆM VỤ CÔNG TÁC THÁNG 3</w:t>
      </w:r>
    </w:p>
    <w:p>
      <w:pPr>
        <w:pStyle w:val="Default"/>
        <w:spacing w:lineRule="exact" w:line="360" w:before="80" w:after="80"/>
        <w:ind w:firstLine="720"/>
        <w:jc w:val="both"/>
        <w:rPr>
          <w:b/>
          <w:b/>
          <w:bCs/>
          <w:color w:val="000000"/>
          <w:sz w:val="28"/>
          <w:szCs w:val="28"/>
          <w:lang w:val="en-US" w:eastAsia="en-US"/>
        </w:rPr>
      </w:pPr>
      <w:r>
        <w:rPr>
          <w:b/>
          <w:bCs/>
          <w:color w:val="000000"/>
          <w:sz w:val="28"/>
          <w:szCs w:val="28"/>
          <w:lang w:val="en-US" w:eastAsia="en-US"/>
        </w:rPr>
        <mc:AlternateContent>
          <mc:Choice Requires="wps">
            <w:drawing>
              <wp:anchor behindDoc="0" distT="0" distB="0" distL="0" distR="0" simplePos="0" locked="0" layoutInCell="0" allowOverlap="1" relativeHeight="4">
                <wp:simplePos x="0" y="0"/>
                <wp:positionH relativeFrom="column">
                  <wp:posOffset>1801495</wp:posOffset>
                </wp:positionH>
                <wp:positionV relativeFrom="paragraph">
                  <wp:posOffset>48895</wp:posOffset>
                </wp:positionV>
                <wp:extent cx="2243455" cy="635"/>
                <wp:effectExtent l="0" t="0" r="0" b="0"/>
                <wp:wrapNone/>
                <wp:docPr id="3" name="AutoShape 9"/>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ID="AutoShape 9" stroked="t" o:allowincell="f" style="position:absolute;margin-left:141.85pt;margin-top:3.85pt;width:0pt;height:0pt" type="_x0000_t32">
                <v:stroke color="black" weight="9360" joinstyle="miter" endcap="flat"/>
                <v:fill o:detectmouseclick="t" on="false"/>
                <w10:wrap type="none"/>
              </v:shape>
            </w:pict>
          </mc:Fallback>
        </mc:AlternateContent>
      </w:r>
    </w:p>
    <w:p>
      <w:pPr>
        <w:pStyle w:val="Default"/>
        <w:widowControl w:val="false"/>
        <w:spacing w:before="80" w:after="0"/>
        <w:ind w:firstLine="720"/>
        <w:jc w:val="both"/>
        <w:rPr>
          <w:b/>
          <w:b/>
          <w:bCs/>
          <w:color w:val="000000"/>
          <w:sz w:val="26"/>
          <w:szCs w:val="28"/>
        </w:rPr>
      </w:pPr>
      <w:r>
        <w:rPr>
          <w:b/>
          <w:bCs/>
          <w:color w:val="000000"/>
          <w:sz w:val="26"/>
          <w:szCs w:val="28"/>
        </w:rPr>
        <w:t xml:space="preserve">I. KẾT QUẢ SẢN XUẤT KINH DOANH THÁNG 02 </w:t>
      </w:r>
    </w:p>
    <w:p>
      <w:pPr>
        <w:pStyle w:val="Default"/>
        <w:widowControl w:val="false"/>
        <w:spacing w:before="80" w:after="0"/>
        <w:ind w:firstLine="720"/>
        <w:jc w:val="both"/>
        <w:rPr>
          <w:rFonts w:eastAsia="MS Mincho;Yu Gothic UI"/>
          <w:color w:val="000000"/>
          <w:spacing w:val="-2"/>
          <w:sz w:val="28"/>
          <w:szCs w:val="28"/>
          <w:lang w:val="vi-VN" w:eastAsia="ja-JP"/>
        </w:rPr>
      </w:pPr>
      <w:r>
        <w:rPr>
          <w:color w:val="000000"/>
          <w:spacing w:val="-2"/>
          <w:sz w:val="28"/>
          <w:szCs w:val="28"/>
        </w:rPr>
        <w:t>Tháng 2, sản xuất nông, lâm nghiệp và thủy sản tiếp tục đối mặt với nhiều khó khăn khi dịch Covid-19 bùng phát mạnh sau Tết, giá phân bón, nguyên liệu đầu vào vẫn ở mức cao; đặc biệt là xăng dầu tăng mạnh; thời tiết rét đậm, rét hại kéo dài tại khu vực phía Bắc,… Toàn ngành tập trung hướng dẫn các địa phương triển khai các biện pháp để đảm bảo tiến độ sản xuất, hạn chế tối đa thiệt hại. Đồng thời đẩy mạnh thực hiện các nhiệm vụ, giải pháp đã đề ra tại Quyết định số 106</w:t>
      </w:r>
      <w:r>
        <w:rPr>
          <w:bCs/>
          <w:color w:val="000000"/>
          <w:spacing w:val="-2"/>
          <w:sz w:val="28"/>
          <w:szCs w:val="28"/>
        </w:rPr>
        <w:t xml:space="preserve">/QĐ-BNN-KH ngày 12/01/2022 </w:t>
      </w:r>
      <w:r>
        <w:rPr>
          <w:color w:val="000000"/>
          <w:spacing w:val="-2"/>
          <w:sz w:val="28"/>
          <w:szCs w:val="28"/>
        </w:rPr>
        <w:t>về kế hoạch thực hiện Nghị quyết số 01/NQ-CP ngày 08/01/2022 của Chính phủ về nhiệm vụ, giải pháp chủ yếu thực hiện kế hoạch phát triển kinh tế - xã hội và dự toán ngân sách nhà nước năm 2022</w:t>
      </w:r>
      <w:r>
        <w:rPr>
          <w:bCs/>
          <w:color w:val="000000"/>
          <w:spacing w:val="-2"/>
          <w:sz w:val="28"/>
          <w:szCs w:val="28"/>
        </w:rPr>
        <w:t xml:space="preserve">. </w:t>
      </w:r>
      <w:r>
        <w:rPr>
          <w:rFonts w:eastAsia="MS Mincho;Yu Gothic UI"/>
          <w:color w:val="000000"/>
          <w:spacing w:val="-2"/>
          <w:sz w:val="28"/>
          <w:szCs w:val="28"/>
          <w:lang w:val="vi-VN" w:eastAsia="ja-JP"/>
        </w:rPr>
        <w:t xml:space="preserve">Một số kết quả cụ thể như sau: </w:t>
      </w:r>
    </w:p>
    <w:p>
      <w:pPr>
        <w:pStyle w:val="Normal"/>
        <w:widowControl w:val="false"/>
        <w:spacing w:before="80" w:after="0"/>
        <w:ind w:firstLine="720"/>
        <w:jc w:val="both"/>
        <w:rPr/>
      </w:pPr>
      <w:bookmarkStart w:id="0" w:name="_Hlk49342190"/>
      <w:r>
        <w:rPr>
          <w:b/>
          <w:sz w:val="28"/>
          <w:szCs w:val="28"/>
          <w:lang w:val="da-DK"/>
        </w:rPr>
        <w:t>1</w:t>
      </w:r>
      <w:bookmarkEnd w:id="0"/>
      <w:r>
        <w:rPr>
          <w:b/>
          <w:sz w:val="28"/>
          <w:szCs w:val="28"/>
          <w:lang w:val="da-DK"/>
        </w:rPr>
        <w:t>. Kết quả sản xuất, kinh doanh</w:t>
      </w:r>
    </w:p>
    <w:p>
      <w:pPr>
        <w:pStyle w:val="Normal"/>
        <w:widowControl w:val="false"/>
        <w:spacing w:before="80" w:after="0"/>
        <w:ind w:firstLine="720"/>
        <w:jc w:val="both"/>
        <w:rPr/>
      </w:pPr>
      <w:r>
        <w:rPr>
          <w:sz w:val="28"/>
          <w:szCs w:val="28"/>
          <w:lang w:val="da-DK"/>
        </w:rPr>
        <w:t>a) Trồng trọt</w:t>
      </w:r>
    </w:p>
    <w:p>
      <w:pPr>
        <w:pStyle w:val="Normal"/>
        <w:widowControl w:val="false"/>
        <w:spacing w:before="80" w:after="0"/>
        <w:ind w:firstLine="720"/>
        <w:jc w:val="both"/>
        <w:rPr/>
      </w:pPr>
      <w:r>
        <w:rPr>
          <w:sz w:val="28"/>
          <w:szCs w:val="28"/>
          <w:lang w:val="pt-BR"/>
        </w:rPr>
        <w:t xml:space="preserve">Trong tháng, Bộ chỉ đạo, hướng dẫn </w:t>
      </w:r>
      <w:r>
        <w:rPr>
          <w:sz w:val="28"/>
          <w:szCs w:val="28"/>
        </w:rPr>
        <w:t xml:space="preserve">các địa phương tập trung </w:t>
      </w:r>
      <w:r>
        <w:rPr>
          <w:sz w:val="28"/>
          <w:szCs w:val="28"/>
          <w:lang w:val="pt-BR"/>
        </w:rPr>
        <w:t xml:space="preserve">gieo cấy, chăm sóc lúa và rau màu vụ Đông xuân trên cả nước; thu hoạch các loại cây rau màu vụ Đông ở Miền Bắc để đẩy nhanh gieo trồng vụ Xuân. </w:t>
      </w:r>
      <w:r>
        <w:rPr>
          <w:bCs/>
          <w:sz w:val="28"/>
          <w:szCs w:val="28"/>
          <w:lang w:val="pt-BR"/>
        </w:rPr>
        <w:t>Tiến độ gieo trồng nhìn chung nhanh hơn cùng kỳ do thời tiết khá thuận lợi và theo lịch xuống giống của các địa phương.</w:t>
      </w:r>
      <w:r>
        <w:rPr>
          <w:sz w:val="28"/>
          <w:szCs w:val="28"/>
        </w:rPr>
        <w:t>.</w:t>
      </w:r>
    </w:p>
    <w:p>
      <w:pPr>
        <w:pStyle w:val="Normal"/>
        <w:widowControl w:val="false"/>
        <w:spacing w:before="80" w:after="0"/>
        <w:ind w:firstLine="720"/>
        <w:jc w:val="both"/>
        <w:rPr/>
      </w:pPr>
      <w:r>
        <w:rPr>
          <w:sz w:val="28"/>
          <w:szCs w:val="28"/>
          <w:lang w:val="nb-NO"/>
        </w:rPr>
        <w:t xml:space="preserve">* Lúa: </w:t>
      </w:r>
      <w:r>
        <w:rPr>
          <w:spacing w:val="-2"/>
          <w:sz w:val="28"/>
          <w:szCs w:val="28"/>
          <w:lang w:val="nb-NO"/>
        </w:rPr>
        <w:t xml:space="preserve">Tính đến trung tuần tháng 02, </w:t>
      </w:r>
      <w:bookmarkStart w:id="1" w:name="_Hlk52269939"/>
      <w:r>
        <w:rPr>
          <w:spacing w:val="-2"/>
          <w:sz w:val="28"/>
          <w:szCs w:val="28"/>
          <w:lang w:val="nb-NO"/>
        </w:rPr>
        <w:t xml:space="preserve">cả nước gieo cấy được </w:t>
      </w:r>
      <w:r>
        <w:rPr>
          <w:spacing w:val="-2"/>
          <w:sz w:val="28"/>
          <w:szCs w:val="28"/>
        </w:rPr>
        <w:t xml:space="preserve">2.638,7 nghìn </w:t>
      </w:r>
      <w:r>
        <w:rPr>
          <w:spacing w:val="-2"/>
          <w:sz w:val="28"/>
          <w:szCs w:val="28"/>
          <w:lang w:val="nb-NO"/>
        </w:rPr>
        <w:t>ha lúa Đông Xuân</w:t>
      </w:r>
      <w:bookmarkStart w:id="2" w:name="_Hlk52269958"/>
      <w:bookmarkEnd w:id="1"/>
      <w:r>
        <w:rPr>
          <w:spacing w:val="-2"/>
          <w:sz w:val="28"/>
          <w:szCs w:val="28"/>
          <w:lang w:val="nb-NO"/>
        </w:rPr>
        <w:t xml:space="preserve">, đã thu hoạch đạt khoảng </w:t>
      </w:r>
      <w:r>
        <w:rPr>
          <w:spacing w:val="-2"/>
          <w:sz w:val="28"/>
          <w:szCs w:val="28"/>
          <w:lang w:val="vi-VN"/>
        </w:rPr>
        <w:t>649,6</w:t>
      </w:r>
      <w:r>
        <w:rPr>
          <w:spacing w:val="-2"/>
          <w:sz w:val="28"/>
          <w:szCs w:val="28"/>
        </w:rPr>
        <w:t xml:space="preserve"> nghìn ha, tăng </w:t>
      </w:r>
      <w:r>
        <w:rPr>
          <w:spacing w:val="-2"/>
          <w:sz w:val="28"/>
          <w:szCs w:val="28"/>
          <w:lang w:val="vi-VN"/>
        </w:rPr>
        <w:t>7</w:t>
      </w:r>
      <w:r>
        <w:rPr>
          <w:spacing w:val="-2"/>
          <w:sz w:val="28"/>
          <w:szCs w:val="28"/>
        </w:rPr>
        <w:t>,</w:t>
      </w:r>
      <w:r>
        <w:rPr>
          <w:spacing w:val="-2"/>
          <w:sz w:val="28"/>
          <w:szCs w:val="28"/>
          <w:lang w:val="vi-VN"/>
        </w:rPr>
        <w:t>9</w:t>
      </w:r>
      <w:r>
        <w:rPr>
          <w:spacing w:val="-2"/>
          <w:sz w:val="28"/>
          <w:szCs w:val="28"/>
        </w:rPr>
        <w:t xml:space="preserve">% cùng kỳ </w:t>
      </w:r>
      <w:r>
        <w:rPr>
          <w:spacing w:val="-2"/>
          <w:sz w:val="28"/>
          <w:szCs w:val="28"/>
          <w:lang w:val="vi-VN"/>
        </w:rPr>
        <w:t>(thu hoạch 114,5 nghìn ha lúa Thu Đông</w:t>
      </w:r>
      <w:r>
        <w:rPr>
          <w:spacing w:val="-2"/>
          <w:sz w:val="28"/>
          <w:szCs w:val="28"/>
        </w:rPr>
        <w:t xml:space="preserve"> 2021</w:t>
      </w:r>
      <w:r>
        <w:rPr>
          <w:spacing w:val="-2"/>
          <w:sz w:val="28"/>
          <w:szCs w:val="28"/>
          <w:lang w:val="vi-VN"/>
        </w:rPr>
        <w:t xml:space="preserve">; </w:t>
      </w:r>
      <w:r>
        <w:rPr>
          <w:spacing w:val="-2"/>
          <w:sz w:val="28"/>
          <w:szCs w:val="28"/>
        </w:rPr>
        <w:t>210,5</w:t>
      </w:r>
      <w:r>
        <w:rPr>
          <w:spacing w:val="-2"/>
          <w:sz w:val="28"/>
          <w:szCs w:val="28"/>
          <w:lang w:val="vi-VN"/>
        </w:rPr>
        <w:t xml:space="preserve"> nghìn ha lúa Mùa</w:t>
      </w:r>
      <w:r>
        <w:rPr>
          <w:spacing w:val="-2"/>
          <w:sz w:val="28"/>
          <w:szCs w:val="28"/>
        </w:rPr>
        <w:t xml:space="preserve"> 2021</w:t>
      </w:r>
      <w:r>
        <w:rPr>
          <w:spacing w:val="-2"/>
          <w:sz w:val="28"/>
          <w:szCs w:val="28"/>
          <w:lang w:val="vi-VN"/>
        </w:rPr>
        <w:t xml:space="preserve">, </w:t>
      </w:r>
      <w:r>
        <w:rPr>
          <w:spacing w:val="-2"/>
          <w:sz w:val="28"/>
          <w:szCs w:val="28"/>
        </w:rPr>
        <w:t>324,7</w:t>
      </w:r>
      <w:r>
        <w:rPr>
          <w:spacing w:val="-2"/>
          <w:sz w:val="28"/>
          <w:szCs w:val="28"/>
          <w:lang w:val="vi-VN"/>
        </w:rPr>
        <w:t xml:space="preserve"> nghìn ha lúa Đông Xuân);</w:t>
      </w:r>
      <w:r>
        <w:rPr>
          <w:spacing w:val="-2"/>
          <w:sz w:val="28"/>
          <w:szCs w:val="28"/>
        </w:rPr>
        <w:t xml:space="preserve"> </w:t>
      </w:r>
      <w:r>
        <w:rPr>
          <w:bCs/>
          <w:spacing w:val="-2"/>
          <w:sz w:val="28"/>
          <w:szCs w:val="28"/>
          <w:lang w:val="vi-VN"/>
        </w:rPr>
        <w:t xml:space="preserve">sản lượng </w:t>
      </w:r>
      <w:r>
        <w:rPr>
          <w:bCs/>
          <w:spacing w:val="-2"/>
          <w:sz w:val="28"/>
          <w:szCs w:val="28"/>
          <w:lang w:val="nl-NL"/>
        </w:rPr>
        <w:t xml:space="preserve">thu hoạch đạt 3,89 </w:t>
      </w:r>
      <w:r>
        <w:rPr>
          <w:bCs/>
          <w:spacing w:val="-2"/>
          <w:sz w:val="28"/>
          <w:szCs w:val="28"/>
          <w:lang w:val="vi-VN"/>
        </w:rPr>
        <w:t>triệu tấn</w:t>
      </w:r>
      <w:r>
        <w:rPr>
          <w:spacing w:val="-2"/>
          <w:sz w:val="28"/>
          <w:szCs w:val="28"/>
          <w:lang w:val="vi-VN"/>
        </w:rPr>
        <w:t>.</w:t>
      </w:r>
      <w:r>
        <w:rPr>
          <w:spacing w:val="-2"/>
          <w:sz w:val="28"/>
          <w:szCs w:val="28"/>
          <w:lang w:val="nb-NO"/>
        </w:rPr>
        <w:t xml:space="preserve">  </w:t>
      </w:r>
      <w:bookmarkEnd w:id="2"/>
    </w:p>
    <w:p>
      <w:pPr>
        <w:pStyle w:val="Normal"/>
        <w:widowControl w:val="false"/>
        <w:spacing w:before="80" w:after="0"/>
        <w:ind w:firstLine="720"/>
        <w:jc w:val="both"/>
        <w:rPr>
          <w:iCs/>
          <w:sz w:val="28"/>
          <w:szCs w:val="28"/>
          <w:lang w:val="pt-BR"/>
        </w:rPr>
      </w:pPr>
      <w:r>
        <w:rPr>
          <w:i/>
          <w:sz w:val="28"/>
          <w:szCs w:val="28"/>
        </w:rPr>
        <w:t>Vụ Đông Xuân:</w:t>
      </w:r>
      <w:r>
        <w:rPr>
          <w:b/>
          <w:i/>
          <w:sz w:val="28"/>
          <w:szCs w:val="28"/>
        </w:rPr>
        <w:t xml:space="preserve"> </w:t>
      </w:r>
      <w:r>
        <w:rPr>
          <w:sz w:val="28"/>
          <w:szCs w:val="28"/>
          <w:lang w:val="nb-NO"/>
        </w:rPr>
        <w:t xml:space="preserve">Tính đến trung tuần tháng 02, cả nước đã gieo cấy được 2.638,7 nghìn ha, tăng 1,2% so với cùng kỳ năm trước (CKNT); </w:t>
      </w:r>
      <w:r>
        <w:rPr>
          <w:iCs/>
          <w:sz w:val="28"/>
          <w:szCs w:val="28"/>
          <w:lang w:val="pt-BR"/>
        </w:rPr>
        <w:t>trong đó các địa phương phía Bắc gieo cấy 740,5 nghìn ha, tăng</w:t>
      </w:r>
      <w:r>
        <w:rPr>
          <w:iCs/>
          <w:sz w:val="28"/>
          <w:szCs w:val="28"/>
          <w:lang w:val="vi-VN"/>
        </w:rPr>
        <w:t xml:space="preserve"> </w:t>
      </w:r>
      <w:r>
        <w:rPr>
          <w:iCs/>
          <w:sz w:val="28"/>
          <w:szCs w:val="28"/>
          <w:lang w:val="pt-BR"/>
        </w:rPr>
        <w:t>5,6%</w:t>
      </w:r>
      <w:r>
        <w:rPr>
          <w:rStyle w:val="FootnoteCharacters"/>
          <w:rStyle w:val="FootnoteAnchor"/>
          <w:iCs/>
          <w:sz w:val="28"/>
          <w:szCs w:val="28"/>
          <w:lang w:val="pt-BR"/>
        </w:rPr>
        <w:footnoteReference w:id="2"/>
      </w:r>
      <w:r>
        <w:rPr>
          <w:iCs/>
          <w:sz w:val="28"/>
          <w:szCs w:val="28"/>
          <w:lang w:val="pt-BR"/>
        </w:rPr>
        <w:t>; các địa phương phía Nam gieo cấy 1.898,1 nghìn ha, giảm</w:t>
      </w:r>
      <w:r>
        <w:rPr>
          <w:iCs/>
          <w:sz w:val="28"/>
          <w:szCs w:val="28"/>
          <w:lang w:val="vi-VN"/>
        </w:rPr>
        <w:t xml:space="preserve"> 0,4</w:t>
      </w:r>
      <w:r>
        <w:rPr>
          <w:iCs/>
          <w:sz w:val="28"/>
          <w:szCs w:val="28"/>
          <w:lang w:val="pt-BR"/>
        </w:rPr>
        <w:t>%; riêng các tỉnh Đồng bằng sông Cửu Long gieo cấy đạt 1.501,8 nghìn ha, giảm</w:t>
      </w:r>
      <w:r>
        <w:rPr>
          <w:iCs/>
          <w:sz w:val="28"/>
          <w:szCs w:val="28"/>
          <w:lang w:val="vi-VN"/>
        </w:rPr>
        <w:t xml:space="preserve"> </w:t>
      </w:r>
      <w:r>
        <w:rPr>
          <w:iCs/>
          <w:sz w:val="28"/>
          <w:szCs w:val="28"/>
        </w:rPr>
        <w:t>0,7</w:t>
      </w:r>
      <w:r>
        <w:rPr>
          <w:iCs/>
          <w:sz w:val="28"/>
          <w:szCs w:val="28"/>
          <w:lang w:val="pt-BR"/>
        </w:rPr>
        <w:t>%; đã thu hoạch được 324,7 nghìn ha, tăng 10,4% so với CKNT, sản lượng thu hoạch đạt trên 2,2 triệu tấn, tăng 13,1%.</w:t>
      </w:r>
    </w:p>
    <w:p>
      <w:pPr>
        <w:pStyle w:val="Normal"/>
        <w:widowControl w:val="false"/>
        <w:spacing w:before="80" w:after="0"/>
        <w:ind w:firstLine="720"/>
        <w:jc w:val="both"/>
        <w:rPr>
          <w:sz w:val="28"/>
          <w:szCs w:val="28"/>
        </w:rPr>
      </w:pPr>
      <w:r>
        <w:rPr>
          <w:sz w:val="28"/>
          <w:szCs w:val="28"/>
        </w:rPr>
        <w:t>* Rau màu: Các địa phương trên cả nước đã gieo trồng được 207,7 nghìn ha ngô, tăng 2,8% so với CKNT; 37,7 nghìn ha khoai lang, giảm 5,1%; 4,6 nghìn ha đậu tương, giảm 13,9%; 70,3 nghìn ha lạc, giảm 1,7%; 431,5 nghìn ha rau đậu, tăng 2,5% so CKNT. Hiện nay các địa phương đã cơ bản hoàn thành công tác thu hoạch các loại cây rau màu vụ Đông.</w:t>
      </w:r>
    </w:p>
    <w:p>
      <w:pPr>
        <w:pStyle w:val="Heading"/>
        <w:widowControl w:val="false"/>
        <w:tabs>
          <w:tab w:val="clear" w:pos="720"/>
          <w:tab w:val="left" w:pos="0" w:leader="none"/>
        </w:tabs>
        <w:spacing w:lineRule="auto" w:line="240" w:before="80" w:after="0"/>
        <w:jc w:val="both"/>
        <w:rPr/>
      </w:pPr>
      <w:r>
        <w:rPr>
          <w:rFonts w:cs="Times New Roman" w:ascii="Times New Roman" w:hAnsi="Times New Roman"/>
          <w:b w:val="false"/>
          <w:bCs/>
          <w:sz w:val="28"/>
          <w:szCs w:val="28"/>
          <w:u w:val="none"/>
          <w:lang w:val="nb-NO"/>
        </w:rPr>
        <w:t>b) Chăn nuôi</w:t>
      </w:r>
    </w:p>
    <w:p>
      <w:pPr>
        <w:pStyle w:val="Normal"/>
        <w:widowControl w:val="false"/>
        <w:spacing w:before="80" w:after="0"/>
        <w:ind w:firstLine="720"/>
        <w:jc w:val="both"/>
        <w:rPr>
          <w:sz w:val="28"/>
          <w:szCs w:val="28"/>
        </w:rPr>
      </w:pPr>
      <w:r>
        <w:rPr>
          <w:sz w:val="28"/>
          <w:szCs w:val="28"/>
          <w:lang w:val="nl-NL"/>
        </w:rPr>
        <w:t xml:space="preserve">Để chủ động tổ chức kiểm soát tốt các loại dịch bệnh động vật, phòng chống đói, rét cho gia súc - gia cầm, giảm thiệt hại kinh tế cho người chăn nuôi, bảo đảm an toàn dịch bệnh, an toàn thực phẩm, Bộ thường xuyên theo dõi, hướng dẫn và đôn đốc các địa phương thực hiện nghiêm </w:t>
      </w:r>
      <w:r>
        <w:rPr>
          <w:sz w:val="28"/>
          <w:szCs w:val="28"/>
        </w:rPr>
        <w:t xml:space="preserve">văn bản số 7055/BNN-CN ngày 27/12/2021 về việc tập trung triển khai quyết liệt, đồng bộ các giải pháp phòng chống dịch bệnh gia súc, gia cầm; </w:t>
      </w:r>
      <w:r>
        <w:rPr>
          <w:sz w:val="28"/>
          <w:szCs w:val="28"/>
          <w:lang w:val="sv-SE"/>
        </w:rPr>
        <w:t>Chỉ thị số 6477/CT-BNN-TY ngày 08/10/2021 về việc tập trung triển khai quyết liệt, đồng bộ các biện pháp phòng, chống dịch bệnh gia súc, gia cầm các tháng cuối năm 2021 và đầu năm 2022</w:t>
      </w:r>
      <w:r>
        <w:rPr>
          <w:sz w:val="28"/>
          <w:szCs w:val="28"/>
        </w:rPr>
        <w:t xml:space="preserve">. Rét đậm, rét hại tại khu vực Bắc Bộ và Nghệ An kéo dài làm thiệt hại khoảng </w:t>
      </w:r>
      <w:r>
        <w:rPr>
          <w:b/>
          <w:bCs/>
          <w:i/>
          <w:iCs/>
          <w:spacing w:val="-4"/>
          <w:sz w:val="28"/>
          <w:szCs w:val="28"/>
        </w:rPr>
        <w:t>7.875 con gia súc bị chết</w:t>
      </w:r>
      <w:r>
        <w:rPr>
          <w:spacing w:val="-4"/>
          <w:sz w:val="28"/>
          <w:szCs w:val="28"/>
        </w:rPr>
        <w:t xml:space="preserve"> (</w:t>
      </w:r>
      <w:r>
        <w:rPr>
          <w:spacing w:val="-2"/>
          <w:sz w:val="28"/>
          <w:szCs w:val="28"/>
          <w:lang w:val="it-IT"/>
        </w:rPr>
        <w:t>4.798 con trâu, 1.876 con bò; 1.201 gia súc khác</w:t>
      </w:r>
      <w:r>
        <w:rPr>
          <w:spacing w:val="-4"/>
          <w:sz w:val="28"/>
          <w:szCs w:val="28"/>
        </w:rPr>
        <w:t>)</w:t>
      </w:r>
      <w:r>
        <w:rPr>
          <w:rStyle w:val="FootnoteCharacters"/>
          <w:rStyle w:val="FootnoteAnchor"/>
          <w:spacing w:val="-4"/>
          <w:sz w:val="28"/>
          <w:szCs w:val="28"/>
        </w:rPr>
        <w:footnoteReference w:id="3"/>
      </w:r>
      <w:r>
        <w:rPr>
          <w:sz w:val="28"/>
          <w:szCs w:val="28"/>
        </w:rPr>
        <w:t xml:space="preserve">. Ngoài ra, dịch Cúm gia cầm và Tả lợn Châu Phi vẫn diễn biến phức tạp. </w:t>
      </w:r>
    </w:p>
    <w:p>
      <w:pPr>
        <w:pStyle w:val="Normal"/>
        <w:widowControl w:val="false"/>
        <w:spacing w:before="80" w:after="0"/>
        <w:ind w:firstLine="720"/>
        <w:jc w:val="both"/>
        <w:rPr>
          <w:b/>
          <w:b/>
          <w:bCs/>
          <w:i/>
          <w:i/>
          <w:sz w:val="28"/>
          <w:szCs w:val="28"/>
        </w:rPr>
      </w:pPr>
      <w:r>
        <w:rPr>
          <w:sz w:val="28"/>
          <w:szCs w:val="28"/>
          <w:lang w:val="sv-SE"/>
        </w:rPr>
        <w:t xml:space="preserve">Theo Tổng cục Thống kê, tính đến giữa tháng 02, đàn trâu giảm 2,4%, </w:t>
      </w:r>
      <w:r>
        <w:rPr>
          <w:sz w:val="28"/>
          <w:szCs w:val="28"/>
        </w:rPr>
        <w:t xml:space="preserve">đàn </w:t>
      </w:r>
      <w:r>
        <w:rPr>
          <w:sz w:val="28"/>
          <w:szCs w:val="28"/>
          <w:lang w:val="pt-BR"/>
        </w:rPr>
        <w:t xml:space="preserve">bò tăng khoảng 0,9%; </w:t>
      </w:r>
      <w:r>
        <w:rPr>
          <w:sz w:val="28"/>
          <w:szCs w:val="28"/>
        </w:rPr>
        <w:t>đ</w:t>
      </w:r>
      <w:r>
        <w:rPr>
          <w:sz w:val="28"/>
          <w:szCs w:val="28"/>
          <w:lang w:val="vi-VN"/>
        </w:rPr>
        <w:t xml:space="preserve">àn lợn </w:t>
      </w:r>
      <w:r>
        <w:rPr>
          <w:sz w:val="28"/>
          <w:szCs w:val="28"/>
        </w:rPr>
        <w:t xml:space="preserve">tăng </w:t>
      </w:r>
      <w:r>
        <w:rPr>
          <w:sz w:val="28"/>
          <w:szCs w:val="28"/>
          <w:lang w:val="vi-VN"/>
        </w:rPr>
        <w:t xml:space="preserve">khoảng </w:t>
      </w:r>
      <w:r>
        <w:rPr>
          <w:sz w:val="28"/>
          <w:szCs w:val="28"/>
        </w:rPr>
        <w:t>2,9</w:t>
      </w:r>
      <w:r>
        <w:rPr>
          <w:sz w:val="28"/>
          <w:szCs w:val="28"/>
          <w:lang w:val="vi-VN"/>
        </w:rPr>
        <w:t>%</w:t>
      </w:r>
      <w:r>
        <w:rPr>
          <w:sz w:val="28"/>
          <w:szCs w:val="28"/>
        </w:rPr>
        <w:t xml:space="preserve"> và đ</w:t>
      </w:r>
      <w:r>
        <w:rPr>
          <w:sz w:val="28"/>
          <w:szCs w:val="28"/>
          <w:lang w:val="vi-VN"/>
        </w:rPr>
        <w:t xml:space="preserve">àn gia cầm ước </w:t>
      </w:r>
      <w:r>
        <w:rPr>
          <w:sz w:val="28"/>
          <w:szCs w:val="28"/>
        </w:rPr>
        <w:t>tăng 2,0%.</w:t>
      </w:r>
    </w:p>
    <w:p>
      <w:pPr>
        <w:pStyle w:val="Normal"/>
        <w:widowControl w:val="false"/>
        <w:spacing w:before="80" w:after="0"/>
        <w:ind w:firstLine="720"/>
        <w:jc w:val="both"/>
        <w:rPr>
          <w:sz w:val="28"/>
          <w:szCs w:val="28"/>
        </w:rPr>
      </w:pPr>
      <w:r>
        <w:rPr>
          <w:spacing w:val="-2"/>
          <w:sz w:val="28"/>
          <w:szCs w:val="28"/>
        </w:rPr>
        <w:t xml:space="preserve">Tính đến ngày 23/02: Cả nước không có dịch bệnh Lở mồm long móng và Tai xanh; </w:t>
      </w:r>
      <w:r>
        <w:rPr>
          <w:sz w:val="28"/>
          <w:szCs w:val="28"/>
          <w:lang w:val="sv-SE"/>
        </w:rPr>
        <w:t>06 ổ dịch CGC A/H5N1 tại 04 tỉnh, thành phố Quảng Nam (01), Quảng Bình (01), Đồng Nai (01) và Hà Nội (02)</w:t>
      </w:r>
      <w:r>
        <w:rPr>
          <w:spacing w:val="-2"/>
          <w:sz w:val="28"/>
          <w:szCs w:val="28"/>
        </w:rPr>
        <w:t xml:space="preserve">; 37 ổ dịch Viêm da nổi cục tại </w:t>
      </w:r>
      <w:r>
        <w:rPr>
          <w:bCs/>
          <w:sz w:val="28"/>
          <w:szCs w:val="28"/>
          <w:lang w:val="sv-SE"/>
        </w:rPr>
        <w:t>tại 03 tỉnh Quảng Ngãi, Quảng Bình và Tiền Giang</w:t>
      </w:r>
      <w:r>
        <w:rPr>
          <w:spacing w:val="-2"/>
          <w:sz w:val="28"/>
          <w:szCs w:val="28"/>
        </w:rPr>
        <w:t xml:space="preserve">; </w:t>
      </w:r>
      <w:r>
        <w:rPr>
          <w:iCs/>
          <w:spacing w:val="-2"/>
          <w:sz w:val="28"/>
          <w:szCs w:val="28"/>
          <w:lang w:val="sv-SE"/>
        </w:rPr>
        <w:t xml:space="preserve">có 160 ổ dịch tả lợn Châu Phi tại </w:t>
      </w:r>
      <w:r>
        <w:rPr>
          <w:iCs/>
          <w:sz w:val="28"/>
          <w:szCs w:val="28"/>
          <w:lang w:val="sv-SE"/>
        </w:rPr>
        <w:t>29 tỉnh, thành phố</w:t>
      </w:r>
      <w:r>
        <w:rPr>
          <w:i/>
          <w:iCs/>
          <w:sz w:val="28"/>
          <w:szCs w:val="28"/>
          <w:lang w:val="sv-SE"/>
        </w:rPr>
        <w:t xml:space="preserve"> </w:t>
      </w:r>
      <w:r>
        <w:rPr>
          <w:iCs/>
          <w:spacing w:val="-2"/>
          <w:sz w:val="28"/>
          <w:szCs w:val="28"/>
          <w:lang w:val="sv-SE"/>
        </w:rPr>
        <w:t>chưa qua 21 ngày</w:t>
      </w:r>
      <w:r>
        <w:rPr>
          <w:rStyle w:val="FootnoteCharacters"/>
          <w:rStyle w:val="FootnoteAnchor"/>
          <w:iCs/>
          <w:spacing w:val="-2"/>
          <w:sz w:val="28"/>
          <w:szCs w:val="28"/>
          <w:lang w:val="sv-SE"/>
        </w:rPr>
        <w:footnoteReference w:id="4"/>
      </w:r>
      <w:r>
        <w:rPr>
          <w:iCs/>
          <w:sz w:val="28"/>
          <w:szCs w:val="28"/>
          <w:lang w:val="sv-SE"/>
        </w:rPr>
        <w:t>.</w:t>
      </w:r>
    </w:p>
    <w:p>
      <w:pPr>
        <w:pStyle w:val="Normal"/>
        <w:widowControl w:val="false"/>
        <w:spacing w:before="80" w:after="0"/>
        <w:ind w:firstLine="720"/>
        <w:jc w:val="both"/>
        <w:rPr/>
      </w:pPr>
      <w:r>
        <w:rPr>
          <w:sz w:val="28"/>
          <w:szCs w:val="28"/>
          <w:lang w:val="es-AR"/>
        </w:rPr>
        <w:t>c)</w:t>
      </w:r>
      <w:r>
        <w:rPr>
          <w:sz w:val="28"/>
          <w:szCs w:val="28"/>
          <w:lang w:val="vi-VN"/>
        </w:rPr>
        <w:t xml:space="preserve"> Lâm nghiệp</w:t>
      </w:r>
    </w:p>
    <w:p>
      <w:pPr>
        <w:pStyle w:val="NormalWeb"/>
        <w:widowControl w:val="false"/>
        <w:spacing w:before="80" w:after="0"/>
        <w:ind w:firstLine="720"/>
        <w:jc w:val="both"/>
        <w:rPr/>
      </w:pPr>
      <w:r>
        <w:rPr>
          <w:sz w:val="28"/>
          <w:szCs w:val="28"/>
        </w:rPr>
        <w:t>Sản xuất lâm nghiệp trong tháng tập trung chủ yếu thực hiện phong trào Tết trồng cây, trồng rừng vụ Xuân tại các địa phương; chăm sóc và bảo vệ rừng, chống cháy rừng trong mùa khô ở khu vực phía Nam. Ước tính trong tháng 02,</w:t>
      </w:r>
      <w:r>
        <w:rPr>
          <w:sz w:val="28"/>
          <w:szCs w:val="28"/>
          <w:lang w:val="vi-VN"/>
        </w:rPr>
        <w:t xml:space="preserve"> </w:t>
      </w:r>
      <w:r>
        <w:rPr>
          <w:sz w:val="28"/>
          <w:szCs w:val="28"/>
        </w:rPr>
        <w:t xml:space="preserve">cả nước trồng rừng </w:t>
      </w:r>
      <w:r>
        <w:rPr>
          <w:sz w:val="28"/>
          <w:szCs w:val="28"/>
          <w:shd w:fill="FFFFFF" w:val="clear"/>
        </w:rPr>
        <w:t>đạt 9,5 nghìn ha, tăng 6,7% so với CKNT, diện tích rừng trồng tăng cao chủ yếu ở Quảng Ngãi, Yên Bái, Phú Thọ; sản lượng gỗ khai thác ước đạt 982,8 nghìn m</w:t>
      </w:r>
      <w:r>
        <w:rPr>
          <w:sz w:val="28"/>
          <w:szCs w:val="28"/>
          <w:shd w:fill="FFFFFF" w:val="clear"/>
          <w:vertAlign w:val="superscript"/>
        </w:rPr>
        <w:t>3</w:t>
      </w:r>
      <w:r>
        <w:rPr>
          <w:sz w:val="28"/>
          <w:szCs w:val="28"/>
          <w:shd w:fill="FFFFFF" w:val="clear"/>
        </w:rPr>
        <w:t xml:space="preserve">, tăng 4,0%; </w:t>
      </w:r>
      <w:r>
        <w:rPr>
          <w:sz w:val="28"/>
          <w:szCs w:val="28"/>
        </w:rPr>
        <w:t xml:space="preserve">sản lượng củi khai thác trong tháng ước đạt 1,5 triệu ste, tương đương cùng kỳ năm trước. </w:t>
      </w:r>
    </w:p>
    <w:p>
      <w:pPr>
        <w:pStyle w:val="Normal"/>
        <w:widowControl w:val="false"/>
        <w:tabs>
          <w:tab w:val="clear" w:pos="720"/>
          <w:tab w:val="left" w:pos="360" w:leader="none"/>
          <w:tab w:val="left" w:pos="1134" w:leader="none"/>
        </w:tabs>
        <w:spacing w:before="80" w:after="0"/>
        <w:ind w:firstLine="720"/>
        <w:jc w:val="both"/>
        <w:rPr/>
      </w:pPr>
      <w:r>
        <w:rPr>
          <w:sz w:val="28"/>
          <w:szCs w:val="28"/>
        </w:rPr>
        <w:t>Lũy kế 2 tháng,</w:t>
      </w:r>
      <w:r>
        <w:rPr>
          <w:sz w:val="28"/>
          <w:szCs w:val="28"/>
          <w:lang w:val="vi-VN"/>
        </w:rPr>
        <w:t xml:space="preserve"> </w:t>
      </w:r>
      <w:r>
        <w:rPr>
          <w:sz w:val="28"/>
          <w:szCs w:val="28"/>
        </w:rPr>
        <w:t xml:space="preserve">cả nước trồng rừng </w:t>
      </w:r>
      <w:r>
        <w:rPr>
          <w:sz w:val="28"/>
          <w:szCs w:val="28"/>
          <w:shd w:fill="FFFFFF" w:val="clear"/>
        </w:rPr>
        <w:t>đạt 16,8 nghìn ha, tăng 6,3% so với CKNT; sản lượng gỗ khai thác ước đạt 1.923,3 nghìn m</w:t>
      </w:r>
      <w:r>
        <w:rPr>
          <w:sz w:val="28"/>
          <w:szCs w:val="28"/>
          <w:shd w:fill="FFFFFF" w:val="clear"/>
          <w:vertAlign w:val="superscript"/>
        </w:rPr>
        <w:t>3</w:t>
      </w:r>
      <w:r>
        <w:rPr>
          <w:sz w:val="28"/>
          <w:szCs w:val="28"/>
          <w:shd w:fill="FFFFFF" w:val="clear"/>
        </w:rPr>
        <w:t xml:space="preserve">, tăng 4,2%; </w:t>
      </w:r>
      <w:r>
        <w:rPr>
          <w:sz w:val="28"/>
          <w:szCs w:val="28"/>
        </w:rPr>
        <w:t xml:space="preserve">sản lượng củi khai thác ước đạt 3,0 triệu ste, tương đương CKNT. </w:t>
      </w:r>
    </w:p>
    <w:p>
      <w:pPr>
        <w:pStyle w:val="Normal"/>
        <w:widowControl w:val="false"/>
        <w:tabs>
          <w:tab w:val="clear" w:pos="720"/>
          <w:tab w:val="left" w:pos="360" w:leader="none"/>
          <w:tab w:val="left" w:pos="1134" w:leader="none"/>
        </w:tabs>
        <w:spacing w:before="80" w:after="0"/>
        <w:ind w:firstLine="720"/>
        <w:jc w:val="both"/>
        <w:rPr/>
      </w:pPr>
      <w:r>
        <w:rPr>
          <w:sz w:val="28"/>
          <w:szCs w:val="28"/>
        </w:rPr>
        <w:t>Ngoài ra, 2 tháng đầu năm, tình hình diện tích rừng</w:t>
      </w:r>
      <w:r>
        <w:rPr>
          <w:sz w:val="28"/>
          <w:szCs w:val="28"/>
          <w:shd w:fill="FFFFFF" w:val="clear"/>
        </w:rPr>
        <w:t xml:space="preserve"> bị </w:t>
      </w:r>
      <w:r>
        <w:rPr>
          <w:sz w:val="28"/>
          <w:szCs w:val="28"/>
        </w:rPr>
        <w:t xml:space="preserve">thiệt hại </w:t>
      </w:r>
      <w:r>
        <w:rPr>
          <w:sz w:val="28"/>
          <w:szCs w:val="28"/>
          <w:shd w:fill="FFFFFF" w:val="clear"/>
        </w:rPr>
        <w:t>giảm mạnh so với cùng kỳ năm trước. Cụ thể: Diện tích rừng bị thiệt hại gần 127 ha, giảm 52% so với cùng kỳ, trong đó diện tích rừng bị phá là 126 ha, giảm 25%; bị cháy khoảng 1ha, giảm tới 99%.</w:t>
      </w:r>
    </w:p>
    <w:p>
      <w:pPr>
        <w:pStyle w:val="Normal"/>
        <w:widowControl w:val="false"/>
        <w:tabs>
          <w:tab w:val="clear" w:pos="720"/>
          <w:tab w:val="left" w:pos="360" w:leader="none"/>
          <w:tab w:val="left" w:pos="1134" w:leader="none"/>
        </w:tabs>
        <w:spacing w:before="80" w:after="0"/>
        <w:ind w:firstLine="720"/>
        <w:jc w:val="both"/>
        <w:rPr>
          <w:sz w:val="28"/>
          <w:szCs w:val="28"/>
        </w:rPr>
      </w:pPr>
      <w:r>
        <w:rPr>
          <w:sz w:val="28"/>
          <w:szCs w:val="28"/>
        </w:rPr>
        <w:t>Cả nước đã thu được 710,19 tỷ đồng, đạt 23,7% kế hoạch thu năm 2022, bằng 96% so với cùng kỳ năm 2021.</w:t>
      </w:r>
    </w:p>
    <w:p>
      <w:pPr>
        <w:pStyle w:val="Normal"/>
        <w:widowControl w:val="false"/>
        <w:spacing w:before="80" w:after="0"/>
        <w:ind w:firstLine="720"/>
        <w:jc w:val="both"/>
        <w:rPr>
          <w:bCs/>
          <w:sz w:val="28"/>
          <w:szCs w:val="28"/>
        </w:rPr>
      </w:pPr>
      <w:r>
        <w:rPr>
          <w:sz w:val="28"/>
          <w:szCs w:val="28"/>
        </w:rPr>
        <w:t>d)</w:t>
      </w:r>
      <w:r>
        <w:rPr>
          <w:sz w:val="28"/>
          <w:szCs w:val="28"/>
          <w:lang w:val="es-AR"/>
        </w:rPr>
        <w:t xml:space="preserve"> Thủy sản</w:t>
      </w:r>
    </w:p>
    <w:p>
      <w:pPr>
        <w:pStyle w:val="Normal"/>
        <w:widowControl w:val="false"/>
        <w:spacing w:before="80" w:after="0"/>
        <w:ind w:right="1" w:firstLine="720"/>
        <w:jc w:val="both"/>
        <w:rPr>
          <w:sz w:val="28"/>
          <w:szCs w:val="28"/>
          <w:lang w:val="de-DE"/>
        </w:rPr>
      </w:pPr>
      <w:r>
        <w:rPr>
          <w:iCs/>
          <w:sz w:val="28"/>
          <w:szCs w:val="28"/>
          <w:lang w:val="de-DE"/>
        </w:rPr>
        <w:t>Nuôi trồng thủy sản phát triển ổn định, giá cá tra, tôm nuôi trồng đang ở mức cao do nhu cầu xuất khẩu tăng mạnh sau dịp Tết nguyên đán. Khai thác thủy sản biển sau Tết nguyên đán gặp khó khăn do giá xăng dầu tăng cao làm tăng chi phí cho chuyến khai thác; số chuyến khai thác giảm.</w:t>
      </w:r>
    </w:p>
    <w:p>
      <w:pPr>
        <w:pStyle w:val="Normal"/>
        <w:widowControl w:val="false"/>
        <w:spacing w:before="80" w:after="0"/>
        <w:ind w:firstLine="720"/>
        <w:jc w:val="both"/>
        <w:rPr>
          <w:sz w:val="28"/>
          <w:szCs w:val="28"/>
        </w:rPr>
      </w:pPr>
      <w:r>
        <w:rPr>
          <w:sz w:val="28"/>
          <w:szCs w:val="28"/>
        </w:rPr>
        <w:t>Tháng 02, sản lượng thủy sản ước đạt 578,5 nghìn tấn, tăng 2,3% so với cùng kỳ năm trước. Lũy kế 02 tháng đầu năm, tổng sản lượng ước đạt 1.168,4 nghìn tấn, tăng 1,9%.</w:t>
      </w:r>
    </w:p>
    <w:p>
      <w:pPr>
        <w:pStyle w:val="Normal"/>
        <w:widowControl w:val="false"/>
        <w:spacing w:before="80" w:after="0"/>
        <w:ind w:firstLine="720"/>
        <w:jc w:val="both"/>
        <w:rPr/>
      </w:pPr>
      <w:r>
        <w:rPr>
          <w:sz w:val="28"/>
          <w:szCs w:val="28"/>
        </w:rPr>
        <w:t>Trong tháng 02, sản lượng nuôi trồng ước tính đạt 297,9 nghìn tấn, tăng 4,5% so với CKNT; trong đó, cá đạt 215,1 nghìn tấn, tăng 4,4%; tôm đạt 43,8 nghìn tấn, tăng 4,0%. Lũy kế 02 tháng, sản lượng nuôi trồng đạt 619,2 nghìn tấn, tăng 3,4%; trong đó, sản lượng cá các loại đạt 448,1 nghìn tấn, tăng 3,1% (cá tra đạt 201,8 nghìn tấn (+2,0%); sản lượng tôm các loại đạt 91,1 nghìn tấn, tăng 3,3% (tôm sú đạt 29,9 nghìn tấn (-0,3%), tôm thẻ chân trắng đạt 52,9 nghìn tấn (+5,2%)).</w:t>
      </w:r>
    </w:p>
    <w:p>
      <w:pPr>
        <w:pStyle w:val="Normal"/>
        <w:widowControl w:val="false"/>
        <w:tabs>
          <w:tab w:val="clear" w:pos="720"/>
          <w:tab w:val="left" w:pos="3690" w:leader="none"/>
        </w:tabs>
        <w:spacing w:before="80" w:after="0"/>
        <w:ind w:firstLine="720"/>
        <w:jc w:val="both"/>
        <w:rPr>
          <w:sz w:val="28"/>
          <w:szCs w:val="28"/>
        </w:rPr>
      </w:pPr>
      <w:r>
        <w:rPr>
          <w:sz w:val="28"/>
          <w:szCs w:val="28"/>
        </w:rPr>
        <w:t xml:space="preserve">Sản lượng khai thác tháng 02 ước đạt 280,6 nghìn tấn, tăng 0,3% so với cùng kỳ; trong đó, sản lượng khai thác biển ước đạt 266,7 nghìn tấn, tăng 0,3%. Lũy kế 02 tháng, sản lượng khai thác đạt 549,2 nghìn tấn, tăng 0,3% (sản lượng khai thác biển đạt 512,8 nghìn tấn, tăng 0,3%). </w:t>
      </w:r>
    </w:p>
    <w:p>
      <w:pPr>
        <w:pStyle w:val="Normal"/>
        <w:widowControl w:val="false"/>
        <w:spacing w:before="80" w:after="0"/>
        <w:ind w:firstLine="720"/>
        <w:jc w:val="both"/>
        <w:rPr/>
      </w:pPr>
      <w:r>
        <w:rPr>
          <w:b/>
          <w:sz w:val="28"/>
          <w:szCs w:val="28"/>
        </w:rPr>
        <w:t>2.</w:t>
      </w:r>
      <w:r>
        <w:rPr>
          <w:b/>
          <w:sz w:val="28"/>
          <w:szCs w:val="28"/>
          <w:lang w:val="vi-VN"/>
        </w:rPr>
        <w:t xml:space="preserve"> </w:t>
      </w:r>
      <w:bookmarkStart w:id="3" w:name="_Hlk83829566"/>
      <w:r>
        <w:rPr>
          <w:b/>
          <w:sz w:val="28"/>
          <w:szCs w:val="28"/>
        </w:rPr>
        <w:t>Xuất, nhập khẩu nông sản</w:t>
      </w:r>
    </w:p>
    <w:p>
      <w:pPr>
        <w:pStyle w:val="Normal"/>
        <w:widowControl w:val="false"/>
        <w:spacing w:before="80" w:after="0"/>
        <w:ind w:firstLine="720"/>
        <w:jc w:val="both"/>
        <w:rPr/>
      </w:pPr>
      <w:bookmarkStart w:id="4" w:name="_Hlk73025918"/>
      <w:bookmarkEnd w:id="4"/>
      <w:r>
        <w:rPr>
          <w:bCs/>
          <w:sz w:val="28"/>
          <w:szCs w:val="28"/>
          <w:lang w:val="pl-PL"/>
        </w:rPr>
        <w:t xml:space="preserve">Tháng 2 năm 2022, </w:t>
      </w:r>
      <w:r>
        <w:rPr>
          <w:rStyle w:val="StrongEmphasis"/>
          <w:b w:val="false"/>
          <w:iCs/>
          <w:sz w:val="28"/>
          <w:szCs w:val="28"/>
          <w:lang w:val="de-DE"/>
        </w:rPr>
        <w:t>tổng kim ngạch xuất</w:t>
      </w:r>
      <w:r>
        <w:rPr>
          <w:rStyle w:val="StrongEmphasis"/>
          <w:b w:val="false"/>
          <w:iCs/>
          <w:sz w:val="28"/>
          <w:szCs w:val="28"/>
          <w:lang w:val="vi-VN"/>
        </w:rPr>
        <w:t>,</w:t>
      </w:r>
      <w:r>
        <w:rPr>
          <w:rStyle w:val="StrongEmphasis"/>
          <w:b w:val="false"/>
          <w:iCs/>
          <w:sz w:val="28"/>
          <w:szCs w:val="28"/>
          <w:lang w:val="de-DE"/>
        </w:rPr>
        <w:t xml:space="preserve"> nhập khẩu hàng NLTS ước đạt gần 14,2 tỷ USD, tăng 15,8% so với CKNT; trong đó, xuất khẩu ước đạt khoảng 8,0 tỷ USD, tăng 20,9% so với CKNT; nhập khẩu ước trên 6,2 tỷ USD, tăng 10,0%; </w:t>
      </w:r>
      <w:r>
        <w:rPr>
          <w:bCs/>
          <w:sz w:val="28"/>
          <w:szCs w:val="28"/>
        </w:rPr>
        <w:t xml:space="preserve">xuất siêu gần 1,8 tỷ USD, </w:t>
      </w:r>
      <w:bookmarkStart w:id="5" w:name="_Hlk67905851"/>
      <w:r>
        <w:rPr>
          <w:bCs/>
          <w:sz w:val="28"/>
          <w:szCs w:val="28"/>
        </w:rPr>
        <w:t>tăng 86,7% so với CKNT.</w:t>
      </w:r>
    </w:p>
    <w:p>
      <w:pPr>
        <w:pStyle w:val="Normal"/>
        <w:widowControl w:val="false"/>
        <w:spacing w:before="80" w:after="0"/>
        <w:ind w:left="-284" w:firstLine="1004"/>
        <w:jc w:val="both"/>
        <w:rPr>
          <w:bCs/>
          <w:sz w:val="28"/>
          <w:szCs w:val="28"/>
        </w:rPr>
      </w:pPr>
      <w:bookmarkStart w:id="6" w:name="_Hlk73025918"/>
      <w:bookmarkEnd w:id="6"/>
      <w:bookmarkEnd w:id="5"/>
      <w:r>
        <w:rPr>
          <w:bCs/>
          <w:sz w:val="28"/>
          <w:szCs w:val="28"/>
        </w:rPr>
        <w:t>a</w:t>
      </w:r>
      <w:r>
        <w:rPr>
          <w:bCs/>
          <w:sz w:val="28"/>
          <w:szCs w:val="28"/>
          <w:lang w:val="vi-VN"/>
        </w:rPr>
        <w:t>)</w:t>
      </w:r>
      <w:r>
        <w:rPr>
          <w:i/>
          <w:iCs/>
          <w:sz w:val="28"/>
          <w:szCs w:val="28"/>
        </w:rPr>
        <w:t xml:space="preserve"> </w:t>
      </w:r>
      <w:r>
        <w:rPr>
          <w:iCs/>
          <w:sz w:val="28"/>
          <w:szCs w:val="28"/>
        </w:rPr>
        <w:t>Về xuất khẩu</w:t>
      </w:r>
      <w:r>
        <w:rPr>
          <w:i/>
          <w:iCs/>
          <w:sz w:val="28"/>
          <w:szCs w:val="28"/>
        </w:rPr>
        <w:t xml:space="preserve"> </w:t>
      </w:r>
    </w:p>
    <w:p>
      <w:pPr>
        <w:pStyle w:val="Normal"/>
        <w:widowControl w:val="false"/>
        <w:spacing w:before="80" w:after="0"/>
        <w:ind w:firstLine="720"/>
        <w:jc w:val="both"/>
        <w:rPr>
          <w:sz w:val="28"/>
          <w:szCs w:val="28"/>
        </w:rPr>
      </w:pPr>
      <w:r>
        <w:rPr>
          <w:bCs/>
          <w:i/>
          <w:iCs/>
          <w:sz w:val="28"/>
          <w:szCs w:val="28"/>
        </w:rPr>
        <w:t xml:space="preserve">- Kim ngạch xuất khẩu: </w:t>
      </w:r>
      <w:bookmarkStart w:id="7" w:name="_Hlk33599548"/>
      <w:r>
        <w:rPr>
          <w:sz w:val="28"/>
          <w:szCs w:val="28"/>
        </w:rPr>
        <w:t xml:space="preserve">Tháng 02, kim ngạch XK ước đạt gần 3,3 tỷ USD, tăng 21,8% so với tháng 02/2021 nhưng giảm 31,4% so với tháng 01/2022. </w:t>
      </w:r>
      <w:bookmarkEnd w:id="7"/>
      <w:r>
        <w:rPr>
          <w:sz w:val="28"/>
          <w:szCs w:val="28"/>
        </w:rPr>
        <w:t>Lũy kế 2 tháng, kim ngạch XK ước đạt khoảng 8,0 tỷ USD, tăng 20,9% so với CKNT. Trong đó, XK nhóm nông sản chính ước đạt trên 3,2 tỷ USD, tăng 10,2%; sản phẩm chăn nuôi đạt 54,1 triệu USD, giảm 3,5%; thủy sản đạt gần 1,5 tỷ USD, tăng 47,2%; lâm sản chính đạt gần 2,9 tỷ USD, tăng 17,0%; nhóm đầu vào sản xuất khoảng 367 triệu USD, gấp 2,1 lần so với CKNT.</w:t>
      </w:r>
    </w:p>
    <w:p>
      <w:pPr>
        <w:pStyle w:val="Normal"/>
        <w:widowControl w:val="false"/>
        <w:spacing w:before="80" w:after="0"/>
        <w:ind w:firstLine="720"/>
        <w:jc w:val="both"/>
        <w:rPr>
          <w:bCs/>
          <w:iCs/>
          <w:sz w:val="28"/>
          <w:szCs w:val="28"/>
        </w:rPr>
      </w:pPr>
      <w:r>
        <w:rPr>
          <w:sz w:val="28"/>
          <w:szCs w:val="28"/>
        </w:rPr>
        <w:t>Một số</w:t>
      </w:r>
      <w:r>
        <w:rPr>
          <w:bCs/>
          <w:iCs/>
          <w:sz w:val="28"/>
          <w:szCs w:val="28"/>
        </w:rPr>
        <w:t xml:space="preserve"> sản phẩm/ nhóm sản phẩm có giá trị xuất khẩu tăng </w:t>
      </w:r>
      <w:bookmarkStart w:id="8" w:name="_Hlk73025972"/>
      <w:r>
        <w:rPr>
          <w:bCs/>
          <w:iCs/>
          <w:sz w:val="28"/>
          <w:szCs w:val="28"/>
        </w:rPr>
        <w:t xml:space="preserve">gồm: Cà phê (+35,6%), cao su (+6,6%), gạo (+22,3%), hồ tiêu (+43,8%), sữa và SP sữa (+11,1%), thịt, phụ phẩm thịt (+3,6%); cá tra (+83,3%), tôm (+34,3%); gỗ và sản phẩm gỗ (+15,5%), mây tre, cói (+49,2%)… </w:t>
      </w:r>
      <w:bookmarkEnd w:id="8"/>
    </w:p>
    <w:p>
      <w:pPr>
        <w:pStyle w:val="Normal"/>
        <w:widowControl w:val="false"/>
        <w:spacing w:before="80" w:after="0"/>
        <w:ind w:firstLine="720"/>
        <w:jc w:val="both"/>
        <w:rPr>
          <w:bCs/>
          <w:iCs/>
          <w:sz w:val="28"/>
          <w:szCs w:val="28"/>
        </w:rPr>
      </w:pPr>
      <w:r>
        <w:rPr>
          <w:bCs/>
          <w:iCs/>
          <w:sz w:val="28"/>
          <w:szCs w:val="28"/>
        </w:rPr>
        <w:t>Những mặt hàng giảm kim ngạch xuất khẩu, như: Chè (-10,8%), rau quả (-12,3%), hạt điều (-2,4%), sắn và SP sắn (-12,8%); sản phẩm gỗ (10,6%).</w:t>
      </w:r>
    </w:p>
    <w:p>
      <w:pPr>
        <w:pStyle w:val="Normal"/>
        <w:widowControl w:val="false"/>
        <w:autoSpaceDE w:val="false"/>
        <w:spacing w:before="80" w:after="0"/>
        <w:ind w:firstLine="720"/>
        <w:jc w:val="both"/>
        <w:rPr>
          <w:sz w:val="28"/>
          <w:szCs w:val="28"/>
        </w:rPr>
      </w:pPr>
      <w:r>
        <w:rPr>
          <w:bCs/>
          <w:iCs/>
          <w:sz w:val="28"/>
          <w:szCs w:val="28"/>
        </w:rPr>
        <w:t>- Thị trường xuất khẩu:</w:t>
      </w:r>
      <w:bookmarkStart w:id="9" w:name="_Hlk36195422"/>
      <w:r>
        <w:rPr>
          <w:sz w:val="28"/>
          <w:szCs w:val="28"/>
        </w:rPr>
        <w:t xml:space="preserve"> Giá trị XK nông, lâm, thủy sản 02 tháng đầu năm của Việt Nam tới các thị trường</w:t>
      </w:r>
      <w:r>
        <w:rPr>
          <w:rStyle w:val="FootnoteAnchor"/>
          <w:sz w:val="28"/>
          <w:szCs w:val="28"/>
          <w:vertAlign w:val="superscript"/>
        </w:rPr>
        <w:footnoteReference w:id="5"/>
      </w:r>
      <w:r>
        <w:rPr>
          <w:sz w:val="28"/>
          <w:szCs w:val="28"/>
        </w:rPr>
        <w:t xml:space="preserve"> thuộc khu vực châu Á (chiếm 39,5% thị phần), châu Mỹ (30,8%), châu Âu (13,9%), châu Đại Dương (1,9%), châu Phi (1,3%). Thị trường xuất khẩu </w:t>
      </w:r>
      <w:r>
        <w:rPr>
          <w:i/>
          <w:sz w:val="28"/>
          <w:szCs w:val="28"/>
        </w:rPr>
        <w:t>lớn nhất</w:t>
      </w:r>
      <w:r>
        <w:rPr>
          <w:sz w:val="28"/>
          <w:szCs w:val="28"/>
        </w:rPr>
        <w:t xml:space="preserve"> là Hoa Kỳ đạt trên 2,3 tỷ USD (chiếm 28,2% thị phần), trong đó kim ngạch XK nhóm hàng gỗ và sản phẩm gỗ chiếm tới 69,9% tỷ trọng kim ngạch XK NLTS của Việt Nam tại thị trường này; đứng </w:t>
      </w:r>
      <w:r>
        <w:rPr>
          <w:i/>
          <w:sz w:val="28"/>
          <w:szCs w:val="28"/>
        </w:rPr>
        <w:t>thứ 2</w:t>
      </w:r>
      <w:r>
        <w:rPr>
          <w:sz w:val="28"/>
          <w:szCs w:val="28"/>
        </w:rPr>
        <w:t xml:space="preserve"> là thị trường Trung Quốc gần 1,3 tỷ USD (chiếm 16,2% thị phần) với kim ngạch xuất khẩu nhóm cao su chiếm tới 33,3% tỷ trọng kim ngạch XK NLTS</w:t>
      </w:r>
      <w:r>
        <w:rPr>
          <w:rStyle w:val="FootnoteCharacters"/>
          <w:rStyle w:val="FootnoteAnchor"/>
          <w:sz w:val="28"/>
          <w:szCs w:val="28"/>
        </w:rPr>
        <w:footnoteReference w:id="6"/>
      </w:r>
      <w:r>
        <w:rPr>
          <w:sz w:val="28"/>
          <w:szCs w:val="28"/>
        </w:rPr>
        <w:t xml:space="preserve">; </w:t>
      </w:r>
      <w:r>
        <w:rPr>
          <w:i/>
          <w:sz w:val="28"/>
          <w:szCs w:val="28"/>
        </w:rPr>
        <w:t>thứ 3</w:t>
      </w:r>
      <w:r>
        <w:rPr>
          <w:sz w:val="28"/>
          <w:szCs w:val="28"/>
        </w:rPr>
        <w:t xml:space="preserve"> là thị trường Nhật Bản với giá trị XK đạt gần 586 triệu USD (chiếm 7,3%) và XK nhóm sản phẩm gỗ lớn nhất (chiếm 44,8% giá trị XK NLTS); </w:t>
      </w:r>
      <w:r>
        <w:rPr>
          <w:i/>
          <w:sz w:val="28"/>
          <w:szCs w:val="28"/>
        </w:rPr>
        <w:t>thứ 4</w:t>
      </w:r>
      <w:r>
        <w:rPr>
          <w:sz w:val="28"/>
          <w:szCs w:val="28"/>
        </w:rPr>
        <w:t xml:space="preserve"> là thị trường Hàn Quốc với giá trị XK đạt khoảng 376 triệu USD (chiếm 4,7%) và XK nhóm sản phẩm gỗ lớn nhất (chiếm 51,6% giá trị XK NLTS);</w:t>
      </w:r>
    </w:p>
    <w:p>
      <w:pPr>
        <w:pStyle w:val="Normal"/>
        <w:widowControl w:val="false"/>
        <w:spacing w:before="80" w:after="0"/>
        <w:ind w:firstLine="720"/>
        <w:jc w:val="both"/>
        <w:rPr>
          <w:sz w:val="28"/>
          <w:szCs w:val="28"/>
        </w:rPr>
      </w:pPr>
      <w:r>
        <w:rPr>
          <w:sz w:val="28"/>
          <w:szCs w:val="28"/>
        </w:rPr>
        <w:t xml:space="preserve"> </w:t>
      </w:r>
      <w:bookmarkEnd w:id="9"/>
      <w:r>
        <w:rPr>
          <w:sz w:val="28"/>
          <w:szCs w:val="28"/>
        </w:rPr>
        <w:t>b</w:t>
      </w:r>
      <w:r>
        <w:rPr>
          <w:sz w:val="28"/>
          <w:szCs w:val="28"/>
          <w:lang w:val="vi-VN"/>
        </w:rPr>
        <w:t>)</w:t>
      </w:r>
      <w:r>
        <w:rPr>
          <w:iCs/>
          <w:sz w:val="28"/>
          <w:szCs w:val="28"/>
        </w:rPr>
        <w:t xml:space="preserve"> Về nhập khẩu</w:t>
      </w:r>
    </w:p>
    <w:p>
      <w:pPr>
        <w:pStyle w:val="Normal"/>
        <w:widowControl w:val="false"/>
        <w:tabs>
          <w:tab w:val="clear" w:pos="720"/>
          <w:tab w:val="left" w:pos="3600" w:leader="none"/>
          <w:tab w:val="left" w:pos="4230" w:leader="none"/>
        </w:tabs>
        <w:autoSpaceDE w:val="false"/>
        <w:spacing w:before="80" w:after="0"/>
        <w:ind w:firstLine="720"/>
        <w:jc w:val="both"/>
        <w:rPr/>
      </w:pPr>
      <w:r>
        <w:rPr>
          <w:sz w:val="28"/>
          <w:szCs w:val="28"/>
        </w:rPr>
        <w:t xml:space="preserve">Kim ngạch NK các mặt hàng NLTS 02 tháng ước trên 6,2 tỷ USD, tăng 10,0% so với cùng kỳ năm 2021. Trong đó, giá trị NK các mặt hàng nông sản chính ước đạt gần 04 tỷ USD, tăng 17,6%; nhóm sản phẩm chăn nuôi đạt khoảng 470,2 triệu USD, giảm 14,3%; nhóm hàng thủy sản ước khoảng 332,8 triệu USD, tăng 11,1%; nhóm lâm sản chính khoảng 466,4 triệu USD, giảm 3,1%; nhóm đầu vào sản xuất khoảng 982,6 triệu USD, tăng 2,8%. </w:t>
      </w:r>
    </w:p>
    <w:p>
      <w:pPr>
        <w:pStyle w:val="Normal"/>
        <w:widowControl w:val="false"/>
        <w:tabs>
          <w:tab w:val="clear" w:pos="720"/>
          <w:tab w:val="left" w:pos="3600" w:leader="none"/>
          <w:tab w:val="left" w:pos="4230" w:leader="none"/>
        </w:tabs>
        <w:autoSpaceDE w:val="false"/>
        <w:spacing w:before="80" w:after="0"/>
        <w:ind w:firstLine="720"/>
        <w:jc w:val="both"/>
        <w:rPr>
          <w:sz w:val="28"/>
          <w:szCs w:val="28"/>
        </w:rPr>
      </w:pPr>
      <w:r>
        <w:rPr>
          <w:sz w:val="28"/>
          <w:szCs w:val="28"/>
        </w:rPr>
        <w:t xml:space="preserve">Đứng đầu là thị trường </w:t>
      </w:r>
      <w:r>
        <w:rPr>
          <w:spacing w:val="-4"/>
          <w:sz w:val="28"/>
          <w:szCs w:val="28"/>
        </w:rPr>
        <w:t>Trung Quốc xuất khẩu sang VN đạt 607 triệu USD, chiếm 9,7% thị phần (trong đó mặt hàng gỗ và SP gỗ chiếm 29,1% giá trị); tiếp theo là Achentina đạt khoảng 564 triệu USD, chiếm 9,0% (mặt hàng ngô chiếm 61,6%).</w:t>
      </w:r>
    </w:p>
    <w:p>
      <w:pPr>
        <w:pStyle w:val="Normal"/>
        <w:widowControl w:val="false"/>
        <w:spacing w:before="80" w:after="0"/>
        <w:ind w:firstLine="720"/>
        <w:jc w:val="both"/>
        <w:rPr/>
      </w:pPr>
      <w:r>
        <w:rPr>
          <w:b/>
          <w:sz w:val="28"/>
          <w:szCs w:val="28"/>
        </w:rPr>
        <w:t>3. Hợp tác quốc tế và p</w:t>
      </w:r>
      <w:r>
        <w:rPr>
          <w:b/>
          <w:iCs/>
          <w:sz w:val="28"/>
          <w:szCs w:val="28"/>
          <w:shd w:fill="FFFFFF" w:val="clear"/>
        </w:rPr>
        <w:t>hát triển thị trường</w:t>
      </w:r>
    </w:p>
    <w:p>
      <w:pPr>
        <w:pStyle w:val="Normal"/>
        <w:widowControl w:val="false"/>
        <w:spacing w:before="80" w:after="0"/>
        <w:ind w:firstLine="709"/>
        <w:jc w:val="both"/>
        <w:rPr>
          <w:rFonts w:eastAsia="Batang;바탕"/>
          <w:i/>
          <w:i/>
          <w:spacing w:val="-4"/>
          <w:sz w:val="28"/>
          <w:szCs w:val="28"/>
          <w:lang w:val="es-ES" w:eastAsia="ko-KR"/>
        </w:rPr>
      </w:pPr>
      <w:r>
        <w:rPr>
          <w:rFonts w:eastAsia="Batang;바탕"/>
          <w:spacing w:val="-4"/>
          <w:sz w:val="28"/>
          <w:szCs w:val="28"/>
          <w:lang w:val="es-ES" w:eastAsia="ko-KR"/>
        </w:rPr>
        <w:t xml:space="preserve">Nhằm thúc đẩy tiêu thụ nông sản một số địa phương </w:t>
      </w:r>
      <w:r>
        <w:rPr>
          <w:rFonts w:eastAsia="Batang;바탕"/>
          <w:i/>
          <w:spacing w:val="-4"/>
          <w:sz w:val="28"/>
          <w:szCs w:val="28"/>
          <w:lang w:val="es-ES" w:eastAsia="ko-KR"/>
        </w:rPr>
        <w:t>(Quảng Ngãi, Vĩnh Phúc, Hà Nam, Đắk Nông)</w:t>
      </w:r>
      <w:r>
        <w:rPr>
          <w:rFonts w:eastAsia="Batang;바탕"/>
          <w:spacing w:val="-4"/>
          <w:sz w:val="28"/>
          <w:szCs w:val="28"/>
          <w:lang w:val="es-ES" w:eastAsia="ko-KR"/>
        </w:rPr>
        <w:t xml:space="preserve"> Bộ đã có văn bản triển khai thực hiện các giải pháp tăng cường tiêu thụ nông sản tại thị trường trong nước. T</w:t>
      </w:r>
      <w:r>
        <w:rPr>
          <w:spacing w:val="-4"/>
          <w:sz w:val="28"/>
          <w:szCs w:val="28"/>
          <w:lang w:val="es-ES"/>
        </w:rPr>
        <w:t xml:space="preserve">hường xuyên trao đổi, cung cấp thông tin nhanh về giá cả, sản lượng và tình hình sản xuất, cung ứng các sản phẩm nông sản có thể gặp khó khăn trong tiêu thụ trước tình hình dịch bệnh. Tham mưu Chính phủ các giải pháp tháo gỡ ùn tắc hàng hóa nông sản tại cửa khẩu. </w:t>
      </w:r>
    </w:p>
    <w:p>
      <w:pPr>
        <w:pStyle w:val="Normal"/>
        <w:widowControl w:val="false"/>
        <w:spacing w:before="80" w:after="0"/>
        <w:ind w:firstLine="709"/>
        <w:jc w:val="both"/>
        <w:rPr>
          <w:bCs/>
          <w:sz w:val="28"/>
          <w:szCs w:val="28"/>
          <w:lang w:val="it-IT"/>
        </w:rPr>
      </w:pPr>
      <w:r>
        <w:rPr>
          <w:bCs/>
          <w:sz w:val="28"/>
          <w:szCs w:val="28"/>
          <w:lang w:val="it-IT"/>
        </w:rPr>
        <w:t>Tiếp tục thúc đẩy mở cửa thị trường nông sản với các nước Peru, Úc, Braxin, Trung Quốc, Hoa Kỳ, ASEAN, Nga, Séc… Tổ chức Tuần lễ Nông sản Việt Nam tại EXPO 2022 Dubai và làm việc với một số đối tác song phương với Ấn Độ, Argentina, UAE; Hội đàm với đoàn Phó Chủ tịch điều hành EU nhằm thúc đẩy hợp tác về lĩnh vực biến đổi khí hậu trong khuôn khổ triển khai kết quả Hội nghị COP26 và chống khai thác IUU, đề xuất các giải pháp và kiến nghị EU gỡ bỏ thẻ vàng cho ngành thuỷ sản Việt Nam. Tổ chức "Diễn đàn kết nối doanh nhân kiều bào, thúc đẩy thương mại và đầu tư ngành nông nghiệp".</w:t>
      </w:r>
    </w:p>
    <w:p>
      <w:pPr>
        <w:pStyle w:val="Normal"/>
        <w:widowControl w:val="false"/>
        <w:spacing w:before="80" w:after="0"/>
        <w:ind w:firstLine="709"/>
        <w:jc w:val="both"/>
        <w:rPr>
          <w:sz w:val="28"/>
          <w:szCs w:val="28"/>
        </w:rPr>
      </w:pPr>
      <w:r>
        <w:rPr>
          <w:bCs/>
          <w:sz w:val="28"/>
          <w:szCs w:val="28"/>
          <w:lang w:val="it-IT"/>
        </w:rPr>
        <w:t xml:space="preserve"> </w:t>
      </w:r>
      <w:r>
        <w:rPr>
          <w:bCs/>
          <w:sz w:val="28"/>
          <w:szCs w:val="28"/>
          <w:lang w:val="it-IT"/>
        </w:rPr>
        <w:t>Tiếp tục h</w:t>
      </w:r>
      <w:r>
        <w:rPr>
          <w:sz w:val="28"/>
          <w:szCs w:val="28"/>
          <w:lang w:val="vi-VN"/>
        </w:rPr>
        <w:t xml:space="preserve">ướng dẫn </w:t>
      </w:r>
      <w:r>
        <w:rPr>
          <w:sz w:val="28"/>
          <w:szCs w:val="28"/>
        </w:rPr>
        <w:t xml:space="preserve">các đơn vị, doanh nghiệp thực hiện quy định </w:t>
      </w:r>
      <w:r>
        <w:rPr>
          <w:sz w:val="28"/>
          <w:szCs w:val="28"/>
          <w:lang w:val="vi-VN"/>
        </w:rPr>
        <w:t>Lệnh 248, 249 của Tổng cục Hải quan Trung Quốc</w:t>
      </w:r>
      <w:r>
        <w:rPr>
          <w:rStyle w:val="FootnoteCharacters"/>
          <w:rStyle w:val="FootnoteAnchor"/>
          <w:sz w:val="28"/>
          <w:szCs w:val="28"/>
          <w:lang w:val="vi-VN"/>
        </w:rPr>
        <w:footnoteReference w:id="7"/>
      </w:r>
      <w:r>
        <w:rPr>
          <w:sz w:val="28"/>
          <w:szCs w:val="28"/>
        </w:rPr>
        <w:t>; Báo cáo Thủ tướng Chính phủ về kết quả thực hiện Lệnh 248, 249. Tính đến 25/2, đã tổng hợp được 119</w:t>
      </w:r>
      <w:r>
        <w:rPr>
          <w:b/>
          <w:sz w:val="28"/>
          <w:szCs w:val="28"/>
        </w:rPr>
        <w:t xml:space="preserve"> </w:t>
      </w:r>
      <w:r>
        <w:rPr>
          <w:sz w:val="28"/>
          <w:szCs w:val="28"/>
        </w:rPr>
        <w:t>thông báo dự thảo về quy định về SPS của các nước thành viên thuộc tổ chức Thương mại thế giới (WTO) có thể ảnh hưởng tới mặt hàng nông sản xuất khẩu của Việt Nam; gửi cho các cơ quan liên quan xem xét góp ý. Xử</w:t>
      </w:r>
      <w:r>
        <w:rPr>
          <w:sz w:val="28"/>
          <w:szCs w:val="28"/>
          <w:lang w:val="vi-VN"/>
        </w:rPr>
        <w:t xml:space="preserve"> lý </w:t>
      </w:r>
      <w:r>
        <w:rPr>
          <w:sz w:val="28"/>
          <w:szCs w:val="28"/>
        </w:rPr>
        <w:t>07</w:t>
      </w:r>
      <w:r>
        <w:rPr>
          <w:sz w:val="28"/>
          <w:szCs w:val="28"/>
          <w:lang w:val="vi-VN"/>
        </w:rPr>
        <w:t xml:space="preserve"> cảnh báo của EU về sản phẩm </w:t>
      </w:r>
      <w:r>
        <w:rPr>
          <w:sz w:val="28"/>
          <w:szCs w:val="28"/>
        </w:rPr>
        <w:t>nông sản, thực phẩm của Việt Nam</w:t>
      </w:r>
      <w:r>
        <w:rPr>
          <w:sz w:val="28"/>
          <w:szCs w:val="28"/>
          <w:lang w:val="vi-VN"/>
        </w:rPr>
        <w:t xml:space="preserve"> vi phạm quy định của EU.</w:t>
      </w:r>
    </w:p>
    <w:p>
      <w:pPr>
        <w:pStyle w:val="Normal"/>
        <w:widowControl w:val="false"/>
        <w:spacing w:before="80" w:after="0"/>
        <w:ind w:firstLine="720"/>
        <w:jc w:val="both"/>
        <w:rPr>
          <w:b/>
          <w:b/>
          <w:sz w:val="28"/>
          <w:szCs w:val="28"/>
          <w:lang w:val="vi-VN"/>
        </w:rPr>
      </w:pPr>
      <w:bookmarkEnd w:id="3"/>
      <w:r>
        <w:rPr>
          <w:b/>
          <w:sz w:val="28"/>
          <w:szCs w:val="28"/>
        </w:rPr>
        <w:t xml:space="preserve">4. </w:t>
      </w:r>
      <w:r>
        <w:rPr>
          <w:b/>
          <w:sz w:val="28"/>
          <w:szCs w:val="28"/>
          <w:lang w:val="vi-VN"/>
        </w:rPr>
        <w:t>Công tác thủy lợi, phòng chống thiên tai</w:t>
      </w:r>
    </w:p>
    <w:p>
      <w:pPr>
        <w:pStyle w:val="Normal"/>
        <w:widowControl w:val="false"/>
        <w:tabs>
          <w:tab w:val="clear" w:pos="720"/>
          <w:tab w:val="left" w:pos="993" w:leader="none"/>
        </w:tabs>
        <w:spacing w:before="80" w:after="0"/>
        <w:ind w:firstLine="709"/>
        <w:jc w:val="both"/>
        <w:rPr/>
      </w:pPr>
      <w:r>
        <w:rPr>
          <w:spacing w:val="2"/>
          <w:sz w:val="28"/>
          <w:szCs w:val="28"/>
        </w:rPr>
        <w:t xml:space="preserve">Trong tháng Bộ thường xuyên </w:t>
      </w:r>
      <w:r>
        <w:rPr>
          <w:spacing w:val="2"/>
          <w:sz w:val="28"/>
          <w:szCs w:val="28"/>
          <w:lang w:val="vi-VN"/>
        </w:rPr>
        <w:t>trực ban nghiêm túc, theo dõi chặt chẽ diễn biến thời tiết, tình hình thiên tai; chỉ đạo các địa phương chủ động các biện pháp chủ động ứng phó với mưa lớn, lũ quét, sạt lở đất, rét hại và gió mạnh trên biển</w:t>
      </w:r>
      <w:r>
        <w:rPr>
          <w:spacing w:val="2"/>
          <w:sz w:val="28"/>
          <w:szCs w:val="28"/>
        </w:rPr>
        <w:t xml:space="preserve">. Chỉ đạo các địa phương báo cáo tình hình thực hiện và đề xuất sửa đổi Nghị định </w:t>
      </w:r>
      <w:r>
        <w:rPr>
          <w:rStyle w:val="Fontstyle01"/>
          <w:rFonts w:cs="Times New Roman"/>
          <w:color w:val="000000"/>
          <w:spacing w:val="-2"/>
        </w:rPr>
        <w:t>số 02/2017/NĐ-CP ngày 09/01/2017</w:t>
      </w:r>
      <w:r>
        <w:rPr>
          <w:spacing w:val="2"/>
          <w:sz w:val="28"/>
          <w:szCs w:val="28"/>
          <w:lang w:val="vi-VN"/>
        </w:rPr>
        <w:t xml:space="preserve">; </w:t>
      </w:r>
      <w:r>
        <w:rPr>
          <w:spacing w:val="-2"/>
          <w:sz w:val="28"/>
          <w:szCs w:val="28"/>
          <w:lang w:val="nl-NL"/>
        </w:rPr>
        <w:t>ban hành Kế hoạch thực hiện chiến lược quốc gia Phòng chống thiên tai đến năm 2030, tầm nhìn đến năm 2050; tiếp tục hoàn thiện Chương trình tổng thể PCTT quốc gia.</w:t>
      </w:r>
    </w:p>
    <w:p>
      <w:pPr>
        <w:pStyle w:val="Normal"/>
        <w:widowControl w:val="false"/>
        <w:spacing w:before="80" w:after="0"/>
        <w:ind w:firstLine="709"/>
        <w:jc w:val="both"/>
        <w:rPr/>
      </w:pPr>
      <w:r>
        <w:rPr>
          <w:sz w:val="28"/>
          <w:szCs w:val="28"/>
          <w:lang w:val="de-DE"/>
        </w:rPr>
        <w:t xml:space="preserve">Lũy kế 02 tháng, </w:t>
      </w:r>
      <w:r>
        <w:rPr>
          <w:sz w:val="28"/>
          <w:szCs w:val="28"/>
        </w:rPr>
        <w:t xml:space="preserve">nước ta đã xảy ra 03 trận mưa lớn, 03 trận dông lốc, 01 vụ sạt lở bờ sông, 33 trận động đất nhẹ </w:t>
      </w:r>
      <w:r>
        <w:rPr>
          <w:spacing w:val="-4"/>
          <w:sz w:val="28"/>
          <w:szCs w:val="28"/>
          <w:lang w:val="de-DE"/>
        </w:rPr>
        <w:t xml:space="preserve">và 02 đợt rét đậm, rét hại, gió mạnh trên biển. Thiên tai làm </w:t>
      </w:r>
      <w:r>
        <w:rPr>
          <w:sz w:val="28"/>
          <w:szCs w:val="28"/>
          <w:lang w:val="de-DE"/>
        </w:rPr>
        <w:t>02 người mất tích; 03 nhà sập, 02 điểm trường thiệt hại; 2.759 ha lúa, hoa màu ngập úng, thiệt hại; 7.928 con gia súc, 350 con gia cầm bị chết.</w:t>
      </w:r>
    </w:p>
    <w:p>
      <w:pPr>
        <w:pStyle w:val="Normal"/>
        <w:widowControl w:val="false"/>
        <w:spacing w:before="80" w:after="0"/>
        <w:ind w:firstLine="709"/>
        <w:jc w:val="both"/>
        <w:rPr/>
      </w:pPr>
      <w:r>
        <w:rPr>
          <w:bCs/>
          <w:sz w:val="28"/>
          <w:szCs w:val="28"/>
          <w:lang w:val="it-IT"/>
        </w:rPr>
        <w:t>Bộ đã chủ trì, phối hợp với Tập đoàn điện lực Việt Nam và các địa phương hoàn thành 03 đợt lấy nước phục vụ gieo cấy lúa vụ Đông Xuân các tỉnh Trung du và Đồng bằng Bắc Bộ. Tổng lượng nước xả của các hồ thủy điện khoảng 4.249,4 triệu m</w:t>
      </w:r>
      <w:r>
        <w:rPr>
          <w:bCs/>
          <w:sz w:val="28"/>
          <w:szCs w:val="28"/>
          <w:vertAlign w:val="superscript"/>
          <w:lang w:val="it-IT"/>
        </w:rPr>
        <w:t>3</w:t>
      </w:r>
      <w:r>
        <w:rPr>
          <w:bCs/>
          <w:sz w:val="28"/>
          <w:szCs w:val="28"/>
          <w:lang w:val="it-IT"/>
        </w:rPr>
        <w:t xml:space="preserve"> đã cấp nước cho </w:t>
      </w:r>
      <w:r>
        <w:rPr>
          <w:b/>
          <w:bCs/>
          <w:sz w:val="28"/>
          <w:szCs w:val="28"/>
          <w:lang w:val="it-IT"/>
        </w:rPr>
        <w:t>503.320</w:t>
      </w:r>
      <w:r>
        <w:rPr>
          <w:bCs/>
          <w:sz w:val="28"/>
          <w:szCs w:val="28"/>
          <w:lang w:val="it-IT"/>
        </w:rPr>
        <w:t>/506.558 ha (đạt 99,4%), diện tích gieo cấy (một số tỉnh có tỷ lệ lấy nước đạt cao: Vĩnh Phúc 100,3%, 08 tỉnh đạt 100% diện tích, Hà Nội 99,3%, Hải Dương 94,9%).</w:t>
      </w:r>
    </w:p>
    <w:p>
      <w:pPr>
        <w:pStyle w:val="Normal"/>
        <w:widowControl w:val="false"/>
        <w:spacing w:before="80" w:after="0"/>
        <w:ind w:firstLine="720"/>
        <w:jc w:val="both"/>
        <w:rPr>
          <w:b/>
          <w:b/>
          <w:sz w:val="28"/>
          <w:szCs w:val="28"/>
          <w:lang w:val="vi-VN"/>
        </w:rPr>
      </w:pPr>
      <w:r>
        <w:rPr>
          <w:b/>
          <w:sz w:val="28"/>
          <w:szCs w:val="28"/>
        </w:rPr>
        <w:t>5</w:t>
      </w:r>
      <w:r>
        <w:rPr>
          <w:b/>
          <w:sz w:val="28"/>
          <w:szCs w:val="28"/>
          <w:lang w:val="vi-VN"/>
        </w:rPr>
        <w:t>. Đầu tư xây dựng cơ bản</w:t>
      </w:r>
    </w:p>
    <w:p>
      <w:pPr>
        <w:pStyle w:val="Normal"/>
        <w:widowControl w:val="false"/>
        <w:shd w:fill="FFFFFF" w:val="clear"/>
        <w:spacing w:before="80" w:after="0"/>
        <w:ind w:firstLine="720"/>
        <w:jc w:val="both"/>
        <w:textAlignment w:val="baseline"/>
        <w:rPr/>
      </w:pPr>
      <w:r>
        <w:rPr>
          <w:sz w:val="28"/>
          <w:szCs w:val="28"/>
          <w:shd w:fill="FFFFFF" w:val="clear"/>
        </w:rPr>
        <w:t xml:space="preserve">Tháng 02, Bộ tập trung đôn đốc tiến độ lập BC NCKT các dự án mở mới giai đoạn 2021-2025, rà soát từng lĩnh vực để chỉ đạo, tháo gỡ vướng của các chủ đầu tư (15/2-18/2/2021). Báo cáo Bộ KH&amp;ĐT về đánh giá kế hoạch đầu tư công 2021, kết quả kiểm điểm, xử lý các dự án giải ngân chậm; tổng hợp số vốn giải ngân KH đầu tư công năm 2021 và nhu cầu kéo dài sang năm 2022. </w:t>
      </w:r>
    </w:p>
    <w:p>
      <w:pPr>
        <w:pStyle w:val="Normal"/>
        <w:widowControl w:val="false"/>
        <w:shd w:fill="FFFFFF" w:val="clear"/>
        <w:spacing w:before="80" w:after="0"/>
        <w:ind w:firstLine="720"/>
        <w:jc w:val="both"/>
        <w:textAlignment w:val="baseline"/>
        <w:rPr>
          <w:sz w:val="28"/>
          <w:szCs w:val="28"/>
          <w:lang w:val="af-ZA"/>
        </w:rPr>
      </w:pPr>
      <w:r>
        <w:rPr>
          <w:sz w:val="28"/>
          <w:szCs w:val="28"/>
          <w:lang w:val="af-ZA"/>
        </w:rPr>
        <w:t xml:space="preserve">Tổng kế hoạch vốn năm 2022 được giao là 6.438 tỷ đồng, trong đó, </w:t>
      </w:r>
      <w:r>
        <w:rPr>
          <w:sz w:val="28"/>
          <w:szCs w:val="28"/>
        </w:rPr>
        <w:t xml:space="preserve">vốn trong nước là 4.538 tỷ đồng, vốn ODA 1.900 tỷ đồng. </w:t>
      </w:r>
      <w:r>
        <w:rPr>
          <w:sz w:val="28"/>
          <w:szCs w:val="28"/>
          <w:lang w:val="af-ZA"/>
        </w:rPr>
        <w:t xml:space="preserve">Bộ đã phân bổ 4.341 tỷ đồng cho từng dự án đủ điều kiện bố trí vốn và giao vốn trên hệ thống Tabmis; còn 2.097 tỷ đồng sẽ phân bổ khi các dự án còn lại hoàn thiện thủ tục đầu tư. </w:t>
      </w:r>
      <w:r>
        <w:rPr>
          <w:sz w:val="28"/>
          <w:szCs w:val="28"/>
        </w:rPr>
        <w:t>Lũy</w:t>
      </w:r>
      <w:r>
        <w:rPr>
          <w:sz w:val="28"/>
          <w:szCs w:val="28"/>
          <w:lang w:val="vi-VN"/>
        </w:rPr>
        <w:t xml:space="preserve"> kế </w:t>
      </w:r>
      <w:r>
        <w:rPr>
          <w:sz w:val="28"/>
          <w:szCs w:val="28"/>
        </w:rPr>
        <w:t>02 tháng</w:t>
      </w:r>
      <w:r>
        <w:rPr>
          <w:sz w:val="28"/>
          <w:szCs w:val="28"/>
          <w:lang w:val="af-ZA"/>
        </w:rPr>
        <w:t>, khối lượng giải ngân vốn 2022 ước đạt 102,3 tỷ đồng, đạt 2,36% vốn đã giao, cụ thể:</w:t>
        <w:tab/>
      </w:r>
    </w:p>
    <w:p>
      <w:pPr>
        <w:pStyle w:val="Normal"/>
        <w:widowControl w:val="false"/>
        <w:shd w:fill="FFFFFF" w:val="clear"/>
        <w:spacing w:before="80" w:after="0"/>
        <w:ind w:firstLine="720"/>
        <w:jc w:val="both"/>
        <w:textAlignment w:val="baseline"/>
        <w:rPr>
          <w:i/>
          <w:i/>
          <w:sz w:val="28"/>
          <w:szCs w:val="28"/>
          <w:lang w:val="af-ZA"/>
        </w:rPr>
      </w:pPr>
      <w:r>
        <w:rPr>
          <w:i/>
          <w:sz w:val="28"/>
          <w:szCs w:val="28"/>
          <w:lang w:val="af-ZA"/>
        </w:rPr>
        <w:tab/>
        <w:tab/>
        <w:tab/>
        <w:tab/>
        <w:tab/>
        <w:tab/>
        <w:tab/>
      </w:r>
    </w:p>
    <w:tbl>
      <w:tblPr>
        <w:tblW w:w="8216" w:type="dxa"/>
        <w:jc w:val="center"/>
        <w:tblInd w:w="0" w:type="dxa"/>
        <w:tblLayout w:type="fixed"/>
        <w:tblCellMar>
          <w:top w:w="0" w:type="dxa"/>
          <w:left w:w="108" w:type="dxa"/>
          <w:bottom w:w="0" w:type="dxa"/>
          <w:right w:w="108" w:type="dxa"/>
        </w:tblCellMar>
      </w:tblPr>
      <w:tblGrid>
        <w:gridCol w:w="2521"/>
        <w:gridCol w:w="1621"/>
        <w:gridCol w:w="1701"/>
        <w:gridCol w:w="1214"/>
        <w:gridCol w:w="1159"/>
      </w:tblGrid>
      <w:tr>
        <w:trPr>
          <w:trHeight w:val="585" w:hRule="atLeast"/>
        </w:trPr>
        <w:tc>
          <w:tcPr>
            <w:tcW w:w="252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sz w:val="28"/>
                <w:szCs w:val="28"/>
              </w:rPr>
            </w:pPr>
            <w:r>
              <w:rPr>
                <w:b/>
                <w:sz w:val="28"/>
                <w:szCs w:val="28"/>
              </w:rPr>
              <w:t>Nội dung</w:t>
            </w:r>
          </w:p>
        </w:tc>
        <w:tc>
          <w:tcPr>
            <w:tcW w:w="162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bCs/>
                <w:sz w:val="28"/>
                <w:szCs w:val="28"/>
              </w:rPr>
            </w:pPr>
            <w:r>
              <w:rPr>
                <w:b/>
                <w:bCs/>
                <w:sz w:val="28"/>
                <w:szCs w:val="28"/>
              </w:rPr>
              <w:t>KH 2022 được TTg giao</w:t>
            </w:r>
          </w:p>
          <w:p>
            <w:pPr>
              <w:pStyle w:val="Normal"/>
              <w:widowControl w:val="false"/>
              <w:spacing w:before="80" w:after="0"/>
              <w:jc w:val="center"/>
              <w:rPr>
                <w:bCs/>
                <w:sz w:val="28"/>
                <w:szCs w:val="28"/>
              </w:rPr>
            </w:pPr>
            <w:r>
              <w:rPr>
                <w:bCs/>
                <w:sz w:val="28"/>
                <w:szCs w:val="28"/>
              </w:rPr>
              <w:t>(tỷ đồng)</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bCs/>
                <w:sz w:val="28"/>
                <w:szCs w:val="28"/>
              </w:rPr>
            </w:pPr>
            <w:r>
              <w:rPr>
                <w:b/>
                <w:bCs/>
                <w:sz w:val="28"/>
                <w:szCs w:val="28"/>
              </w:rPr>
              <w:t>KH 2022 Bộ đã phân bổ</w:t>
            </w:r>
          </w:p>
          <w:p>
            <w:pPr>
              <w:pStyle w:val="Normal"/>
              <w:widowControl w:val="false"/>
              <w:spacing w:before="80" w:after="0"/>
              <w:jc w:val="center"/>
              <w:rPr>
                <w:b/>
                <w:b/>
                <w:bCs/>
                <w:sz w:val="28"/>
                <w:szCs w:val="28"/>
              </w:rPr>
            </w:pPr>
            <w:r>
              <w:rPr>
                <w:bCs/>
                <w:sz w:val="28"/>
                <w:szCs w:val="28"/>
              </w:rPr>
              <w:t>(tỷ đồng)</w:t>
            </w:r>
          </w:p>
        </w:tc>
        <w:tc>
          <w:tcPr>
            <w:tcW w:w="237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bCs/>
                <w:sz w:val="28"/>
                <w:szCs w:val="28"/>
              </w:rPr>
            </w:pPr>
            <w:r>
              <w:rPr>
                <w:b/>
                <w:bCs/>
                <w:sz w:val="28"/>
                <w:szCs w:val="28"/>
              </w:rPr>
              <w:t>Ước giải ngân từ đầu năm đến hết 20/2</w:t>
            </w:r>
          </w:p>
        </w:tc>
      </w:tr>
      <w:tr>
        <w:trPr>
          <w:trHeight w:val="356" w:hRule="atLeast"/>
        </w:trPr>
        <w:tc>
          <w:tcPr>
            <w:tcW w:w="25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80" w:after="0"/>
              <w:jc w:val="center"/>
              <w:rPr>
                <w:b/>
                <w:b/>
                <w:bCs/>
                <w:sz w:val="28"/>
                <w:szCs w:val="28"/>
              </w:rPr>
            </w:pPr>
            <w:r>
              <w:rPr>
                <w:b/>
                <w:bCs/>
                <w:sz w:val="28"/>
                <w:szCs w:val="28"/>
              </w:rPr>
            </w:r>
          </w:p>
        </w:tc>
        <w:tc>
          <w:tcPr>
            <w:tcW w:w="16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80" w:after="0"/>
              <w:jc w:val="right"/>
              <w:rPr>
                <w:sz w:val="28"/>
                <w:szCs w:val="28"/>
              </w:rPr>
            </w:pPr>
            <w:r>
              <w:rPr>
                <w:sz w:val="28"/>
                <w:szCs w:val="28"/>
              </w:rPr>
            </w:r>
          </w:p>
        </w:tc>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80" w:after="0"/>
              <w:jc w:val="right"/>
              <w:rPr>
                <w:sz w:val="28"/>
                <w:szCs w:val="28"/>
              </w:rPr>
            </w:pPr>
            <w:r>
              <w:rPr>
                <w:sz w:val="28"/>
                <w:szCs w:val="28"/>
              </w:rPr>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bCs/>
                <w:sz w:val="28"/>
                <w:szCs w:val="28"/>
              </w:rPr>
            </w:pPr>
            <w:r>
              <w:rPr>
                <w:sz w:val="28"/>
                <w:szCs w:val="28"/>
              </w:rPr>
              <w:t>Số vốn</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center"/>
              <w:rPr>
                <w:b/>
                <w:b/>
                <w:bCs/>
                <w:sz w:val="28"/>
                <w:szCs w:val="28"/>
              </w:rPr>
            </w:pPr>
            <w:r>
              <w:rPr>
                <w:iCs/>
                <w:sz w:val="28"/>
                <w:szCs w:val="28"/>
              </w:rPr>
              <w:t>Tỷ lệ %</w:t>
            </w:r>
          </w:p>
        </w:tc>
      </w:tr>
      <w:tr>
        <w:trPr>
          <w:trHeight w:val="356" w:hRule="atLeast"/>
        </w:trPr>
        <w:tc>
          <w:tcPr>
            <w:tcW w:w="25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0" w:after="0"/>
              <w:jc w:val="center"/>
              <w:rPr>
                <w:sz w:val="28"/>
                <w:szCs w:val="28"/>
              </w:rPr>
            </w:pPr>
            <w:r>
              <w:rPr>
                <w:b/>
                <w:bCs/>
                <w:sz w:val="28"/>
                <w:szCs w:val="28"/>
              </w:rPr>
              <w:t>Tổng</w:t>
            </w:r>
          </w:p>
        </w:tc>
        <w:tc>
          <w:tcPr>
            <w:tcW w:w="162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80" w:after="0"/>
              <w:jc w:val="right"/>
              <w:rPr>
                <w:sz w:val="28"/>
                <w:szCs w:val="28"/>
              </w:rPr>
            </w:pPr>
            <w:r>
              <w:rPr>
                <w:sz w:val="28"/>
                <w:szCs w:val="28"/>
              </w:rPr>
              <w:t>6.438</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b/>
                <w:b/>
                <w:bCs/>
                <w:sz w:val="28"/>
                <w:szCs w:val="28"/>
              </w:rPr>
            </w:pPr>
            <w:r>
              <w:rPr>
                <w:b/>
                <w:bCs/>
                <w:sz w:val="28"/>
                <w:szCs w:val="28"/>
              </w:rPr>
              <w:t>4.341</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b/>
                <w:b/>
                <w:bCs/>
                <w:sz w:val="28"/>
                <w:szCs w:val="28"/>
              </w:rPr>
            </w:pPr>
            <w:r>
              <w:rPr>
                <w:b/>
                <w:bCs/>
                <w:sz w:val="28"/>
                <w:szCs w:val="28"/>
              </w:rPr>
              <w:t>102,3</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b/>
                <w:b/>
                <w:bCs/>
                <w:sz w:val="28"/>
                <w:szCs w:val="28"/>
              </w:rPr>
            </w:pPr>
            <w:r>
              <w:rPr>
                <w:b/>
                <w:bCs/>
                <w:sz w:val="28"/>
                <w:szCs w:val="28"/>
              </w:rPr>
              <w:t>2,36%</w:t>
            </w:r>
          </w:p>
        </w:tc>
      </w:tr>
      <w:tr>
        <w:trPr>
          <w:trHeight w:val="356" w:hRule="atLeast"/>
        </w:trPr>
        <w:tc>
          <w:tcPr>
            <w:tcW w:w="2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rPr>
                <w:b/>
                <w:b/>
                <w:sz w:val="28"/>
                <w:szCs w:val="28"/>
              </w:rPr>
            </w:pPr>
            <w:r>
              <w:rPr>
                <w:sz w:val="28"/>
                <w:szCs w:val="28"/>
              </w:rPr>
              <w:t>Vốn trong nước</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4.538</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2.441</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66,6</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2,73%</w:t>
            </w:r>
          </w:p>
        </w:tc>
      </w:tr>
      <w:tr>
        <w:trPr>
          <w:trHeight w:val="300" w:hRule="atLeast"/>
        </w:trPr>
        <w:tc>
          <w:tcPr>
            <w:tcW w:w="2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rPr>
                <w:sz w:val="28"/>
                <w:szCs w:val="28"/>
              </w:rPr>
            </w:pPr>
            <w:r>
              <w:rPr>
                <w:sz w:val="28"/>
                <w:szCs w:val="28"/>
              </w:rPr>
              <w:t>Vốn nước ngoài</w:t>
            </w:r>
          </w:p>
        </w:tc>
        <w:tc>
          <w:tcPr>
            <w:tcW w:w="16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1.900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1.900</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35,6</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80" w:after="0"/>
              <w:jc w:val="right"/>
              <w:rPr>
                <w:sz w:val="28"/>
                <w:szCs w:val="28"/>
              </w:rPr>
            </w:pPr>
            <w:r>
              <w:rPr>
                <w:sz w:val="28"/>
                <w:szCs w:val="28"/>
              </w:rPr>
              <w:t>1,88%</w:t>
            </w:r>
          </w:p>
        </w:tc>
      </w:tr>
    </w:tbl>
    <w:p>
      <w:pPr>
        <w:pStyle w:val="Normal"/>
        <w:widowControl w:val="false"/>
        <w:shd w:fill="FFFFFF" w:val="clear"/>
        <w:spacing w:before="80" w:after="0"/>
        <w:ind w:firstLine="720"/>
        <w:jc w:val="both"/>
        <w:textAlignment w:val="baseline"/>
        <w:rPr>
          <w:b/>
          <w:b/>
          <w:sz w:val="28"/>
          <w:szCs w:val="28"/>
          <w:lang w:val="af-ZA"/>
        </w:rPr>
      </w:pPr>
      <w:r>
        <w:rPr>
          <w:b/>
          <w:sz w:val="28"/>
          <w:szCs w:val="28"/>
          <w:lang w:val="af-ZA"/>
        </w:rPr>
      </w:r>
    </w:p>
    <w:p>
      <w:pPr>
        <w:pStyle w:val="Normal"/>
        <w:widowControl w:val="false"/>
        <w:shd w:fill="FFFFFF" w:val="clear"/>
        <w:spacing w:before="80" w:after="0"/>
        <w:ind w:firstLine="720"/>
        <w:jc w:val="both"/>
        <w:textAlignment w:val="baseline"/>
        <w:rPr>
          <w:b/>
          <w:b/>
          <w:sz w:val="28"/>
          <w:szCs w:val="28"/>
          <w:lang w:val="vi-VN"/>
        </w:rPr>
      </w:pPr>
      <w:r>
        <w:rPr>
          <w:b/>
          <w:sz w:val="28"/>
          <w:szCs w:val="28"/>
          <w:lang w:val="af-ZA"/>
        </w:rPr>
        <w:t>6</w:t>
      </w:r>
      <w:r>
        <w:rPr>
          <w:b/>
          <w:sz w:val="28"/>
          <w:szCs w:val="28"/>
          <w:lang w:val="vi-VN"/>
        </w:rPr>
        <w:t>. Phát triển nông thôn và xây dựng nông thôn mới</w:t>
      </w:r>
    </w:p>
    <w:p>
      <w:pPr>
        <w:pStyle w:val="Normal"/>
        <w:widowControl w:val="false"/>
        <w:spacing w:before="80" w:after="0"/>
        <w:ind w:firstLine="720"/>
        <w:jc w:val="both"/>
        <w:rPr>
          <w:sz w:val="28"/>
          <w:szCs w:val="28"/>
          <w:lang w:val="af-ZA"/>
        </w:rPr>
      </w:pPr>
      <w:bookmarkStart w:id="10" w:name="_Hlk52270997"/>
      <w:bookmarkEnd w:id="10"/>
      <w:r>
        <w:rPr>
          <w:sz w:val="28"/>
          <w:szCs w:val="28"/>
          <w:lang w:val="af-ZA"/>
        </w:rPr>
        <w:t xml:space="preserve">Đến hết năm 2021, cả nước có 18.340 HTX nông nghiệp, 79 Liên hiệp HTX và hơn </w:t>
      </w:r>
      <w:r>
        <w:rPr>
          <w:sz w:val="28"/>
          <w:szCs w:val="28"/>
        </w:rPr>
        <w:t>29.987</w:t>
      </w:r>
      <w:r>
        <w:rPr>
          <w:sz w:val="28"/>
          <w:szCs w:val="28"/>
          <w:lang w:val="vi-VN"/>
        </w:rPr>
        <w:t xml:space="preserve"> </w:t>
      </w:r>
      <w:r>
        <w:rPr>
          <w:sz w:val="28"/>
          <w:szCs w:val="28"/>
          <w:lang w:val="af-ZA"/>
        </w:rPr>
        <w:t>THT nông nghiệp, số lượng thành viên HTX NN khoảng 3,78 triệu người; có khoảng 18.945 trang trại</w:t>
      </w:r>
      <w:r>
        <w:rPr>
          <w:rStyle w:val="FootnoteCharacters"/>
          <w:rStyle w:val="FootnoteAnchor"/>
          <w:sz w:val="28"/>
          <w:szCs w:val="28"/>
          <w:lang w:val="af-ZA"/>
        </w:rPr>
        <w:footnoteReference w:id="8"/>
      </w:r>
      <w:r>
        <w:rPr>
          <w:sz w:val="28"/>
          <w:szCs w:val="28"/>
          <w:lang w:val="af-ZA"/>
        </w:rPr>
        <w:t xml:space="preserve"> với tổng diện tích đất của các trang trại khoảng 66,8 nghìn ha; có khoảng 168 nghề truyền thống và 1.974 làng nghề, làng nghề truyền thống đã được công nhận (trong đó có 1335 làng nghề, 639 làng nghề truyền thống). Có 812.956 cơ sở tham gia sản xuất kinh doanh lĩnh vực ngành nghề nông thôn.</w:t>
      </w:r>
    </w:p>
    <w:p>
      <w:pPr>
        <w:pStyle w:val="Normal"/>
        <w:widowControl w:val="false"/>
        <w:spacing w:before="80" w:after="0"/>
        <w:ind w:firstLine="720"/>
        <w:jc w:val="both"/>
        <w:rPr>
          <w:sz w:val="28"/>
          <w:szCs w:val="28"/>
          <w:shd w:fill="FFFFFF" w:val="clear"/>
        </w:rPr>
      </w:pPr>
      <w:bookmarkStart w:id="11" w:name="_Hlk52270997"/>
      <w:bookmarkStart w:id="12" w:name="_Hlk41391880"/>
      <w:bookmarkEnd w:id="11"/>
      <w:bookmarkEnd w:id="12"/>
      <w:r>
        <w:rPr>
          <w:sz w:val="28"/>
          <w:szCs w:val="28"/>
          <w:lang w:val="af-ZA"/>
        </w:rPr>
        <w:t>Hiện, cả nước có 5.650 xã/8.233 xã (68,6%) đạt chuẩn nông thôn mới</w:t>
      </w:r>
      <w:r>
        <w:rPr>
          <w:sz w:val="28"/>
          <w:szCs w:val="28"/>
          <w:shd w:fill="FFFFFF" w:val="clear"/>
        </w:rPr>
        <w:t xml:space="preserve">, tăng 18 xã so với tháng trước; có 561 xã đạt chuẩn NTM nâng cao; có 221/664 đơn vị cấp huyện thuộc 54 tỉnh, thành phố trực thuộc Trung ương đã được Thủ tướng Chính phủ công nhận hoàn thành nhiệm vụ/đạt chuẩn NTM. Có 14 tỉnh đã có 100% số xã đạt chuẩn NTM. Có 63 tỉnh/thành phố đánh giá, phân hạng và có Quyết định công nhận 6.492 sản phẩm OCOP đạt 3 sao trở lên, trong đó 64,5% sản phẩm 3 sao; 33,8% sản phẩm 4 sao và 1,3% sản phẩm tiềm năng 5 sao. Hơn 3.473 chủ thể tham gia, trong đó có 39,6% là HTX, 26,3% là doanh nghiệp, 32% là cơ sở sản xuất, còn lại là tổ hợp tác. </w:t>
      </w:r>
    </w:p>
    <w:p>
      <w:pPr>
        <w:pStyle w:val="Normal"/>
        <w:widowControl w:val="false"/>
        <w:spacing w:before="80" w:after="0"/>
        <w:ind w:firstLine="720"/>
        <w:jc w:val="both"/>
        <w:rPr>
          <w:sz w:val="28"/>
          <w:szCs w:val="28"/>
          <w:shd w:fill="FFFFFF" w:val="clear"/>
        </w:rPr>
      </w:pPr>
      <w:r>
        <w:rPr>
          <w:sz w:val="28"/>
          <w:szCs w:val="28"/>
          <w:shd w:fill="FFFFFF" w:val="clear"/>
        </w:rPr>
        <w:t xml:space="preserve">Thủ tướng Chính phủ (TTCP) đã ban hành Quyết định số 263/QĐ-TTg ngày 22/02/2022 phê duyệt Chương trình MTQG xây dựng nông thôn mới giai đoạn 2021-2025; Bộ tiếp tục phối hợp với các Bộ liên quan để hoàn thiện nội dung </w:t>
      </w:r>
      <w:r>
        <w:rPr>
          <w:bCs/>
          <w:sz w:val="28"/>
          <w:szCs w:val="28"/>
        </w:rPr>
        <w:t xml:space="preserve">Quyết định của </w:t>
      </w:r>
      <w:r>
        <w:rPr>
          <w:sz w:val="28"/>
          <w:szCs w:val="28"/>
          <w:shd w:fill="FFFFFF" w:val="clear"/>
        </w:rPr>
        <w:t>TTCP</w:t>
      </w:r>
      <w:r>
        <w:rPr>
          <w:bCs/>
          <w:sz w:val="28"/>
          <w:szCs w:val="28"/>
        </w:rPr>
        <w:t xml:space="preserve"> ban hành </w:t>
      </w:r>
      <w:r>
        <w:rPr>
          <w:bCs/>
          <w:spacing w:val="-4"/>
          <w:sz w:val="28"/>
          <w:szCs w:val="28"/>
          <w:lang w:val="en-US"/>
        </w:rPr>
        <w:t>Bộ tiêu chí quốc gia về NTM các cấp (xã, huyện, tỉnh) theo các mức độ (đạt chuẩn, nâng cao, kiểu mẫu) giai đoạn 2021-2025</w:t>
      </w:r>
      <w:r>
        <w:rPr>
          <w:bCs/>
          <w:spacing w:val="-4"/>
          <w:sz w:val="28"/>
          <w:szCs w:val="28"/>
        </w:rPr>
        <w:t xml:space="preserve"> và </w:t>
      </w:r>
      <w:r>
        <w:rPr>
          <w:bCs/>
          <w:iCs/>
          <w:sz w:val="28"/>
          <w:szCs w:val="28"/>
        </w:rPr>
        <w:t>Quyết định quy định điều kiện, trình tự, thủ tục, hồ sơ xét, công nhận, công bố và thu hồi quyết định công nhận địa phương đạt chuẩn/hoàn thành nhiệm vụ xây dựng NTM giai đoạn 2021-2025 theo yêu cầu của Văn phòng Chính phủ.</w:t>
      </w:r>
    </w:p>
    <w:p>
      <w:pPr>
        <w:pStyle w:val="Normal"/>
        <w:widowControl w:val="false"/>
        <w:spacing w:before="80" w:after="0"/>
        <w:ind w:firstLine="720"/>
        <w:jc w:val="both"/>
        <w:rPr>
          <w:bCs/>
          <w:iCs/>
          <w:sz w:val="28"/>
          <w:szCs w:val="28"/>
          <w:lang w:val="es-ES"/>
        </w:rPr>
      </w:pPr>
      <w:bookmarkStart w:id="13" w:name="_Hlk41391880"/>
      <w:bookmarkStart w:id="14" w:name="_Hlk49343416"/>
      <w:bookmarkEnd w:id="13"/>
      <w:r>
        <w:rPr>
          <w:b/>
          <w:bCs/>
          <w:sz w:val="28"/>
          <w:szCs w:val="28"/>
        </w:rPr>
        <w:t xml:space="preserve">7. </w:t>
      </w:r>
      <w:r>
        <w:rPr>
          <w:b/>
          <w:sz w:val="28"/>
          <w:szCs w:val="28"/>
        </w:rPr>
        <w:t>Công tác khác</w:t>
      </w:r>
      <w:bookmarkEnd w:id="14"/>
    </w:p>
    <w:p>
      <w:pPr>
        <w:pStyle w:val="TextBody"/>
        <w:widowControl w:val="false"/>
        <w:spacing w:before="80" w:after="0"/>
        <w:ind w:firstLine="720"/>
        <w:rPr>
          <w:bCs/>
          <w:iCs/>
          <w:color w:val="000000"/>
          <w:sz w:val="28"/>
          <w:szCs w:val="28"/>
          <w:lang w:val="da-DK"/>
        </w:rPr>
      </w:pPr>
      <w:r>
        <w:rPr>
          <w:bCs/>
          <w:iCs/>
          <w:color w:val="000000"/>
          <w:sz w:val="28"/>
          <w:szCs w:val="28"/>
          <w:lang w:val="sv-SE"/>
        </w:rPr>
        <w:t xml:space="preserve">a) Kế hoạch, tài chính: </w:t>
      </w:r>
      <w:bookmarkStart w:id="15" w:name="_Hlk83738233"/>
      <w:r>
        <w:rPr>
          <w:bCs/>
          <w:iCs/>
          <w:color w:val="000000"/>
          <w:sz w:val="28"/>
          <w:szCs w:val="28"/>
          <w:lang w:val="sv-SE"/>
        </w:rPr>
        <w:t xml:space="preserve">Xây dựng kế hoạch triển khai thực hiện và tổ chức </w:t>
      </w:r>
      <w:bookmarkEnd w:id="15"/>
      <w:r>
        <w:rPr>
          <w:bCs/>
          <w:iCs/>
          <w:color w:val="000000"/>
          <w:sz w:val="28"/>
          <w:szCs w:val="28"/>
          <w:lang w:val="sv-SE"/>
        </w:rPr>
        <w:t xml:space="preserve">họp báo Công bố Chiến lược Phát triển nông nghiệp, nông thôn bền vững; Tham mưu </w:t>
      </w:r>
      <w:r>
        <w:rPr>
          <w:color w:val="000000"/>
          <w:sz w:val="28"/>
          <w:szCs w:val="28"/>
          <w:shd w:fill="FFFFFF" w:val="clear"/>
        </w:rPr>
        <w:t>TTCP</w:t>
      </w:r>
      <w:r>
        <w:rPr>
          <w:bCs/>
          <w:iCs/>
          <w:color w:val="000000"/>
          <w:sz w:val="28"/>
          <w:szCs w:val="28"/>
          <w:lang w:val="sv-SE"/>
        </w:rPr>
        <w:t xml:space="preserve"> ban hành văn bản chỉ đạo các Bộ, ngành, địa phương khẩn trương triển khai tổ chức thực hiện Chiến lược. Hoàn thành nội dung tổ chức Hội nghị Thúc đẩy phát triển nông nghiệp bền vững vùng Đồng bằng sông Cửu Long thích ứng với biến đổi khí hậu.</w:t>
      </w:r>
    </w:p>
    <w:p>
      <w:pPr>
        <w:pStyle w:val="TextBody"/>
        <w:widowControl w:val="false"/>
        <w:spacing w:before="80" w:after="0"/>
        <w:ind w:firstLine="720"/>
        <w:rPr>
          <w:color w:val="000000"/>
          <w:sz w:val="28"/>
          <w:szCs w:val="28"/>
        </w:rPr>
      </w:pPr>
      <w:r>
        <w:rPr>
          <w:bCs/>
          <w:iCs/>
          <w:color w:val="000000"/>
          <w:sz w:val="28"/>
          <w:szCs w:val="28"/>
          <w:lang w:val="da-DK"/>
        </w:rPr>
        <w:t xml:space="preserve">b) Quy hoạch: </w:t>
      </w:r>
      <w:bookmarkStart w:id="16" w:name="_Hlk83738245"/>
      <w:r>
        <w:rPr>
          <w:color w:val="000000"/>
          <w:sz w:val="28"/>
          <w:szCs w:val="28"/>
        </w:rPr>
        <w:t xml:space="preserve">Có 02/04 Quy hoạch </w:t>
      </w:r>
      <w:bookmarkEnd w:id="16"/>
      <w:r>
        <w:rPr>
          <w:color w:val="000000"/>
          <w:sz w:val="28"/>
          <w:szCs w:val="28"/>
        </w:rPr>
        <w:t xml:space="preserve">đã thành lập Hội đồng thẩm định, đang hoàn thiện hồ sơ lấy ý kiến các thành viên hội đồng (Quy hoạch phòng chống thiên tai và thủy lợi; Quy hoạch lâm nghiệp); Quy hoạch bảo vệ và khai thác nguồn lợi thủy sản đang đẩy nhanh tiến độ tiếp thu, hoàn thiện hồ sơ để trình thẩm định; Quy hoạch hệ thống cảng cá, khu neo đậu tránh trú bão cho tàu cá đang hoàn thiện để chuẩn bị xin ý kiến rộng rãi </w:t>
      </w:r>
      <w:r>
        <w:rPr>
          <w:i/>
          <w:color w:val="000000"/>
          <w:sz w:val="28"/>
          <w:szCs w:val="28"/>
        </w:rPr>
        <w:t xml:space="preserve">(cần đẩy nhanh tiến độ). </w:t>
      </w:r>
    </w:p>
    <w:p>
      <w:pPr>
        <w:pStyle w:val="Normal"/>
        <w:widowControl w:val="false"/>
        <w:spacing w:before="80" w:after="0"/>
        <w:ind w:firstLine="720"/>
        <w:jc w:val="both"/>
        <w:rPr/>
      </w:pPr>
      <w:r>
        <w:rPr>
          <w:sz w:val="28"/>
          <w:szCs w:val="28"/>
        </w:rPr>
        <w:t xml:space="preserve">c) </w:t>
      </w:r>
      <w:r>
        <w:rPr>
          <w:bCs/>
          <w:iCs/>
          <w:sz w:val="28"/>
          <w:szCs w:val="28"/>
          <w:lang w:val="pt-BR"/>
        </w:rPr>
        <w:t xml:space="preserve">Tổ chức bộ máy: </w:t>
      </w:r>
      <w:bookmarkStart w:id="17" w:name="_Hlk65160247"/>
      <w:r>
        <w:rPr>
          <w:bCs/>
          <w:iCs/>
          <w:sz w:val="28"/>
          <w:szCs w:val="28"/>
          <w:lang w:val="pt-BR"/>
        </w:rPr>
        <w:t xml:space="preserve">Tiếp tục hoàn thiện </w:t>
      </w:r>
      <w:r>
        <w:rPr>
          <w:sz w:val="28"/>
          <w:szCs w:val="28"/>
        </w:rPr>
        <w:t xml:space="preserve">Nghị định thay thế Nghị định số 15/2017/NĐ-CP của Chính phủ về </w:t>
      </w:r>
      <w:r>
        <w:rPr>
          <w:bCs/>
          <w:iCs/>
          <w:sz w:val="28"/>
          <w:szCs w:val="28"/>
          <w:lang w:val="pt-BR"/>
        </w:rPr>
        <w:t xml:space="preserve">chức năng, nhiệm vụ, quyền hạn và cơ cấu tổ chức của Bộ. Ban hành Quyết định điều động, bổ nhiệm, bổ nhiệm lại 16 đồng chí lãnh đạo các cơ quan, đơn vị trực thuộc Bộ. </w:t>
      </w:r>
      <w:bookmarkEnd w:id="17"/>
      <w:r>
        <w:rPr>
          <w:bCs/>
          <w:iCs/>
          <w:sz w:val="28"/>
          <w:szCs w:val="28"/>
          <w:lang w:val="pt-BR"/>
        </w:rPr>
        <w:t>Xây dựng Kế hoạch Đào tạo, bồi dưỡng năm 2022, cử công chức, viên chức đi học các lớp ngắn hạn trong nước.</w:t>
      </w:r>
    </w:p>
    <w:p>
      <w:pPr>
        <w:pStyle w:val="Normal"/>
        <w:widowControl w:val="false"/>
        <w:spacing w:before="80" w:after="0"/>
        <w:ind w:firstLine="720"/>
        <w:jc w:val="both"/>
        <w:rPr/>
      </w:pPr>
      <w:r>
        <w:rPr>
          <w:bCs/>
          <w:sz w:val="28"/>
          <w:szCs w:val="28"/>
          <w:lang w:val="pt-BR"/>
        </w:rPr>
        <w:t xml:space="preserve">d) </w:t>
      </w:r>
      <w:r>
        <w:rPr>
          <w:sz w:val="28"/>
          <w:szCs w:val="28"/>
        </w:rPr>
        <w:t xml:space="preserve">Khoa học công nghệ: Phê duyệt thuyết minh và ký hợp đồng tổ chức chủ trì nhiệm vụ KH&amp;CN cấp Bộ, nhiệm vụ KH&amp;CN trọng điểm cấp Bộ bắt đầu thực hiện năm 2022. Tiếp nhận các đề xuất nhiệm vụ KH&amp;CN từ các tổ chức, cá nhân để xây dựng kế hoạch KH&amp;CN bắt đầu thực hiện từ 2023; </w:t>
      </w:r>
      <w:r>
        <w:rPr>
          <w:sz w:val="28"/>
          <w:szCs w:val="28"/>
          <w:lang w:val="nb-NO"/>
        </w:rPr>
        <w:t>đề nghị thẩm định 10 TCVN (lĩnh vực trổng trọt, bảo vệ thực vật và thủy lợi).</w:t>
      </w:r>
    </w:p>
    <w:p>
      <w:pPr>
        <w:pStyle w:val="Normal"/>
        <w:widowControl w:val="false"/>
        <w:spacing w:before="80" w:after="0"/>
        <w:ind w:firstLine="720"/>
        <w:jc w:val="both"/>
        <w:rPr>
          <w:b/>
          <w:b/>
          <w:sz w:val="26"/>
          <w:szCs w:val="28"/>
          <w:lang w:val="sv-SE"/>
        </w:rPr>
      </w:pPr>
      <w:r>
        <w:rPr>
          <w:b/>
          <w:iCs/>
          <w:sz w:val="26"/>
          <w:szCs w:val="28"/>
          <w:lang w:val="sv-SE"/>
        </w:rPr>
        <w:t xml:space="preserve">II. </w:t>
      </w:r>
      <w:r>
        <w:rPr>
          <w:b/>
          <w:sz w:val="26"/>
          <w:szCs w:val="28"/>
          <w:lang w:val="sv-SE"/>
        </w:rPr>
        <w:t>NHIỆM VỤ CÔNG TÁC THÁNG 3</w:t>
      </w:r>
    </w:p>
    <w:p>
      <w:pPr>
        <w:pStyle w:val="Normal"/>
        <w:widowControl w:val="false"/>
        <w:spacing w:before="80" w:after="0"/>
        <w:ind w:firstLine="720"/>
        <w:jc w:val="both"/>
        <w:rPr>
          <w:sz w:val="28"/>
          <w:szCs w:val="28"/>
          <w:lang w:val="es-ES"/>
        </w:rPr>
      </w:pPr>
      <w:r>
        <w:rPr>
          <w:sz w:val="28"/>
          <w:szCs w:val="28"/>
          <w:lang w:val="es-ES"/>
        </w:rPr>
        <w:t xml:space="preserve">Các đơn vị nghiêm túc triển khai các nhiệm vụ được giao tại </w:t>
      </w:r>
      <w:r>
        <w:rPr>
          <w:sz w:val="28"/>
          <w:szCs w:val="28"/>
        </w:rPr>
        <w:t>Quyết định số 106</w:t>
      </w:r>
      <w:r>
        <w:rPr>
          <w:bCs/>
          <w:sz w:val="28"/>
          <w:szCs w:val="28"/>
        </w:rPr>
        <w:t xml:space="preserve">/QĐ-BNN-KH ngày 12/01/2022 </w:t>
      </w:r>
      <w:r>
        <w:rPr>
          <w:sz w:val="28"/>
          <w:szCs w:val="28"/>
        </w:rPr>
        <w:t>về kế hoạch thực hiện Nghị quyết số 01/NQ-CP ngày 08/01/2022 của Chính phủ về nhiệm vụ, giải pháp chủ yếu thực hiện kế hoạch phát triển kinh tế - xã hội và dự toán ngân sách nhà nước năm 2021, Thông báo kết luận của Bộ trưởng tại cuộc họp giao ban triển khai nhiệm vụ công tác Quý I/2022 tại văn bản số 864/TB-BNN-VP ngày 14/02/21</w:t>
      </w:r>
      <w:r>
        <w:rPr>
          <w:sz w:val="28"/>
          <w:szCs w:val="28"/>
          <w:lang w:val="es-ES"/>
        </w:rPr>
        <w:t xml:space="preserve">. Cụ thể: </w:t>
      </w:r>
    </w:p>
    <w:p>
      <w:pPr>
        <w:pStyle w:val="Normal"/>
        <w:widowControl w:val="false"/>
        <w:spacing w:before="80" w:after="0"/>
        <w:ind w:firstLine="720"/>
        <w:jc w:val="both"/>
        <w:rPr>
          <w:b/>
          <w:b/>
          <w:sz w:val="28"/>
          <w:szCs w:val="28"/>
          <w:lang w:val="it-IT"/>
        </w:rPr>
      </w:pPr>
      <w:r>
        <w:rPr>
          <w:b/>
          <w:sz w:val="28"/>
          <w:szCs w:val="28"/>
          <w:lang w:val="it-IT"/>
        </w:rPr>
        <w:t xml:space="preserve">1. </w:t>
      </w:r>
      <w:r>
        <w:rPr>
          <w:b/>
          <w:bCs/>
          <w:sz w:val="28"/>
          <w:szCs w:val="28"/>
          <w:lang w:val="it-IT"/>
        </w:rPr>
        <w:t>Trồng trọt, bảo vệ thực vật</w:t>
      </w:r>
    </w:p>
    <w:p>
      <w:pPr>
        <w:pStyle w:val="Normal"/>
        <w:widowControl w:val="false"/>
        <w:spacing w:before="80" w:after="0"/>
        <w:ind w:firstLine="720"/>
        <w:jc w:val="both"/>
        <w:rPr/>
      </w:pPr>
      <w:bookmarkStart w:id="18" w:name="_Hlk54711409"/>
      <w:r>
        <w:rPr>
          <w:sz w:val="28"/>
          <w:szCs w:val="28"/>
        </w:rPr>
        <w:t xml:space="preserve">Theo dõi sát tình hình thời tiết khí tượng, thủy văn để </w:t>
      </w:r>
      <w:r>
        <w:rPr>
          <w:sz w:val="28"/>
          <w:szCs w:val="28"/>
          <w:lang w:val="sv-SE"/>
        </w:rPr>
        <w:t xml:space="preserve">chỉ đạo thời vụ, cơ cấu cây trồng phù hợp; </w:t>
      </w:r>
      <w:r>
        <w:rPr>
          <w:sz w:val="28"/>
          <w:szCs w:val="28"/>
          <w:lang w:val="vi-VN"/>
        </w:rPr>
        <w:t>Tiếp tục chỉ đạo thu hoạch lúa vụ Đông Xuân tại các tỉnh phía Nam</w:t>
      </w:r>
      <w:r>
        <w:rPr>
          <w:sz w:val="28"/>
          <w:szCs w:val="28"/>
        </w:rPr>
        <w:t xml:space="preserve">, </w:t>
      </w:r>
      <w:r>
        <w:rPr>
          <w:sz w:val="28"/>
          <w:szCs w:val="28"/>
          <w:lang w:val="vi-VN"/>
        </w:rPr>
        <w:t>chú ý diện tích lúa Đông Xuân có khả năng bị ảnh hưởng của khô hạn và xâm nhập mặn để có các giải pháp chỉ đạo sớm, tích trữ nguồn nước ngọt đảm bảo năng suất và sản lượng lúa</w:t>
      </w:r>
      <w:r>
        <w:rPr>
          <w:sz w:val="28"/>
          <w:szCs w:val="28"/>
        </w:rPr>
        <w:t>; chỉ đạo xuống giống vụ Hè Thu 2022 các tỉnh Đồng bằng sông Cửu Long. Hoàn thành gieo cấy và chăm sóc lúa Đông Xuân tại các tỉnh phía Bắc.</w:t>
      </w:r>
      <w:bookmarkEnd w:id="18"/>
    </w:p>
    <w:p>
      <w:pPr>
        <w:pStyle w:val="Normal"/>
        <w:widowControl w:val="false"/>
        <w:spacing w:before="80" w:after="0"/>
        <w:ind w:firstLine="720"/>
        <w:jc w:val="both"/>
        <w:rPr>
          <w:sz w:val="28"/>
          <w:szCs w:val="28"/>
          <w:lang w:val="vi-VN"/>
        </w:rPr>
      </w:pPr>
      <w:r>
        <w:rPr>
          <w:sz w:val="28"/>
          <w:szCs w:val="28"/>
          <w:lang w:val="vi-VN"/>
        </w:rPr>
        <w:t>Tiếp tục nắm bắt tình hình chuyển đổi đất lúa sang trồng cây ăn quả và cây trồng hàng năm, nuôi trồng thủy sản; tình hình sản lượng các loại cây ăn quả chủ lực phục vụ xuất khẩu như thanh long, nhãn, xoài, chôm chôm, sầu riêng để có đề xuất rải vụ các đối tượng cây trồng này phù hợp với thị trường tiêu thụ, có giá bán tốt và hiệu quả kinh tế cao.</w:t>
      </w:r>
    </w:p>
    <w:p>
      <w:pPr>
        <w:pStyle w:val="Normal"/>
        <w:widowControl w:val="false"/>
        <w:spacing w:before="80" w:after="0"/>
        <w:ind w:firstLine="720"/>
        <w:jc w:val="both"/>
        <w:rPr>
          <w:b/>
          <w:b/>
          <w:bCs/>
          <w:sz w:val="28"/>
          <w:szCs w:val="28"/>
          <w:lang w:val="sv-SE"/>
        </w:rPr>
      </w:pPr>
      <w:bookmarkStart w:id="19" w:name="_Hlk49343697"/>
      <w:r>
        <w:rPr>
          <w:sz w:val="28"/>
          <w:szCs w:val="28"/>
          <w:lang w:val="es-ES"/>
        </w:rPr>
        <w:t xml:space="preserve">Tăng cường công tác bảo vệ thực vật, </w:t>
      </w:r>
      <w:r>
        <w:rPr>
          <w:sz w:val="28"/>
          <w:szCs w:val="28"/>
          <w:lang w:val="sv-SE"/>
        </w:rPr>
        <w:t>tổ chức trực ban chỉ đạo phòng chống dịch và kịp thời xử lý các vùng dịch phát sinh</w:t>
      </w:r>
      <w:r>
        <w:rPr>
          <w:sz w:val="28"/>
          <w:szCs w:val="28"/>
          <w:lang w:val="af-ZA"/>
        </w:rPr>
        <w:t xml:space="preserve"> gây hại</w:t>
      </w:r>
      <w:r>
        <w:rPr>
          <w:bCs/>
          <w:sz w:val="28"/>
          <w:szCs w:val="28"/>
          <w:lang w:val="af-ZA"/>
        </w:rPr>
        <w:t xml:space="preserve"> trên lúa </w:t>
      </w:r>
      <w:r>
        <w:rPr>
          <w:bCs/>
          <w:i/>
          <w:sz w:val="28"/>
          <w:szCs w:val="28"/>
          <w:lang w:val="af-ZA"/>
        </w:rPr>
        <w:t>(</w:t>
      </w:r>
      <w:r>
        <w:rPr>
          <w:bCs/>
          <w:i/>
          <w:sz w:val="28"/>
          <w:szCs w:val="28"/>
          <w:lang w:val="it-IT"/>
        </w:rPr>
        <w:t>Rầy nâu+RLT, bệnh đạo ôn, sâu cuốn lá nhỏ, rầy nâu, bệnh đạo ôn, bạc lá vi khuẩn, lem lép hạt…</w:t>
      </w:r>
      <w:r>
        <w:rPr>
          <w:bCs/>
          <w:sz w:val="28"/>
          <w:szCs w:val="28"/>
          <w:lang w:val="it-IT"/>
        </w:rPr>
        <w:t>); trên cây công nghiệp, cây ăn quả (</w:t>
      </w:r>
      <w:r>
        <w:rPr>
          <w:bCs/>
          <w:i/>
          <w:sz w:val="28"/>
          <w:szCs w:val="28"/>
          <w:lang w:val="it-IT"/>
        </w:rPr>
        <w:t>bệnh khô cành, bệnh gỉ sắt, bọ xít muỗi, rệp, bệnh chết nhanh, bệnh chết chậm, bệnh thán thư...</w:t>
      </w:r>
      <w:r>
        <w:rPr>
          <w:bCs/>
          <w:sz w:val="28"/>
          <w:szCs w:val="28"/>
          <w:lang w:val="it-IT"/>
        </w:rPr>
        <w:t>)</w:t>
      </w:r>
      <w:r>
        <w:rPr>
          <w:bCs/>
          <w:sz w:val="28"/>
          <w:szCs w:val="28"/>
          <w:lang w:val="af-ZA"/>
        </w:rPr>
        <w:t xml:space="preserve">. </w:t>
      </w:r>
      <w:r>
        <w:rPr>
          <w:bCs/>
          <w:sz w:val="28"/>
          <w:szCs w:val="28"/>
          <w:lang w:val="pt-BR"/>
        </w:rPr>
        <w:t>Tiếp tục tăng cường kiểm soát tốt ngăn chặn đối tượng KDTV, sinh vật gây hại đi theo hàng hóa nhập khẩu, đáp ứng yêu cầu KDTV đối với hàng hóa xuất khẩu.</w:t>
      </w:r>
      <w:bookmarkEnd w:id="19"/>
    </w:p>
    <w:p>
      <w:pPr>
        <w:pStyle w:val="Normal"/>
        <w:widowControl w:val="false"/>
        <w:spacing w:before="80" w:after="0"/>
        <w:ind w:firstLine="720"/>
        <w:jc w:val="both"/>
        <w:rPr>
          <w:b/>
          <w:b/>
          <w:sz w:val="28"/>
          <w:szCs w:val="28"/>
          <w:lang w:val="sv-SE"/>
        </w:rPr>
      </w:pPr>
      <w:r>
        <w:rPr>
          <w:b/>
          <w:bCs/>
          <w:sz w:val="28"/>
          <w:szCs w:val="28"/>
          <w:lang w:val="sv-SE"/>
        </w:rPr>
        <w:t>2. Chăn nuôi, thú y</w:t>
      </w:r>
    </w:p>
    <w:p>
      <w:pPr>
        <w:pStyle w:val="Normal"/>
        <w:widowControl w:val="false"/>
        <w:tabs>
          <w:tab w:val="clear" w:pos="720"/>
          <w:tab w:val="left" w:pos="993" w:leader="none"/>
        </w:tabs>
        <w:spacing w:before="80" w:after="0"/>
        <w:ind w:firstLine="720"/>
        <w:jc w:val="both"/>
        <w:rPr/>
      </w:pPr>
      <w:r>
        <w:rPr>
          <w:sz w:val="28"/>
          <w:szCs w:val="28"/>
          <w:lang w:val="sv-SE"/>
        </w:rPr>
        <w:t xml:space="preserve">Tiếp tục chỉ đạo, kiểm tra các địa phương thực hiện các biện pháp tăng cường phòng chống đói, rét cho vật nuôi, khẩn trương khôi phục sản xuất, khắc phục thiệt hại do đợt rét kéo dài tại các tỉnh phía Bắc. </w:t>
      </w:r>
      <w:r>
        <w:rPr>
          <w:sz w:val="28"/>
          <w:szCs w:val="28"/>
          <w:lang w:val="sv-SE" w:eastAsia="ja-JP"/>
        </w:rPr>
        <w:t>Phối hợp với địa phương, doanh nghiệp, người chăn nuôi triển khai kế hoạch b</w:t>
      </w:r>
      <w:r>
        <w:rPr>
          <w:sz w:val="28"/>
          <w:szCs w:val="28"/>
          <w:lang w:val="sv-SE"/>
        </w:rPr>
        <w:t>ảo đảm nguồn cung sản phẩm chăn nuôi cho nhu cầu thị trường; đồng thời, kiểm soát chặt chẽ chất lượng, an toàn thực phẩm sản phẩm chăn nuôi.</w:t>
      </w:r>
    </w:p>
    <w:p>
      <w:pPr>
        <w:pStyle w:val="Normal"/>
        <w:widowControl w:val="false"/>
        <w:tabs>
          <w:tab w:val="clear" w:pos="720"/>
          <w:tab w:val="left" w:pos="993" w:leader="none"/>
        </w:tabs>
        <w:spacing w:before="80" w:after="0"/>
        <w:ind w:firstLine="720"/>
        <w:jc w:val="both"/>
        <w:rPr>
          <w:sz w:val="28"/>
          <w:szCs w:val="28"/>
          <w:lang w:val="sv-SE"/>
        </w:rPr>
      </w:pPr>
      <w:r>
        <w:rPr>
          <w:sz w:val="28"/>
          <w:szCs w:val="28"/>
          <w:lang w:val="sv-SE"/>
        </w:rPr>
        <w:t xml:space="preserve">Kiểm tra, đánh giá kết quả thực hiện quản lý giống vật nuôi; đánh giá chất lượng đàn giống tại các địa phương. Tăng cường chỉ đạo phát triển chăn nuôi an toàn sinh học, an toàn dịch bệnh, chăn nuôi theo quy trình bảo đảm vệ sinh môi trường. </w:t>
      </w:r>
      <w:bookmarkStart w:id="20" w:name="_Hlk65160541"/>
      <w:r>
        <w:rPr>
          <w:sz w:val="28"/>
          <w:szCs w:val="28"/>
          <w:lang w:val="sv-SE"/>
        </w:rPr>
        <w:t>Triển khai các</w:t>
      </w:r>
      <w:r>
        <w:rPr>
          <w:sz w:val="28"/>
          <w:szCs w:val="28"/>
          <w:lang w:val="vi-VN"/>
        </w:rPr>
        <w:t xml:space="preserve"> kênh theo dõi sát diễn biến về </w:t>
      </w:r>
      <w:r>
        <w:rPr>
          <w:sz w:val="28"/>
          <w:szCs w:val="28"/>
          <w:lang w:val="sv-SE"/>
        </w:rPr>
        <w:t xml:space="preserve">thị trường nguyên liệu, </w:t>
      </w:r>
      <w:r>
        <w:rPr>
          <w:sz w:val="28"/>
          <w:szCs w:val="28"/>
          <w:lang w:val="vi-VN"/>
        </w:rPr>
        <w:t>nguồn cung</w:t>
      </w:r>
      <w:r>
        <w:rPr>
          <w:sz w:val="28"/>
          <w:szCs w:val="28"/>
          <w:lang w:val="sv-SE"/>
        </w:rPr>
        <w:t xml:space="preserve"> và</w:t>
      </w:r>
      <w:r>
        <w:rPr>
          <w:sz w:val="28"/>
          <w:szCs w:val="28"/>
          <w:lang w:val="vi-VN"/>
        </w:rPr>
        <w:t xml:space="preserve"> giá nguyên liệu TACN trong nước và trên thế giới, có biện pháp chỉ đạo kịp thời tránh tình trạng</w:t>
      </w:r>
      <w:r>
        <w:rPr>
          <w:sz w:val="28"/>
          <w:szCs w:val="28"/>
          <w:lang w:val="sv-SE"/>
        </w:rPr>
        <w:t xml:space="preserve"> tăng</w:t>
      </w:r>
      <w:r>
        <w:rPr>
          <w:sz w:val="28"/>
          <w:szCs w:val="28"/>
          <w:lang w:val="vi-VN"/>
        </w:rPr>
        <w:t xml:space="preserve"> đột biến về giá</w:t>
      </w:r>
      <w:bookmarkEnd w:id="20"/>
      <w:r>
        <w:rPr>
          <w:sz w:val="28"/>
          <w:szCs w:val="28"/>
        </w:rPr>
        <w:t>; t</w:t>
      </w:r>
      <w:r>
        <w:rPr>
          <w:sz w:val="28"/>
          <w:szCs w:val="28"/>
          <w:lang w:val="nl-NL"/>
        </w:rPr>
        <w:t xml:space="preserve">ăng cường giám sát quản lý chất lượng TACN, sử dụng chất cấm, kháng sinh trong TACN. </w:t>
      </w:r>
    </w:p>
    <w:p>
      <w:pPr>
        <w:pStyle w:val="Normal"/>
        <w:widowControl w:val="false"/>
        <w:spacing w:before="80" w:after="0"/>
        <w:ind w:firstLine="720"/>
        <w:jc w:val="both"/>
        <w:rPr/>
      </w:pPr>
      <w:r>
        <w:rPr>
          <w:sz w:val="28"/>
          <w:szCs w:val="28"/>
          <w:lang w:val="sv-SE"/>
        </w:rPr>
        <w:t xml:space="preserve">Tổ chức trực ban để chỉ đạo công tác phòng chống dịch và kịp thời xử lý các ổ dịch phát sinh. </w:t>
      </w:r>
      <w:r>
        <w:rPr>
          <w:sz w:val="28"/>
          <w:szCs w:val="28"/>
        </w:rPr>
        <w:t xml:space="preserve">Tăng cường </w:t>
      </w:r>
      <w:r>
        <w:rPr>
          <w:sz w:val="28"/>
          <w:szCs w:val="28"/>
          <w:lang w:val="sv-SE"/>
        </w:rPr>
        <w:t>chỉ đạo, kiểm tra thực hiện nghiêm Chỉ thị số 6477/CT-BNN-TY ngày 08/10/2021 về việc tập trung triển khai quyết liệt, đồng bộ các biện pháp phòng, chống dịch bệnh gia súc, gia cầm các tháng cuối năm 2021 và đầu năm 2022</w:t>
      </w:r>
      <w:r>
        <w:rPr>
          <w:sz w:val="28"/>
          <w:szCs w:val="28"/>
        </w:rPr>
        <w:t xml:space="preserve">; </w:t>
      </w:r>
      <w:r>
        <w:rPr>
          <w:sz w:val="28"/>
          <w:szCs w:val="28"/>
          <w:lang w:val="sv-SE"/>
        </w:rPr>
        <w:t xml:space="preserve"> </w:t>
      </w:r>
    </w:p>
    <w:p>
      <w:pPr>
        <w:pStyle w:val="Normal"/>
        <w:widowControl w:val="false"/>
        <w:tabs>
          <w:tab w:val="clear" w:pos="720"/>
          <w:tab w:val="left" w:pos="6837" w:leader="none"/>
        </w:tabs>
        <w:spacing w:before="80" w:after="0"/>
        <w:ind w:firstLine="720"/>
        <w:jc w:val="both"/>
        <w:rPr>
          <w:b/>
          <w:b/>
          <w:sz w:val="28"/>
          <w:szCs w:val="28"/>
          <w:lang w:val="vi-VN"/>
        </w:rPr>
      </w:pPr>
      <w:r>
        <w:rPr>
          <w:b/>
          <w:sz w:val="28"/>
          <w:szCs w:val="28"/>
          <w:lang w:val="vi-VN"/>
        </w:rPr>
        <w:t xml:space="preserve">3. Thuỷ sản </w:t>
        <w:tab/>
      </w:r>
    </w:p>
    <w:p>
      <w:pPr>
        <w:pStyle w:val="Normal"/>
        <w:widowControl w:val="false"/>
        <w:spacing w:before="80" w:after="0"/>
        <w:ind w:firstLine="720"/>
        <w:jc w:val="both"/>
        <w:rPr>
          <w:sz w:val="28"/>
          <w:szCs w:val="28"/>
        </w:rPr>
      </w:pPr>
      <w:r>
        <w:rPr>
          <w:sz w:val="28"/>
          <w:szCs w:val="28"/>
          <w:lang w:val="pt-BR"/>
        </w:rPr>
        <w:t>Tiếp tục hướng dẫn các địa phương t</w:t>
      </w:r>
      <w:r>
        <w:rPr>
          <w:sz w:val="28"/>
          <w:szCs w:val="28"/>
        </w:rPr>
        <w:t>ập trung phát triển nuôi trồng thủy sản các đối tượng nuôi chủ lực có giá trị kinh tế cao theo hướng nâng cao giá trị</w:t>
      </w:r>
      <w:r>
        <w:rPr>
          <w:sz w:val="28"/>
          <w:szCs w:val="28"/>
          <w:lang w:val="pt-BR"/>
        </w:rPr>
        <w:t xml:space="preserve"> thương mại và phát triển bền vững. </w:t>
      </w:r>
      <w:r>
        <w:rPr>
          <w:sz w:val="28"/>
          <w:szCs w:val="28"/>
          <w:lang w:val="vi-VN"/>
        </w:rPr>
        <w:t xml:space="preserve">Dự thảo </w:t>
      </w:r>
      <w:r>
        <w:rPr>
          <w:sz w:val="28"/>
          <w:szCs w:val="28"/>
        </w:rPr>
        <w:t>K</w:t>
      </w:r>
      <w:r>
        <w:rPr>
          <w:sz w:val="28"/>
          <w:szCs w:val="28"/>
          <w:lang w:val="vi-VN"/>
        </w:rPr>
        <w:t xml:space="preserve">ế hoạch triển khai </w:t>
      </w:r>
      <w:r>
        <w:rPr>
          <w:sz w:val="28"/>
          <w:szCs w:val="28"/>
        </w:rPr>
        <w:t xml:space="preserve">Chương trình phát triển nuôi trồng thủy sản giai đoạn 2021-2030; </w:t>
      </w:r>
      <w:r>
        <w:rPr>
          <w:sz w:val="28"/>
          <w:szCs w:val="28"/>
          <w:lang w:val="vi-VN"/>
        </w:rPr>
        <w:t>tổ chức</w:t>
      </w:r>
      <w:r>
        <w:rPr>
          <w:sz w:val="28"/>
          <w:szCs w:val="28"/>
        </w:rPr>
        <w:t xml:space="preserve"> 02</w:t>
      </w:r>
      <w:r>
        <w:rPr>
          <w:sz w:val="28"/>
          <w:szCs w:val="28"/>
          <w:lang w:val="vi-VN"/>
        </w:rPr>
        <w:t xml:space="preserve"> Hội nghị Bàn giải pháp phát triển ngành hàng cá tra</w:t>
      </w:r>
      <w:r>
        <w:rPr>
          <w:sz w:val="28"/>
          <w:szCs w:val="28"/>
        </w:rPr>
        <w:t xml:space="preserve">, tôm </w:t>
      </w:r>
      <w:r>
        <w:rPr>
          <w:sz w:val="28"/>
          <w:szCs w:val="28"/>
          <w:lang w:val="vi-VN"/>
        </w:rPr>
        <w:t>tại Thành phố Cần Thơ</w:t>
      </w:r>
      <w:r>
        <w:rPr>
          <w:sz w:val="28"/>
          <w:szCs w:val="28"/>
        </w:rPr>
        <w:t xml:space="preserve"> và Sóc Trăng.</w:t>
      </w:r>
      <w:r>
        <w:rPr>
          <w:sz w:val="28"/>
          <w:szCs w:val="28"/>
          <w:lang w:val="vi-VN"/>
        </w:rPr>
        <w:t xml:space="preserve"> </w:t>
      </w:r>
    </w:p>
    <w:p>
      <w:pPr>
        <w:pStyle w:val="Normal"/>
        <w:widowControl w:val="false"/>
        <w:spacing w:before="80" w:after="0"/>
        <w:ind w:firstLine="720"/>
        <w:jc w:val="both"/>
        <w:rPr/>
      </w:pPr>
      <w:r>
        <w:rPr>
          <w:sz w:val="28"/>
          <w:szCs w:val="28"/>
          <w:lang w:val="vi-VN"/>
        </w:rPr>
        <w:t xml:space="preserve">Theo dõi, nắm bắt chặt chẽ diễn biến thời tiết, dự báo ngư trường, tình hình khai thác hải sản của ngư dân trên các vùng biển và kịp thời hỗ trợ </w:t>
      </w:r>
      <w:r>
        <w:rPr>
          <w:sz w:val="28"/>
          <w:szCs w:val="28"/>
        </w:rPr>
        <w:t xml:space="preserve">để </w:t>
      </w:r>
      <w:r>
        <w:rPr>
          <w:sz w:val="28"/>
          <w:szCs w:val="28"/>
          <w:lang w:val="vi-VN"/>
        </w:rPr>
        <w:t>ngư dân yên tâm sản xuất an toàn, hiệu quả.</w:t>
      </w:r>
      <w:r>
        <w:rPr>
          <w:sz w:val="28"/>
          <w:szCs w:val="28"/>
        </w:rPr>
        <w:t xml:space="preserve"> H</w:t>
      </w:r>
      <w:r>
        <w:rPr>
          <w:sz w:val="28"/>
          <w:szCs w:val="28"/>
          <w:lang w:val="vi-VN"/>
        </w:rPr>
        <w:t>oàn thiện Chương trình quốc gia Phát triển khai thác thủy sản hiệu quả bền vững giai đoạn 2021-2030</w:t>
      </w:r>
      <w:r>
        <w:rPr>
          <w:sz w:val="28"/>
          <w:szCs w:val="28"/>
        </w:rPr>
        <w:t>. Chuẩn bị đàm phán với phía Trung Quốc về hợp tác nghề cá trong vịnh Bắc Bộ.</w:t>
      </w:r>
    </w:p>
    <w:p>
      <w:pPr>
        <w:pStyle w:val="Normal"/>
        <w:widowControl w:val="false"/>
        <w:shd w:fill="FFFFFF" w:val="clear"/>
        <w:spacing w:before="80" w:after="0"/>
        <w:ind w:firstLine="720"/>
        <w:jc w:val="both"/>
        <w:rPr/>
      </w:pPr>
      <w:r>
        <w:rPr>
          <w:sz w:val="28"/>
          <w:szCs w:val="28"/>
          <w:lang w:val="vi-VN"/>
        </w:rPr>
        <w:t>Phối hợp tổ chức thả giống tái tạo nguồn lợi thủy sản nhân ngày 01/4 tại tỉnh Sóc Trăng</w:t>
      </w:r>
      <w:r>
        <w:rPr>
          <w:sz w:val="28"/>
          <w:szCs w:val="28"/>
        </w:rPr>
        <w:t xml:space="preserve">; </w:t>
      </w:r>
      <w:r>
        <w:rPr>
          <w:sz w:val="28"/>
          <w:szCs w:val="28"/>
          <w:lang w:val="vi-VN"/>
        </w:rPr>
        <w:t xml:space="preserve">phê duyệt Kế hoạch thực hiện Hiệp định </w:t>
      </w:r>
      <w:r>
        <w:rPr>
          <w:sz w:val="28"/>
          <w:szCs w:val="28"/>
        </w:rPr>
        <w:t>đàn</w:t>
      </w:r>
      <w:r>
        <w:rPr>
          <w:sz w:val="28"/>
          <w:szCs w:val="28"/>
          <w:lang w:val="vi-VN"/>
        </w:rPr>
        <w:t xml:space="preserve"> cá di cư xa tại Việt Nam, Kế hoạch hành động quốc gia quản lý và bảo tồn thú biển tại Việt Nam;</w:t>
      </w:r>
      <w:r>
        <w:rPr>
          <w:sz w:val="28"/>
          <w:szCs w:val="28"/>
        </w:rPr>
        <w:t xml:space="preserve"> </w:t>
      </w:r>
      <w:r>
        <w:rPr>
          <w:sz w:val="28"/>
          <w:szCs w:val="28"/>
          <w:lang w:val="vi-VN"/>
        </w:rPr>
        <w:t>trình Thủ tướng Chính phủ về phương án thống nhất lực lượng Kiểm ngư và  Đề án tổng thể phát triển lực lượng Kiểm ngư Việt Nam giai đoạn 2021- 2030</w:t>
      </w:r>
      <w:r>
        <w:rPr>
          <w:sz w:val="28"/>
          <w:szCs w:val="28"/>
        </w:rPr>
        <w:t>.</w:t>
      </w:r>
    </w:p>
    <w:p>
      <w:pPr>
        <w:pStyle w:val="Normal"/>
        <w:widowControl w:val="false"/>
        <w:shd w:fill="FFFFFF" w:val="clear"/>
        <w:spacing w:before="80" w:after="0"/>
        <w:ind w:firstLine="720"/>
        <w:jc w:val="both"/>
        <w:rPr>
          <w:b/>
          <w:b/>
          <w:bCs/>
          <w:sz w:val="28"/>
          <w:szCs w:val="28"/>
          <w:lang w:val="sv-SE"/>
        </w:rPr>
      </w:pPr>
      <w:r>
        <w:rPr>
          <w:b/>
          <w:bCs/>
          <w:sz w:val="28"/>
          <w:szCs w:val="28"/>
          <w:lang w:val="sv-SE"/>
        </w:rPr>
        <w:t xml:space="preserve">4. Lâm nghiệp </w:t>
      </w:r>
    </w:p>
    <w:p>
      <w:pPr>
        <w:pStyle w:val="Normal"/>
        <w:widowControl w:val="false"/>
        <w:shd w:fill="FFFFFF" w:val="clear"/>
        <w:tabs>
          <w:tab w:val="clear" w:pos="720"/>
          <w:tab w:val="left" w:pos="709" w:leader="none"/>
        </w:tabs>
        <w:spacing w:before="80" w:after="0"/>
        <w:ind w:firstLine="720"/>
        <w:jc w:val="both"/>
        <w:rPr>
          <w:sz w:val="28"/>
          <w:szCs w:val="28"/>
        </w:rPr>
      </w:pPr>
      <w:r>
        <w:rPr>
          <w:sz w:val="28"/>
          <w:szCs w:val="28"/>
          <w:lang w:val="pt-BR"/>
        </w:rPr>
        <w:t>Chỉ đạo, đôn đốc các địa phương chuẩn bị cây giống, hiện trường trồng rừng vụ xuân năm 2022, kiểm soát chất lượng giống cây trồng lâm nghiệp</w:t>
      </w:r>
      <w:r>
        <w:rPr>
          <w:sz w:val="28"/>
          <w:szCs w:val="28"/>
        </w:rPr>
        <w:t xml:space="preserve">. </w:t>
      </w:r>
      <w:r>
        <w:rPr>
          <w:sz w:val="28"/>
          <w:szCs w:val="28"/>
          <w:lang w:val="pl-PL"/>
        </w:rPr>
        <w:t>Tiếp tục</w:t>
      </w:r>
      <w:r>
        <w:rPr>
          <w:b/>
          <w:sz w:val="28"/>
          <w:szCs w:val="28"/>
          <w:lang w:val="pl-PL"/>
        </w:rPr>
        <w:t xml:space="preserve"> </w:t>
      </w:r>
      <w:r>
        <w:rPr>
          <w:bCs/>
          <w:sz w:val="28"/>
          <w:szCs w:val="28"/>
          <w:lang w:eastAsia="de-DE"/>
        </w:rPr>
        <w:t>t</w:t>
      </w:r>
      <w:r>
        <w:rPr>
          <w:bCs/>
          <w:sz w:val="28"/>
          <w:szCs w:val="28"/>
          <w:lang w:val="de-DE" w:eastAsia="de-DE"/>
        </w:rPr>
        <w:t>hực hiện các biện pháp PCCCR, bố trí lực lượng thường trực tại các vùng rừng có nguy cơ cháy cao.</w:t>
      </w:r>
      <w:r>
        <w:rPr>
          <w:sz w:val="28"/>
          <w:szCs w:val="28"/>
          <w:lang w:val="vi-VN"/>
        </w:rPr>
        <w:t xml:space="preserve"> </w:t>
      </w:r>
      <w:r>
        <w:rPr>
          <w:sz w:val="28"/>
          <w:szCs w:val="28"/>
        </w:rPr>
        <w:t xml:space="preserve">Đẩy mạnh truyền thông trên </w:t>
      </w:r>
      <w:r>
        <w:rPr>
          <w:sz w:val="28"/>
          <w:szCs w:val="28"/>
          <w:lang w:val="de-DE" w:eastAsia="de-DE"/>
        </w:rPr>
        <w:t>các phương tiện thông tin đại chúng cảnh báo nguy cơ cháy rừng</w:t>
      </w:r>
      <w:r>
        <w:rPr>
          <w:bCs/>
          <w:sz w:val="28"/>
          <w:szCs w:val="28"/>
        </w:rPr>
        <w:t>.</w:t>
      </w:r>
    </w:p>
    <w:p>
      <w:pPr>
        <w:pStyle w:val="Normal"/>
        <w:widowControl w:val="false"/>
        <w:shd w:fill="FFFFFF" w:val="clear"/>
        <w:tabs>
          <w:tab w:val="clear" w:pos="720"/>
          <w:tab w:val="left" w:pos="851" w:leader="none"/>
        </w:tabs>
        <w:spacing w:before="80" w:after="0"/>
        <w:ind w:firstLine="709"/>
        <w:jc w:val="both"/>
        <w:rPr>
          <w:sz w:val="28"/>
          <w:szCs w:val="28"/>
          <w:lang w:val="de-DE" w:eastAsia="de-DE"/>
        </w:rPr>
      </w:pPr>
      <w:r>
        <w:rPr>
          <w:sz w:val="28"/>
          <w:szCs w:val="28"/>
        </w:rPr>
        <w:t>Tiếp tục hoàn thiện</w:t>
      </w:r>
      <w:r>
        <w:rPr>
          <w:sz w:val="28"/>
          <w:szCs w:val="28"/>
          <w:lang w:val="vi-VN"/>
        </w:rPr>
        <w:t xml:space="preserve"> Báo cáo nghiên cứu khả thi Chương trình phát triển Lâm nghiệp bền vững giai đoạn 2021-2025</w:t>
      </w:r>
      <w:r>
        <w:rPr>
          <w:sz w:val="28"/>
          <w:szCs w:val="28"/>
        </w:rPr>
        <w:t xml:space="preserve"> trình TTCP</w:t>
      </w:r>
      <w:r>
        <w:rPr>
          <w:sz w:val="28"/>
          <w:szCs w:val="28"/>
          <w:lang w:val="vi-VN"/>
        </w:rPr>
        <w:t xml:space="preserve">; </w:t>
      </w:r>
      <w:r>
        <w:rPr>
          <w:sz w:val="28"/>
          <w:szCs w:val="28"/>
        </w:rPr>
        <w:t>t</w:t>
      </w:r>
      <w:r>
        <w:rPr>
          <w:sz w:val="28"/>
          <w:szCs w:val="28"/>
          <w:lang w:val="de-DE" w:eastAsia="de-DE"/>
        </w:rPr>
        <w:t>riển khai kế hoạch thực hiện Chiến lược phát triển Lâm nghiệp Việt Nam giai đoạn 2021-2030, tầm nhìn đến năm 2050.</w:t>
      </w:r>
      <w:r>
        <w:rPr>
          <w:sz w:val="28"/>
          <w:szCs w:val="28"/>
        </w:rPr>
        <w:t xml:space="preserve"> Báo cáo Thủ tướng kết quả phát động “Tết trồng cây đời đời nhớ ơn Bác Hồ” Xuân Nhâm Dần năm 2022 và kết quả thực hiện Đề án trồng 1 tỷ cây xanh giai đoạn 2021 - 2025.</w:t>
      </w:r>
    </w:p>
    <w:p>
      <w:pPr>
        <w:pStyle w:val="Normal"/>
        <w:widowControl w:val="false"/>
        <w:spacing w:before="80" w:after="0"/>
        <w:ind w:right="-45" w:firstLine="720"/>
        <w:jc w:val="both"/>
        <w:rPr>
          <w:sz w:val="28"/>
          <w:szCs w:val="28"/>
        </w:rPr>
      </w:pPr>
      <w:r>
        <w:rPr>
          <w:sz w:val="28"/>
          <w:szCs w:val="28"/>
        </w:rPr>
        <w:t>Hoàn thiện Đề án phát triển ngành công nghiệp chế biến gỗ bền vững, hiệu quả giai đoạn 2021-2030. Chuẩn bị tổ chức Hội nghị trực tuyến với các địa phương về triển khai hoạt động Lâm nghiệp năm 2022; Hội nghị phát triển vùng nguyên liệu gỗ rừng trồng.</w:t>
      </w:r>
    </w:p>
    <w:p>
      <w:pPr>
        <w:pStyle w:val="Normal"/>
        <w:widowControl w:val="false"/>
        <w:spacing w:before="80" w:after="0"/>
        <w:ind w:right="-45" w:firstLine="720"/>
        <w:jc w:val="both"/>
        <w:rPr>
          <w:b/>
          <w:b/>
          <w:sz w:val="28"/>
          <w:szCs w:val="28"/>
          <w:lang w:val="sv-SE"/>
        </w:rPr>
      </w:pPr>
      <w:r>
        <w:rPr>
          <w:b/>
          <w:sz w:val="28"/>
          <w:szCs w:val="28"/>
          <w:lang w:val="sv-SE"/>
        </w:rPr>
      </w:r>
    </w:p>
    <w:p>
      <w:pPr>
        <w:pStyle w:val="Normal"/>
        <w:widowControl w:val="false"/>
        <w:spacing w:before="80" w:after="0"/>
        <w:ind w:right="-45" w:firstLine="720"/>
        <w:jc w:val="both"/>
        <w:rPr>
          <w:b/>
          <w:b/>
          <w:sz w:val="28"/>
          <w:szCs w:val="28"/>
          <w:lang w:val="sv-SE"/>
        </w:rPr>
      </w:pPr>
      <w:r>
        <w:rPr>
          <w:b/>
          <w:sz w:val="28"/>
          <w:szCs w:val="28"/>
          <w:lang w:val="sv-SE"/>
        </w:rPr>
        <w:t>5. Thủy lợi, phòng chống thiên tai</w:t>
      </w:r>
    </w:p>
    <w:p>
      <w:pPr>
        <w:pStyle w:val="Normal"/>
        <w:widowControl w:val="false"/>
        <w:spacing w:before="80" w:after="0"/>
        <w:ind w:firstLine="720"/>
        <w:jc w:val="both"/>
        <w:rPr/>
      </w:pPr>
      <w:bookmarkStart w:id="21" w:name="_Hlk62819938"/>
      <w:bookmarkStart w:id="22" w:name="_Hlk57618114"/>
      <w:bookmarkStart w:id="23" w:name="_Hlk54712029"/>
      <w:bookmarkEnd w:id="21"/>
      <w:r>
        <w:rPr>
          <w:sz w:val="28"/>
          <w:szCs w:val="28"/>
        </w:rPr>
        <w:t xml:space="preserve">Theo dõi chặt chẽ tình hình thời tiết, nguồn nước để chỉ đạo ứng phó kịp thời, </w:t>
      </w:r>
      <w:bookmarkEnd w:id="23"/>
      <w:r>
        <w:rPr>
          <w:sz w:val="28"/>
          <w:szCs w:val="28"/>
        </w:rPr>
        <w:t xml:space="preserve">hỗ trợ các cấp chính quyền và người dân chủ động phòng tránh thiên tai; </w:t>
      </w:r>
      <w:bookmarkEnd w:id="22"/>
      <w:r>
        <w:rPr>
          <w:sz w:val="28"/>
          <w:szCs w:val="28"/>
        </w:rPr>
        <w:t>Chỉ đạo các địa phương tăng cường công tác quản lý, vận hành đảm bảo an toàn đập, hồ chứa thủy lợi, tăng cường các giải pháp phòng, chống thiên tai</w:t>
      </w:r>
      <w:r>
        <w:rPr>
          <w:sz w:val="28"/>
          <w:szCs w:val="28"/>
          <w:shd w:fill="FFFFFF" w:val="clear"/>
        </w:rPr>
        <w:t xml:space="preserve"> hiệu quả, giảm thiểu thiệt hại đến mức thấp nhất cho kinh tế, sản xuất, đời sống người dân.</w:t>
      </w:r>
      <w:r>
        <w:rPr>
          <w:b/>
          <w:sz w:val="28"/>
          <w:szCs w:val="28"/>
          <w:shd w:fill="FFFFFF" w:val="clear"/>
        </w:rPr>
        <w:t xml:space="preserve"> </w:t>
      </w:r>
    </w:p>
    <w:p>
      <w:pPr>
        <w:pStyle w:val="Normal"/>
        <w:widowControl w:val="false"/>
        <w:spacing w:before="80" w:after="0"/>
        <w:ind w:firstLine="567"/>
        <w:jc w:val="both"/>
        <w:rPr>
          <w:spacing w:val="-2"/>
          <w:sz w:val="28"/>
          <w:szCs w:val="28"/>
          <w:lang w:val="af-ZA"/>
        </w:rPr>
      </w:pPr>
      <w:r>
        <w:rPr>
          <w:rStyle w:val="Fontstyle01"/>
          <w:rFonts w:cs="Times New Roman"/>
          <w:color w:val="000000"/>
        </w:rPr>
        <w:t xml:space="preserve">Xây dựng đề cương Nghị định sửa đổi, bổ sung một số điều của Nghị định số 02/2017/NĐ-CP ngày 09/01/2017 của Chính phủ về cơ chế, chính sách hỗ trợ sản xuất nông nghiệp để khôi phục sản xuất vùng bị thiệt hại do thiên tai, dịch bệnh… </w:t>
      </w:r>
      <w:r>
        <w:rPr>
          <w:spacing w:val="-2"/>
          <w:sz w:val="28"/>
          <w:szCs w:val="28"/>
          <w:lang w:val="af-ZA"/>
        </w:rPr>
        <w:t xml:space="preserve">Tổ chức Hội nghị nâng cao năng lực cộng đồng về PCTT gắn với xây dựng nông thôn mới; chuẩn bị tổ chức </w:t>
      </w:r>
      <w:r>
        <w:rPr>
          <w:sz w:val="28"/>
          <w:szCs w:val="28"/>
        </w:rPr>
        <w:t xml:space="preserve">Hội nghị về giải pháp PCTT khu vực miền Trung và Tây Nguyên, Hội nghị về nhà ở an toàn trước </w:t>
      </w:r>
      <w:r>
        <w:rPr>
          <w:spacing w:val="-4"/>
          <w:sz w:val="28"/>
          <w:szCs w:val="28"/>
        </w:rPr>
        <w:t>thiên tai, nhà cộng đồng phòng chống thiên tai, an toàn khu dân cư vùng thiên tai…</w:t>
      </w:r>
    </w:p>
    <w:p>
      <w:pPr>
        <w:pStyle w:val="Normal"/>
        <w:widowControl w:val="false"/>
        <w:spacing w:before="80" w:after="0"/>
        <w:ind w:firstLine="720"/>
        <w:jc w:val="both"/>
        <w:rPr>
          <w:sz w:val="28"/>
          <w:szCs w:val="28"/>
        </w:rPr>
      </w:pPr>
      <w:bookmarkStart w:id="24" w:name="_Hlk62819938"/>
      <w:bookmarkEnd w:id="24"/>
      <w:r>
        <w:rPr>
          <w:sz w:val="28"/>
          <w:szCs w:val="28"/>
        </w:rPr>
        <w:t xml:space="preserve">Kiểm tra, đôn đốc các địa phương thực hiện các giải pháp ứng phó đối với tình hình xâm nhập mặn tại Đồng bằng sông Cửu Long. </w:t>
      </w:r>
      <w:r>
        <w:rPr>
          <w:sz w:val="28"/>
          <w:szCs w:val="28"/>
          <w:lang w:val="sv-SE"/>
        </w:rPr>
        <w:t xml:space="preserve">Khẩn trương hoàn thiện </w:t>
      </w:r>
      <w:r>
        <w:rPr>
          <w:sz w:val="28"/>
          <w:szCs w:val="28"/>
          <w:lang w:val="vi-VN"/>
        </w:rPr>
        <w:t>Đề án An ninh nguồn nước và an toàn đập, hồ chứa nước giai đoạn 2021 - 2030, tầm nhìn đến năm 2045</w:t>
      </w:r>
      <w:r>
        <w:rPr>
          <w:sz w:val="28"/>
          <w:szCs w:val="28"/>
          <w:lang w:val="sv-SE"/>
        </w:rPr>
        <w:t>. Chuẩn bị tổ chức Hội nghị về quy trình vận hành liên hồ chứa trên các lưu vực sông; Hội thảo về công tác phòng chống hạn hán, thiếu nước và xâm nhập mặn vùng Đồng bằng sông Cửu Long.</w:t>
      </w:r>
    </w:p>
    <w:p>
      <w:pPr>
        <w:pStyle w:val="Default"/>
        <w:widowControl w:val="false"/>
        <w:tabs>
          <w:tab w:val="clear" w:pos="720"/>
          <w:tab w:val="left" w:pos="6855" w:leader="none"/>
        </w:tabs>
        <w:spacing w:before="80" w:after="0"/>
        <w:ind w:firstLine="709"/>
        <w:jc w:val="both"/>
        <w:rPr>
          <w:b/>
          <w:b/>
          <w:bCs/>
          <w:color w:val="000000"/>
          <w:sz w:val="28"/>
          <w:szCs w:val="28"/>
        </w:rPr>
      </w:pPr>
      <w:r>
        <w:rPr>
          <w:b/>
          <w:bCs/>
          <w:color w:val="000000"/>
          <w:sz w:val="28"/>
          <w:szCs w:val="28"/>
          <w:lang w:val="nb-NO"/>
        </w:rPr>
        <w:t>6</w:t>
      </w:r>
      <w:r>
        <w:rPr>
          <w:b/>
          <w:bCs/>
          <w:color w:val="000000"/>
          <w:sz w:val="28"/>
          <w:szCs w:val="28"/>
          <w:lang w:val="vi-VN"/>
        </w:rPr>
        <w:t xml:space="preserve">. </w:t>
      </w:r>
      <w:bookmarkStart w:id="25" w:name="_Hlk83830014"/>
      <w:r>
        <w:rPr>
          <w:b/>
          <w:bCs/>
          <w:color w:val="000000"/>
          <w:sz w:val="28"/>
          <w:szCs w:val="28"/>
          <w:lang w:val="vi-VN"/>
        </w:rPr>
        <w:t xml:space="preserve">Hợp tác quốc tế và </w:t>
      </w:r>
      <w:r>
        <w:rPr>
          <w:b/>
          <w:bCs/>
          <w:color w:val="000000"/>
          <w:sz w:val="28"/>
          <w:szCs w:val="28"/>
          <w:lang w:val="nb-NO"/>
        </w:rPr>
        <w:t>phát triển thị trường</w:t>
      </w:r>
      <w:bookmarkEnd w:id="25"/>
      <w:r>
        <w:rPr>
          <w:b/>
          <w:bCs/>
          <w:color w:val="000000"/>
          <w:sz w:val="28"/>
          <w:szCs w:val="28"/>
          <w:lang w:val="vi-VN"/>
        </w:rPr>
        <w:t xml:space="preserve"> </w:t>
      </w:r>
    </w:p>
    <w:p>
      <w:pPr>
        <w:pStyle w:val="Normal"/>
        <w:widowControl w:val="false"/>
        <w:tabs>
          <w:tab w:val="clear" w:pos="720"/>
          <w:tab w:val="left" w:pos="709" w:leader="none"/>
        </w:tabs>
        <w:spacing w:before="80" w:after="0"/>
        <w:jc w:val="both"/>
        <w:rPr>
          <w:sz w:val="28"/>
          <w:szCs w:val="28"/>
          <w:lang w:val="es-ES"/>
        </w:rPr>
      </w:pPr>
      <w:r>
        <w:rPr>
          <w:bCs/>
          <w:iCs/>
          <w:sz w:val="28"/>
          <w:szCs w:val="28"/>
          <w:lang w:val="es-ES"/>
        </w:rPr>
        <w:tab/>
      </w:r>
      <w:bookmarkStart w:id="26" w:name="_Hlk83738554"/>
      <w:bookmarkStart w:id="27" w:name="_Hlk65160840"/>
      <w:r>
        <w:rPr>
          <w:rFonts w:eastAsia="Batang;바탕"/>
          <w:sz w:val="28"/>
          <w:szCs w:val="28"/>
          <w:lang w:val="es-ES" w:eastAsia="ko-KR"/>
        </w:rPr>
        <w:t xml:space="preserve">Tiếp tục theo dõi, nắm bắt và tổng hợp thông tin, số liệu về giá cả, tình hình sản xuất và nguồn cung các mặt hàng nông sản tại các địa phương trong nước trong điều kiện mới và tăng cường hỗ trợ kết nối, thúc đẩy chế biến, tiêu thụ trong nước. </w:t>
      </w:r>
      <w:bookmarkEnd w:id="27"/>
      <w:r>
        <w:rPr>
          <w:sz w:val="28"/>
          <w:szCs w:val="28"/>
          <w:lang w:val="es-ES"/>
        </w:rPr>
        <w:t xml:space="preserve">Đẩy mạnh hoạt động của 02 </w:t>
      </w:r>
      <w:r>
        <w:rPr>
          <w:bCs/>
          <w:sz w:val="28"/>
          <w:szCs w:val="28"/>
          <w:lang w:val="es-ES"/>
        </w:rPr>
        <w:t xml:space="preserve">Tổ công tác; </w:t>
      </w:r>
      <w:r>
        <w:rPr>
          <w:sz w:val="28"/>
          <w:szCs w:val="28"/>
          <w:lang w:val="es-ES"/>
        </w:rPr>
        <w:t xml:space="preserve">tiếp tục tổ chức các Hội nghị, diễn đàn Kết nối cung cầu 970. </w:t>
      </w:r>
      <w:bookmarkEnd w:id="26"/>
      <w:r>
        <w:rPr>
          <w:sz w:val="28"/>
          <w:szCs w:val="28"/>
          <w:lang w:val="es-ES"/>
        </w:rPr>
        <w:t xml:space="preserve">Triển khai cập nhật hệ thống phần mềm dữ liệu cung cầu nông sản từ địa phương. Tiếp tục </w:t>
      </w:r>
      <w:r>
        <w:rPr>
          <w:sz w:val="28"/>
          <w:szCs w:val="28"/>
          <w:lang w:val="it-IT"/>
        </w:rPr>
        <w:t>tháo gỡ khó khăn tiêu thụ, xuất khẩu nông sản tại địa phương sản xuất nông nghiệp trọng điểm và tại các cửa khẩu chính với Trung Quốc.</w:t>
      </w:r>
    </w:p>
    <w:p>
      <w:pPr>
        <w:pStyle w:val="Normal"/>
        <w:widowControl w:val="false"/>
        <w:tabs>
          <w:tab w:val="clear" w:pos="720"/>
          <w:tab w:val="left" w:pos="709" w:leader="none"/>
        </w:tabs>
        <w:spacing w:before="80" w:after="0"/>
        <w:jc w:val="both"/>
        <w:rPr>
          <w:sz w:val="28"/>
          <w:szCs w:val="28"/>
          <w:lang w:val="es-ES"/>
        </w:rPr>
      </w:pPr>
      <w:r>
        <w:rPr>
          <w:sz w:val="28"/>
          <w:szCs w:val="28"/>
          <w:lang w:val="es-ES"/>
        </w:rPr>
        <w:tab/>
      </w:r>
      <w:bookmarkStart w:id="28" w:name="_Hlk83738571"/>
      <w:r>
        <w:rPr>
          <w:sz w:val="28"/>
          <w:szCs w:val="28"/>
          <w:lang w:val="es-ES"/>
        </w:rPr>
        <w:t xml:space="preserve">Tiếp tục thúc đẩy mở cửa thị trường nông sản với các nước; kịp thời cung cấp các thông tin, các quy định thị trường, kiểm soát xuất nhập khẩu Việt Nam-Trung Quốc. </w:t>
      </w:r>
      <w:r>
        <w:rPr>
          <w:rFonts w:eastAsia="Batang;바탕"/>
          <w:sz w:val="28"/>
          <w:szCs w:val="28"/>
          <w:lang w:val="es-ES" w:eastAsia="ko-KR"/>
        </w:rPr>
        <w:t>Chuẩn bị ký kết hợp tác nông nghiệp Siera Leone; Tổ chức Pháp ngữ; làm việc song phương với  Đức, Pháp, Tây Ban Nha, Ả rập Xê út, Ba Lan, New Zealand. Xây dựng Đề án thúc đẩy xuất khẩu nông sản sang các thị trường Trung Quốc, Mỹ, Nhật Bản.</w:t>
      </w:r>
    </w:p>
    <w:p>
      <w:pPr>
        <w:pStyle w:val="Normal"/>
        <w:widowControl w:val="false"/>
        <w:tabs>
          <w:tab w:val="clear" w:pos="720"/>
          <w:tab w:val="left" w:pos="560" w:leader="none"/>
        </w:tabs>
        <w:autoSpaceDE w:val="false"/>
        <w:spacing w:before="80" w:after="0"/>
        <w:ind w:right="-90" w:firstLine="709"/>
        <w:jc w:val="both"/>
        <w:rPr>
          <w:sz w:val="28"/>
          <w:szCs w:val="28"/>
        </w:rPr>
      </w:pPr>
      <w:bookmarkEnd w:id="28"/>
      <w:r>
        <w:rPr>
          <w:sz w:val="28"/>
          <w:szCs w:val="28"/>
        </w:rPr>
        <w:t xml:space="preserve">Tiếp tục tổng hợp các thông báo và cảnh báo từ các đối tác thương mại và các nước thành viên WTO; </w:t>
      </w:r>
      <w:r>
        <w:rPr>
          <w:sz w:val="28"/>
          <w:szCs w:val="28"/>
          <w:lang w:val="vi-VN"/>
        </w:rPr>
        <w:t xml:space="preserve">tổng hợp ý kiến của </w:t>
      </w:r>
      <w:r>
        <w:rPr>
          <w:sz w:val="28"/>
          <w:szCs w:val="28"/>
        </w:rPr>
        <w:t>doanh nghiệp</w:t>
      </w:r>
      <w:r>
        <w:rPr>
          <w:sz w:val="28"/>
          <w:szCs w:val="28"/>
          <w:lang w:val="vi-VN"/>
        </w:rPr>
        <w:t xml:space="preserve"> về vướng mắc đăng ký </w:t>
      </w:r>
      <w:r>
        <w:rPr>
          <w:sz w:val="28"/>
          <w:szCs w:val="28"/>
        </w:rPr>
        <w:t>doanh nghiệp</w:t>
      </w:r>
      <w:r>
        <w:rPr>
          <w:sz w:val="28"/>
          <w:szCs w:val="28"/>
          <w:lang w:val="vi-VN"/>
        </w:rPr>
        <w:t xml:space="preserve"> với </w:t>
      </w:r>
      <w:r>
        <w:rPr>
          <w:sz w:val="28"/>
          <w:szCs w:val="28"/>
        </w:rPr>
        <w:t>Trung Quốc</w:t>
      </w:r>
      <w:r>
        <w:rPr>
          <w:sz w:val="28"/>
          <w:szCs w:val="28"/>
          <w:lang w:val="vi-VN"/>
        </w:rPr>
        <w:t xml:space="preserve"> và kiến nghị tháo gỡ vướng mắc với TCHQTQ </w:t>
      </w:r>
      <w:r>
        <w:rPr>
          <w:sz w:val="28"/>
          <w:szCs w:val="28"/>
        </w:rPr>
        <w:t xml:space="preserve">phù hợp quy định </w:t>
      </w:r>
      <w:r>
        <w:rPr>
          <w:sz w:val="28"/>
          <w:szCs w:val="28"/>
          <w:lang w:val="vi-VN"/>
        </w:rPr>
        <w:t>Lệnh 248, 249.</w:t>
      </w:r>
      <w:r>
        <w:rPr>
          <w:sz w:val="28"/>
          <w:szCs w:val="28"/>
        </w:rPr>
        <w:t xml:space="preserve"> </w:t>
      </w:r>
      <w:r>
        <w:rPr>
          <w:sz w:val="28"/>
          <w:szCs w:val="28"/>
          <w:lang w:val="vi-VN"/>
        </w:rPr>
        <w:t>Làm việc với đại diện EU về giải pháp và thời hạn tháo gỡ khó khăn về tần xuất kiểm tra nông sản thực phẩm của Việt Nam (thanh long và mỳ ăn liền) sang EU</w:t>
      </w:r>
      <w:r>
        <w:rPr>
          <w:sz w:val="28"/>
          <w:szCs w:val="28"/>
        </w:rPr>
        <w:t xml:space="preserve">; </w:t>
      </w:r>
      <w:r>
        <w:rPr>
          <w:sz w:val="28"/>
          <w:szCs w:val="28"/>
          <w:lang w:val="vi-VN"/>
        </w:rPr>
        <w:t>thành lập Đoàn ra kỳ họp 82 của Ủy ban SPS/WTO</w:t>
      </w:r>
      <w:r>
        <w:rPr>
          <w:sz w:val="28"/>
          <w:szCs w:val="28"/>
        </w:rPr>
        <w:t>.</w:t>
      </w:r>
    </w:p>
    <w:p>
      <w:pPr>
        <w:pStyle w:val="Normal"/>
        <w:widowControl w:val="false"/>
        <w:tabs>
          <w:tab w:val="clear" w:pos="720"/>
          <w:tab w:val="left" w:pos="7605" w:leader="none"/>
        </w:tabs>
        <w:spacing w:before="80" w:after="0"/>
        <w:ind w:firstLine="720"/>
        <w:jc w:val="both"/>
        <w:rPr/>
      </w:pPr>
      <w:r>
        <w:rPr>
          <w:rStyle w:val="StrongEmphasis"/>
          <w:sz w:val="28"/>
          <w:szCs w:val="28"/>
        </w:rPr>
        <w:t>7. Quản lý chất lượng và an toàn vệ sinh thực phẩm</w:t>
        <w:tab/>
      </w:r>
    </w:p>
    <w:p>
      <w:pPr>
        <w:pStyle w:val="Normal"/>
        <w:widowControl w:val="false"/>
        <w:spacing w:before="80" w:after="0"/>
        <w:ind w:firstLine="720"/>
        <w:jc w:val="both"/>
        <w:rPr>
          <w:sz w:val="28"/>
          <w:szCs w:val="28"/>
          <w:lang w:val="sv-SE"/>
        </w:rPr>
      </w:pPr>
      <w:r>
        <w:rPr>
          <w:sz w:val="28"/>
          <w:szCs w:val="28"/>
          <w:lang w:val="it-IT"/>
        </w:rPr>
        <w:t xml:space="preserve">Đôn đốc các địa phương tiếp tục triển khai nghiêm công tác bảo đảm an toàn thực phẩm mùa Lễ hội Xuân 2022; </w:t>
      </w:r>
      <w:r>
        <w:rPr>
          <w:sz w:val="28"/>
          <w:szCs w:val="28"/>
          <w:lang w:val="sv-SE"/>
        </w:rPr>
        <w:t xml:space="preserve">hướng dẫn, hỗ trợ doanh nghiệp khôi phục sản xuất kinh doanh đảm bảo chất lượng, an toàn thực phẩm và phòng chống Covid trong tình hình mới. </w:t>
      </w:r>
    </w:p>
    <w:p>
      <w:pPr>
        <w:pStyle w:val="Normal"/>
        <w:widowControl w:val="false"/>
        <w:spacing w:before="80" w:after="0"/>
        <w:ind w:firstLine="720"/>
        <w:jc w:val="both"/>
        <w:rPr/>
      </w:pPr>
      <w:r>
        <w:rPr>
          <w:sz w:val="28"/>
          <w:szCs w:val="28"/>
          <w:lang w:val="pt-BR"/>
        </w:rPr>
        <w:t>H</w:t>
      </w:r>
      <w:r>
        <w:rPr>
          <w:sz w:val="28"/>
          <w:szCs w:val="28"/>
        </w:rPr>
        <w:t xml:space="preserve">ướng dẫn các địa phương </w:t>
      </w:r>
      <w:r>
        <w:rPr>
          <w:sz w:val="28"/>
          <w:szCs w:val="28"/>
          <w:lang w:val="sv-SE"/>
        </w:rPr>
        <w:t>tập trung nguồn lực t</w:t>
      </w:r>
      <w:r>
        <w:rPr>
          <w:bCs/>
          <w:sz w:val="28"/>
          <w:szCs w:val="28"/>
          <w:lang w:val="nl-NL"/>
        </w:rPr>
        <w:t xml:space="preserve">iếp tục nhân rộng số lượng, mở rộng quy mô chuỗi cung ứng nông lâm thủy sản an toàn; </w:t>
      </w:r>
      <w:r>
        <w:rPr>
          <w:sz w:val="28"/>
          <w:szCs w:val="28"/>
          <w:lang w:val="sv-SE"/>
        </w:rPr>
        <w:t xml:space="preserve">vận động cơ sở sản xuất, sơ chế, kinh doanh nhỏ lẻ ký cam kết và tuân thủ quy định ATTP theo </w:t>
      </w:r>
      <w:r>
        <w:rPr>
          <w:sz w:val="28"/>
          <w:szCs w:val="28"/>
          <w:lang w:val="it-IT"/>
        </w:rPr>
        <w:t xml:space="preserve">Thông tư 17/2018/TT-BNNPTNT và </w:t>
      </w:r>
      <w:r>
        <w:rPr>
          <w:bCs/>
          <w:sz w:val="28"/>
          <w:szCs w:val="28"/>
          <w:lang w:val="vi-VN"/>
        </w:rPr>
        <w:t>thẩm định, chứng nhận cơ sở sản xuất, kinh doanh</w:t>
      </w:r>
      <w:r>
        <w:rPr>
          <w:bCs/>
          <w:sz w:val="28"/>
          <w:szCs w:val="28"/>
          <w:lang w:val="nl-NL"/>
        </w:rPr>
        <w:t xml:space="preserve"> thực phẩm </w:t>
      </w:r>
      <w:r>
        <w:rPr>
          <w:bCs/>
          <w:sz w:val="28"/>
          <w:szCs w:val="28"/>
          <w:lang w:val="vi-VN"/>
        </w:rPr>
        <w:t>nông lâm thủy sản đủ điều kiện an toàn thực phẩm</w:t>
      </w:r>
      <w:r>
        <w:rPr>
          <w:sz w:val="28"/>
          <w:szCs w:val="28"/>
          <w:lang w:val="it-IT"/>
        </w:rPr>
        <w:t xml:space="preserve"> theo </w:t>
      </w:r>
      <w:r>
        <w:rPr>
          <w:sz w:val="28"/>
          <w:szCs w:val="28"/>
          <w:lang w:val="sv-SE"/>
        </w:rPr>
        <w:t>Thông tư số 38/2018/TT-BNNPTNT theo hình thức trực tiếp, trực tuyến phù hợp trong bối cảnh COVID-19</w:t>
      </w:r>
      <w:r>
        <w:rPr>
          <w:bCs/>
          <w:sz w:val="28"/>
          <w:szCs w:val="28"/>
          <w:lang w:val="nl-NL"/>
        </w:rPr>
        <w:t xml:space="preserve">. </w:t>
      </w:r>
    </w:p>
    <w:p>
      <w:pPr>
        <w:pStyle w:val="Normal"/>
        <w:widowControl w:val="false"/>
        <w:spacing w:before="80" w:after="0"/>
        <w:ind w:firstLine="720"/>
        <w:jc w:val="both"/>
        <w:rPr>
          <w:sz w:val="28"/>
          <w:szCs w:val="28"/>
          <w:lang w:val="it-IT"/>
        </w:rPr>
      </w:pPr>
      <w:r>
        <w:rPr>
          <w:sz w:val="28"/>
          <w:szCs w:val="28"/>
          <w:lang w:val="nl-NL"/>
        </w:rPr>
        <w:t>D</w:t>
      </w:r>
      <w:r>
        <w:rPr>
          <w:sz w:val="28"/>
          <w:szCs w:val="28"/>
          <w:lang w:val="sv-SE"/>
        </w:rPr>
        <w:t xml:space="preserve">uy trì triển khai các chương trình giám sát vệ sinh ATTP nông lâm thủy sản trong bối cảnh COVID-19 để kịp thời cảnh báo, xử lý vi phạm theo quy định. </w:t>
      </w:r>
      <w:r>
        <w:rPr>
          <w:bCs/>
          <w:sz w:val="28"/>
          <w:szCs w:val="28"/>
          <w:lang w:val="sv-SE"/>
        </w:rPr>
        <w:t xml:space="preserve">Chủ động tiếp nhận thông tin, </w:t>
      </w:r>
      <w:r>
        <w:rPr>
          <w:bCs/>
          <w:sz w:val="28"/>
          <w:szCs w:val="28"/>
          <w:lang w:val="nl-NL"/>
        </w:rPr>
        <w:t xml:space="preserve">thanh tra đột xuất, xử lý kịp thời, nghiêm túc các vi phạm về ATTP. </w:t>
      </w:r>
      <w:r>
        <w:rPr>
          <w:bCs/>
          <w:iCs/>
          <w:sz w:val="28"/>
          <w:szCs w:val="28"/>
          <w:lang w:val="sv-SE"/>
        </w:rPr>
        <w:t>Cung cấp kịp thời, chính xác cho các Báo,</w:t>
      </w:r>
      <w:r>
        <w:rPr>
          <w:sz w:val="28"/>
          <w:szCs w:val="28"/>
          <w:lang w:val="nl-NL"/>
        </w:rPr>
        <w:t xml:space="preserve"> Đài thông tin quản lý chất lượng vật tư nông nghiệp, đảm bảo ATTP nông lâm thủy sản; </w:t>
      </w:r>
      <w:r>
        <w:rPr>
          <w:sz w:val="28"/>
          <w:szCs w:val="28"/>
          <w:lang w:val="sv-SE"/>
        </w:rPr>
        <w:t>phối hợp phổ biến pháp luật chất lượng, ATTP, truyền thông quảng bá sản xuất, kinh doanh nông lâm thủy sản đảm bảo chất lượng, an toàn.</w:t>
      </w:r>
    </w:p>
    <w:p>
      <w:pPr>
        <w:pStyle w:val="Normal"/>
        <w:widowControl w:val="false"/>
        <w:spacing w:before="80" w:after="0"/>
        <w:ind w:firstLine="720"/>
        <w:jc w:val="both"/>
        <w:rPr/>
      </w:pPr>
      <w:r>
        <w:rPr>
          <w:b/>
          <w:sz w:val="28"/>
          <w:szCs w:val="28"/>
          <w:lang w:val="nb-NO"/>
        </w:rPr>
        <w:t>8. Phát triển nông thôn và xây dựng nông thôn mới</w:t>
      </w:r>
    </w:p>
    <w:p>
      <w:pPr>
        <w:pStyle w:val="Normal"/>
        <w:widowControl w:val="false"/>
        <w:tabs>
          <w:tab w:val="clear" w:pos="720"/>
          <w:tab w:val="left" w:pos="709" w:leader="none"/>
        </w:tabs>
        <w:spacing w:before="80" w:after="0"/>
        <w:ind w:firstLine="720"/>
        <w:jc w:val="both"/>
        <w:rPr/>
      </w:pPr>
      <w:r>
        <w:rPr>
          <w:sz w:val="28"/>
          <w:szCs w:val="28"/>
        </w:rPr>
        <w:t>Hoàn thiện và trình Chính phủ phê duyệt “</w:t>
      </w:r>
      <w:r>
        <w:rPr>
          <w:iCs/>
          <w:sz w:val="28"/>
          <w:szCs w:val="28"/>
          <w:lang w:val="vi-VN"/>
        </w:rPr>
        <w:t xml:space="preserve">Đề án </w:t>
      </w:r>
      <w:r>
        <w:rPr>
          <w:iCs/>
          <w:sz w:val="28"/>
          <w:szCs w:val="28"/>
        </w:rPr>
        <w:t xml:space="preserve">nâng cao năng lực thích ứng với Biến đổi khí hậu cho </w:t>
      </w:r>
      <w:r>
        <w:rPr>
          <w:iCs/>
          <w:sz w:val="28"/>
          <w:szCs w:val="28"/>
          <w:lang w:val="vi-VN"/>
        </w:rPr>
        <w:t xml:space="preserve">hợp tác xã nông vùng Đồng bằng </w:t>
      </w:r>
      <w:r>
        <w:rPr>
          <w:iCs/>
          <w:sz w:val="28"/>
          <w:szCs w:val="28"/>
        </w:rPr>
        <w:t>sông Cửu Long</w:t>
      </w:r>
      <w:r>
        <w:rPr>
          <w:iCs/>
          <w:sz w:val="28"/>
          <w:szCs w:val="28"/>
          <w:lang w:val="vi-VN"/>
        </w:rPr>
        <w:t xml:space="preserve"> giai đoạn 2021-2025</w:t>
      </w:r>
      <w:r>
        <w:rPr>
          <w:iCs/>
          <w:sz w:val="28"/>
          <w:szCs w:val="28"/>
        </w:rPr>
        <w:t xml:space="preserve">”; </w:t>
      </w:r>
      <w:r>
        <w:rPr>
          <w:bCs/>
          <w:iCs/>
          <w:sz w:val="28"/>
          <w:szCs w:val="28"/>
        </w:rPr>
        <w:t xml:space="preserve">Nghị quyết của Chính phủ về phát triển HTX nông nghiệp phục vụ cơ cấu lại ngành nông nghiệp và xây dựng nông thôn </w:t>
      </w:r>
      <w:r>
        <w:rPr>
          <w:iCs/>
          <w:sz w:val="28"/>
          <w:szCs w:val="28"/>
        </w:rPr>
        <w:t>mới. Tiếp tục chỉnh sửa bổ sung hoàn thành nội dung Đề án thí điểm xây dựng vùng nguyên liệu nông, lâm sản đạt chuẩn phục vụ tiêu thụ trong nước và xuất khẩu giai đoạn 2021-2025. Phối hợp với Bộ Quốc phòng làm rõ sự cần thiết và cơ sở pháp lý việc bổ sung các khu kinh tế - quốc phòng vào phạm vi thực  hiện Chương trình bố trí dân cư giai đoạn 2021-2025, định hướng đến năm 2030. Hoàn thiện và trình Chính phủ Đề án Đào tạo nghề nông nghiệp cho lao động nông thôn báo cáo Lãnh đạo Bộ để vào trong tháng 3 năm 2022.</w:t>
      </w:r>
    </w:p>
    <w:p>
      <w:pPr>
        <w:pStyle w:val="Normal"/>
        <w:widowControl w:val="false"/>
        <w:tabs>
          <w:tab w:val="clear" w:pos="720"/>
          <w:tab w:val="left" w:pos="709" w:leader="none"/>
        </w:tabs>
        <w:spacing w:before="80" w:after="0"/>
        <w:ind w:firstLine="720"/>
        <w:jc w:val="both"/>
        <w:rPr>
          <w:bCs/>
          <w:sz w:val="28"/>
          <w:szCs w:val="28"/>
          <w:lang w:val="de-DE" w:eastAsia="ja-JP"/>
        </w:rPr>
      </w:pPr>
      <w:r>
        <w:rPr>
          <w:bCs/>
          <w:sz w:val="28"/>
          <w:szCs w:val="28"/>
          <w:lang w:val="de-DE" w:eastAsia="ja-JP"/>
        </w:rPr>
        <w:t>Phối hợp với Văn phòng Chính phủ hoàn thiện thủ tục trình Thủ tướng Chính phủ phê duyệt: Nguyên tắc tiêu chí, mức phân bổ vốn ngân sách Trung ương và quy định tỷ lệ vốn đối ứng từ ngân sách địa phương thực hiện Chương trình MTQG xây dựng nông thôn mới giai đoạn 2021-2025; Bộ tiêu chí quốc gia về nông thôn mới giai đoạn 2021-2025; Quyết định của Thủ tướng Chính phủ quy định điều kiện, trình tự, thủ tục, hồ sơ xét, công nhận, công bố và thu hồi quyết định công nhận địa phương đạt chuẩn/hoàn thành nhiệm vụ xây dựng NTM giai đoạn 2021-2025. Tổ chức Hội nghị toàn quốc triển khai Chương trình MTQG xây dựng nông thôn mới giai đoạn 2021-2025. Hướng dẫn các địa phương tiếp tục triển khai Chương trình OCOP và tổ chức đánh giá, phân hạng sản phẩm OCOP cấp quốc gia năm 2022;...</w:t>
      </w:r>
    </w:p>
    <w:p>
      <w:pPr>
        <w:pStyle w:val="Normal"/>
        <w:widowControl w:val="false"/>
        <w:tabs>
          <w:tab w:val="clear" w:pos="720"/>
          <w:tab w:val="left" w:pos="709" w:leader="none"/>
        </w:tabs>
        <w:spacing w:before="80" w:after="0"/>
        <w:ind w:firstLine="720"/>
        <w:jc w:val="both"/>
        <w:rPr>
          <w:b/>
          <w:b/>
          <w:sz w:val="28"/>
          <w:szCs w:val="28"/>
          <w:lang w:val="nb-NO"/>
        </w:rPr>
      </w:pPr>
      <w:r>
        <w:rPr>
          <w:b/>
          <w:sz w:val="28"/>
          <w:szCs w:val="28"/>
          <w:lang w:val="nb-NO"/>
        </w:rPr>
        <w:t>9. Đầu tư xây dựng cơ bản</w:t>
      </w:r>
    </w:p>
    <w:p>
      <w:pPr>
        <w:pStyle w:val="BodyText2"/>
        <w:widowControl w:val="false"/>
        <w:spacing w:before="80" w:after="0"/>
        <w:ind w:firstLine="709"/>
        <w:rPr/>
      </w:pPr>
      <w:bookmarkStart w:id="29" w:name="_Hlk62820197"/>
      <w:bookmarkEnd w:id="29"/>
      <w:r>
        <w:rPr>
          <w:rFonts w:cs="Times New Roman" w:ascii="Times New Roman" w:hAnsi="Times New Roman"/>
          <w:bCs/>
          <w:color w:val="000000"/>
          <w:sz w:val="28"/>
          <w:szCs w:val="28"/>
          <w:lang w:val="de-DE" w:eastAsia="ja-JP"/>
        </w:rPr>
        <w:t xml:space="preserve">Đôn đốc các Chủ đầu tư tổ chức thực hiện công tác khảo sát, lập báo cáo NCKT các dự án giai đoạn 2021-2025 đảm bảo tiến độ, tập trung vào các dự án dự định khởi công trong năm 2022; Thẩm định, trình phê duyệt báo cáo NCKT một số dự án giai đoạn 2021-2025.  </w:t>
      </w:r>
    </w:p>
    <w:p>
      <w:pPr>
        <w:pStyle w:val="BodyText2"/>
        <w:widowControl w:val="false"/>
        <w:tabs>
          <w:tab w:val="clear" w:pos="720"/>
          <w:tab w:val="left" w:pos="709" w:leader="none"/>
          <w:tab w:val="left" w:pos="851" w:leader="none"/>
        </w:tabs>
        <w:spacing w:before="80" w:after="0"/>
        <w:ind w:firstLine="709"/>
        <w:rPr>
          <w:rFonts w:ascii="Times New Roman" w:hAnsi="Times New Roman" w:cs="Times New Roman"/>
          <w:bCs/>
          <w:color w:val="000000"/>
          <w:sz w:val="28"/>
          <w:szCs w:val="28"/>
          <w:lang w:val="de-DE" w:eastAsia="ja-JP"/>
        </w:rPr>
      </w:pPr>
      <w:r>
        <w:rPr>
          <w:rFonts w:cs="Times New Roman" w:ascii="Times New Roman" w:hAnsi="Times New Roman"/>
          <w:bCs/>
          <w:color w:val="000000"/>
          <w:sz w:val="28"/>
          <w:szCs w:val="28"/>
          <w:lang w:val="de-DE" w:eastAsia="ja-JP"/>
        </w:rPr>
        <w:t>Tổ chức Đoàn công tác kiểm tra tình hình thực hiện và giải ngân; công tác nghiệm thu hoàn thành các dự án giai đoạn 2016-2020; tình hình triển khai thực hiện các dự án giai đoạn 2021-2025.</w:t>
      </w:r>
    </w:p>
    <w:p>
      <w:pPr>
        <w:pStyle w:val="BodyText2"/>
        <w:widowControl w:val="false"/>
        <w:spacing w:before="80" w:after="0"/>
        <w:ind w:firstLine="709"/>
        <w:rPr>
          <w:rFonts w:ascii="Times New Roman" w:hAnsi="Times New Roman" w:cs="Times New Roman"/>
          <w:bCs/>
          <w:color w:val="000000"/>
          <w:sz w:val="28"/>
          <w:szCs w:val="28"/>
          <w:lang w:val="de-DE" w:eastAsia="ja-JP"/>
        </w:rPr>
      </w:pPr>
      <w:r>
        <w:rPr>
          <w:rFonts w:cs="Times New Roman" w:ascii="Times New Roman" w:hAnsi="Times New Roman"/>
          <w:bCs/>
          <w:color w:val="000000"/>
          <w:sz w:val="28"/>
          <w:szCs w:val="28"/>
          <w:lang w:val="de-DE" w:eastAsia="ja-JP"/>
        </w:rPr>
        <w:t>Phối hợp với các Bộ (Tài Nguyên Môi trường, Tài Chính) để hướng dẫn các chủ đầu tư phương án xử lý đối với các khó khăn vướng mắc về GPMB, khung chính sách, xây dựng trụ sở.</w:t>
      </w:r>
    </w:p>
    <w:p>
      <w:pPr>
        <w:pStyle w:val="Normal"/>
        <w:widowControl w:val="false"/>
        <w:spacing w:before="80" w:after="0"/>
        <w:ind w:firstLine="709"/>
        <w:jc w:val="both"/>
        <w:rPr>
          <w:b/>
          <w:b/>
          <w:sz w:val="28"/>
          <w:szCs w:val="28"/>
          <w:lang w:val="da-DK"/>
        </w:rPr>
      </w:pPr>
      <w:bookmarkStart w:id="30" w:name="_Hlk62820197"/>
      <w:bookmarkEnd w:id="30"/>
      <w:r>
        <w:rPr>
          <w:b/>
          <w:sz w:val="28"/>
          <w:szCs w:val="28"/>
          <w:lang w:val="it-IT"/>
        </w:rPr>
        <w:t>10.</w:t>
      </w:r>
      <w:r>
        <w:rPr>
          <w:b/>
          <w:sz w:val="28"/>
          <w:szCs w:val="28"/>
          <w:lang w:val="da-DK"/>
        </w:rPr>
        <w:t xml:space="preserve"> Các nhiệm vụ khác: </w:t>
      </w:r>
      <w:bookmarkStart w:id="31" w:name="_Hlk62820251"/>
      <w:bookmarkStart w:id="32" w:name="_Hlk49343946"/>
    </w:p>
    <w:p>
      <w:pPr>
        <w:pStyle w:val="Normal"/>
        <w:widowControl w:val="false"/>
        <w:spacing w:before="80" w:after="0"/>
        <w:ind w:firstLine="720"/>
        <w:jc w:val="both"/>
        <w:rPr>
          <w:sz w:val="28"/>
          <w:szCs w:val="28"/>
          <w:lang w:val="da-DK"/>
        </w:rPr>
      </w:pPr>
      <w:r>
        <w:rPr>
          <w:iCs/>
          <w:spacing w:val="-2"/>
          <w:sz w:val="28"/>
          <w:szCs w:val="28"/>
          <w:lang w:val="da-DK"/>
        </w:rPr>
        <w:t>- K</w:t>
      </w:r>
      <w:r>
        <w:rPr>
          <w:iCs/>
          <w:spacing w:val="-2"/>
          <w:sz w:val="28"/>
          <w:szCs w:val="28"/>
          <w:lang w:val="vi-VN"/>
        </w:rPr>
        <w:t>ế hoạch, tài chính</w:t>
      </w:r>
      <w:r>
        <w:rPr>
          <w:iCs/>
          <w:spacing w:val="-2"/>
          <w:sz w:val="28"/>
          <w:szCs w:val="28"/>
          <w:lang w:val="da-DK"/>
        </w:rPr>
        <w:t xml:space="preserve">: </w:t>
      </w:r>
      <w:bookmarkStart w:id="33" w:name="_Hlk83738655"/>
      <w:r>
        <w:rPr>
          <w:iCs/>
          <w:spacing w:val="-2"/>
          <w:sz w:val="28"/>
          <w:szCs w:val="28"/>
          <w:lang w:val="da-DK"/>
        </w:rPr>
        <w:t>Tổ chức triển khai thực hiện</w:t>
      </w:r>
      <w:r>
        <w:rPr>
          <w:bCs/>
          <w:iCs/>
          <w:spacing w:val="-2"/>
          <w:sz w:val="28"/>
          <w:szCs w:val="28"/>
          <w:lang w:val="da-DK"/>
        </w:rPr>
        <w:t xml:space="preserve"> Chiến lược phát triển nông nghiệp, nông thôn bền vững giai đoạn 2021-2030 và tầm nhìn đến năm 2050. </w:t>
      </w:r>
      <w:bookmarkEnd w:id="33"/>
      <w:r>
        <w:rPr>
          <w:sz w:val="28"/>
          <w:szCs w:val="28"/>
          <w:lang w:val="sv-SE"/>
        </w:rPr>
        <w:t>Tiếp tục giao kinh phí ngân sách Nhà nước năm 2022 cho các đơn vị; quyết toán nguồn kinh phí năm 2021 và chuẩn bị công tác đón đoàn kiểm toán Nhà nước.</w:t>
      </w:r>
    </w:p>
    <w:p>
      <w:pPr>
        <w:pStyle w:val="Normal"/>
        <w:widowControl w:val="false"/>
        <w:spacing w:before="80" w:after="0"/>
        <w:ind w:firstLine="720"/>
        <w:jc w:val="both"/>
        <w:rPr/>
      </w:pPr>
      <w:r>
        <w:rPr>
          <w:sz w:val="28"/>
          <w:szCs w:val="28"/>
        </w:rPr>
        <w:t>- Quy hoạch: Các Tổng cục tập trung thực hiện hoàn thành các nội dung đã đề ra để đảm bảo trình thẩm định, phê duyệt 03 quy hoạch đã đăng ký tiến độ trong năm 2022; làm việc với Đoàn giám sát Ủy ban Thường vụ Quốc hội chuyên đề “Việc thực hiện chính sách, pháp luật về công tác quy hoạch kể từ khi Luật Quy hoạch có hiệu lực thi hành”.</w:t>
      </w:r>
    </w:p>
    <w:p>
      <w:pPr>
        <w:pStyle w:val="Normal"/>
        <w:widowControl w:val="false"/>
        <w:autoSpaceDE w:val="false"/>
        <w:spacing w:before="80" w:after="0"/>
        <w:ind w:right="85" w:firstLine="720"/>
        <w:jc w:val="both"/>
        <w:rPr>
          <w:b/>
          <w:b/>
          <w:spacing w:val="-2"/>
          <w:sz w:val="28"/>
          <w:szCs w:val="28"/>
        </w:rPr>
      </w:pPr>
      <w:r>
        <w:rPr>
          <w:spacing w:val="-2"/>
          <w:sz w:val="28"/>
          <w:szCs w:val="28"/>
          <w:lang w:val="es-ES"/>
        </w:rPr>
        <w:t>- Tổ chức cán bộ:</w:t>
      </w:r>
      <w:r>
        <w:rPr>
          <w:i/>
          <w:spacing w:val="-2"/>
          <w:sz w:val="28"/>
          <w:szCs w:val="28"/>
          <w:lang w:val="es-ES"/>
        </w:rPr>
        <w:t xml:space="preserve"> </w:t>
      </w:r>
      <w:bookmarkStart w:id="34" w:name="_Hlk25838377"/>
      <w:r>
        <w:rPr>
          <w:spacing w:val="-2"/>
          <w:sz w:val="28"/>
          <w:szCs w:val="28"/>
        </w:rPr>
        <w:t xml:space="preserve">Tiếp tục hoàn thiện Nghị định thay thế Nghị định số 15/2017/NĐ-CP của Chính phủ về chức năng, nhiệm vụ, quyền hạn và cơ cấu tổ chức của Bộ. </w:t>
      </w:r>
      <w:r>
        <w:rPr>
          <w:spacing w:val="-2"/>
          <w:sz w:val="28"/>
          <w:szCs w:val="28"/>
          <w:lang w:val="es-ES"/>
        </w:rPr>
        <w:t>Xây dựng Dự thảo Quyết định/Thông tư quy định danh mục vị trí công tác và thời hạn định kỳ chuyển đổi vị trí công tác đối với công chức, viên chức ngành NN và PTNT; Danh mục các vị trí trọng yếu cơ mật của ngành; Đánh giá, xếp loại các tổ chức, cán bộ lãnh đạo các cơ quan, đơn vị trực thuộc Bộ.</w:t>
      </w:r>
    </w:p>
    <w:p>
      <w:pPr>
        <w:pStyle w:val="Normal"/>
        <w:widowControl w:val="false"/>
        <w:spacing w:before="80" w:after="0"/>
        <w:ind w:firstLine="720"/>
        <w:jc w:val="both"/>
        <w:rPr>
          <w:sz w:val="28"/>
          <w:szCs w:val="28"/>
          <w:lang w:val="es-ES"/>
        </w:rPr>
      </w:pPr>
      <w:bookmarkEnd w:id="34"/>
      <w:r>
        <w:rPr>
          <w:sz w:val="28"/>
          <w:szCs w:val="28"/>
        </w:rPr>
        <w:t xml:space="preserve">- </w:t>
      </w:r>
      <w:bookmarkStart w:id="35" w:name="_Hlk73028830"/>
      <w:r>
        <w:rPr>
          <w:iCs/>
          <w:sz w:val="28"/>
          <w:szCs w:val="28"/>
          <w:lang w:val="sv-SE"/>
        </w:rPr>
        <w:t xml:space="preserve">Đẩy mạnh </w:t>
      </w:r>
      <w:r>
        <w:rPr>
          <w:sz w:val="28"/>
          <w:szCs w:val="28"/>
          <w:lang w:val="vi-VN"/>
        </w:rPr>
        <w:t>hoạt động cải cách hành chính</w:t>
      </w:r>
      <w:r>
        <w:rPr>
          <w:sz w:val="28"/>
          <w:szCs w:val="28"/>
          <w:lang w:val="sv-SE"/>
        </w:rPr>
        <w:t>, thực hiện các nhiệm vụ về cải thiện môi trường đầu tư kinh doanh, tháo gỡ khó khăn cho doanh nghiệp;</w:t>
      </w:r>
      <w:r>
        <w:rPr>
          <w:sz w:val="28"/>
          <w:szCs w:val="28"/>
          <w:lang w:val="vi-VN"/>
        </w:rPr>
        <w:t xml:space="preserve"> tăng cường công tác thanh tra, kiểm tra, thực hiện nghiêm Luật Phòng, chống tham nhũng và Luật thực hành tiết kiệm, chống lãng phí./.   </w:t>
      </w:r>
      <w:bookmarkEnd w:id="35"/>
    </w:p>
    <w:p>
      <w:pPr>
        <w:pStyle w:val="Default"/>
        <w:widowControl w:val="false"/>
        <w:spacing w:before="120" w:after="0"/>
        <w:ind w:firstLine="720"/>
        <w:jc w:val="both"/>
        <w:rPr>
          <w:color w:val="000000"/>
          <w:sz w:val="28"/>
          <w:szCs w:val="28"/>
          <w:lang w:val="vi-VN"/>
        </w:rPr>
      </w:pPr>
      <w:bookmarkEnd w:id="31"/>
      <w:bookmarkEnd w:id="32"/>
      <w:r>
        <w:rPr>
          <w:color w:val="000000"/>
          <w:sz w:val="28"/>
          <w:szCs w:val="28"/>
          <w:lang w:val="vi-VN"/>
        </w:rPr>
        <w:t xml:space="preserve">  </w:t>
      </w:r>
    </w:p>
    <w:p>
      <w:pPr>
        <w:pStyle w:val="Normal"/>
        <w:spacing w:before="120" w:after="0"/>
        <w:ind w:right="-36" w:firstLine="720"/>
        <w:jc w:val="both"/>
        <w:rPr/>
      </w:pPr>
      <w:r>
        <w:rPr>
          <w:sz w:val="28"/>
          <w:szCs w:val="28"/>
          <w:lang w:val="vi-VN"/>
        </w:rPr>
        <w:tab/>
        <w:tab/>
        <w:tab/>
        <w:tab/>
        <w:tab/>
      </w:r>
      <w:r>
        <w:rPr>
          <w:b/>
          <w:sz w:val="28"/>
          <w:szCs w:val="28"/>
          <w:lang w:val="vi-VN"/>
        </w:rPr>
        <w:tab/>
      </w:r>
      <w:r>
        <w:rPr>
          <w:b/>
          <w:sz w:val="28"/>
          <w:szCs w:val="28"/>
          <w:lang w:val="es-ES_tradnl"/>
        </w:rPr>
        <w:t>BỘ NÔNG NGHIỆP VÀ PTNT</w:t>
      </w:r>
    </w:p>
    <w:p>
      <w:pPr>
        <w:pStyle w:val="Normal"/>
        <w:spacing w:before="120" w:after="0"/>
        <w:ind w:firstLine="720"/>
        <w:jc w:val="both"/>
        <w:rPr>
          <w:b/>
          <w:b/>
          <w:sz w:val="28"/>
          <w:szCs w:val="28"/>
          <w:lang w:val="es-ES_tradnl"/>
        </w:rPr>
      </w:pPr>
      <w:r>
        <w:rPr>
          <w:b/>
          <w:sz w:val="28"/>
          <w:szCs w:val="28"/>
          <w:lang w:val="es-ES_tradnl"/>
        </w:rPr>
      </w:r>
    </w:p>
    <w:sectPr>
      <w:headerReference w:type="default" r:id="rId2"/>
      <w:headerReference w:type="first" r:id="rId3"/>
      <w:footerReference w:type="default" r:id="rId4"/>
      <w:footerReference w:type="first" r:id="rId5"/>
      <w:footnotePr>
        <w:numFmt w:val="decimal"/>
      </w:footnotePr>
      <w:type w:val="nextPage"/>
      <w:pgSz w:w="11906" w:h="16838"/>
      <w:pgMar w:left="1588" w:right="1077" w:gutter="0" w:header="720" w:top="1134" w:footer="357" w:bottom="96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0"/>
    <w:family w:val="swiss"/>
    <w:pitch w:val="variable"/>
  </w:font>
  <w:font w:name="Courier New">
    <w:charset w:val="00"/>
    <w:family w:val="modern"/>
    <w:pitch w:val="default"/>
  </w:font>
  <w:font w:name="Wingdings">
    <w:charset w:val="02"/>
    <w:family w:val="auto"/>
    <w:pitch w:val="variable"/>
  </w:font>
  <w:font w:name="VNI-Times">
    <w:charset w:val="00"/>
    <w:family w:val="auto"/>
    <w:pitch w:val="variable"/>
  </w:font>
  <w:font w:name="Tahoma">
    <w:charset w:val="00"/>
    <w:family w:val="swiss"/>
    <w:pitch w:val="variable"/>
  </w:font>
  <w:font w:name=".VnTime">
    <w:altName w:val="Courier New"/>
    <w:charset w:val="00"/>
    <w:family w:val="swiss"/>
    <w:pitch w:val="variable"/>
  </w:font>
  <w:font w:name=".VnArialH">
    <w:altName w:val="Courier New"/>
    <w:charset w:val="00"/>
    <w:family w:val="swiss"/>
    <w:pitch w:val="variable"/>
  </w:font>
  <w:font w:name="Consolas">
    <w:charset w:val="00"/>
    <w:family w:val="modern"/>
    <w:pitch w:val="default"/>
  </w:font>
  <w:font w:name="Times-Roman">
    <w:altName w:val="Times New Roman"/>
    <w:charset w:val="00"/>
    <w:family w:val="roman"/>
    <w:pitch w:val="default"/>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iCs/>
          <w:lang w:val="pt-BR"/>
        </w:rPr>
        <w:t xml:space="preserve">một số tỉnh tiến độ nhanh so với CKNT </w:t>
      </w:r>
      <w:r>
        <w:rPr>
          <w:iCs/>
          <w:spacing w:val="-2"/>
          <w:lang w:val="nl-NL"/>
        </w:rPr>
        <w:t>Thái Bình đạt 21,5 nghìn ha, tăng</w:t>
      </w:r>
      <w:r>
        <w:rPr>
          <w:iCs/>
          <w:spacing w:val="-2"/>
          <w:lang w:val="vi-VN"/>
        </w:rPr>
        <w:t xml:space="preserve"> 2</w:t>
      </w:r>
      <w:r>
        <w:rPr>
          <w:iCs/>
          <w:spacing w:val="-2"/>
          <w:lang w:val="nl-NL"/>
        </w:rPr>
        <w:t>03,3%; Hà Nội đạt 34,3 nghìn ha, tăng</w:t>
      </w:r>
      <w:r>
        <w:rPr>
          <w:iCs/>
          <w:spacing w:val="-2"/>
          <w:lang w:val="vi-VN"/>
        </w:rPr>
        <w:t xml:space="preserve"> </w:t>
      </w:r>
      <w:r>
        <w:rPr>
          <w:iCs/>
          <w:spacing w:val="-2"/>
          <w:lang w:val="nl-NL"/>
        </w:rPr>
        <w:t>72,7% so cùng kỳ; Hải Phòng đạt 17 nghìn ha, tăng</w:t>
      </w:r>
      <w:r>
        <w:rPr>
          <w:iCs/>
          <w:spacing w:val="-2"/>
          <w:lang w:val="vi-VN"/>
        </w:rPr>
        <w:t xml:space="preserve"> </w:t>
      </w:r>
      <w:r>
        <w:rPr>
          <w:iCs/>
          <w:spacing w:val="-2"/>
          <w:lang w:val="nl-NL"/>
        </w:rPr>
        <w:t>54,5%; Ninh Bình 34,8 nghìn ha, tăng</w:t>
      </w:r>
      <w:r>
        <w:rPr>
          <w:iCs/>
          <w:spacing w:val="-2"/>
          <w:lang w:val="vi-VN"/>
        </w:rPr>
        <w:t xml:space="preserve"> </w:t>
      </w:r>
      <w:r>
        <w:rPr>
          <w:iCs/>
          <w:spacing w:val="-2"/>
          <w:lang w:val="nl-NL"/>
        </w:rPr>
        <w:t>33,4% …</w:t>
      </w:r>
    </w:p>
  </w:footnote>
  <w:footnote w:id="3">
    <w:p>
      <w:pPr>
        <w:pStyle w:val="Footnote"/>
        <w:rPr/>
      </w:pPr>
      <w:r>
        <w:rPr>
          <w:rStyle w:val="FootnoteCharacters"/>
        </w:rPr>
        <w:footnoteRef/>
      </w:r>
      <w:r>
        <w:rPr/>
        <w:t xml:space="preserve"> </w:t>
      </w:r>
      <w:r>
        <w:rPr>
          <w:b/>
          <w:bCs/>
          <w:i/>
          <w:iCs/>
          <w:spacing w:val="-2"/>
          <w:szCs w:val="28"/>
          <w:lang w:val="it-IT"/>
        </w:rPr>
        <w:t>Yên Bái 94</w:t>
      </w:r>
      <w:r>
        <w:rPr>
          <w:spacing w:val="-2"/>
          <w:szCs w:val="28"/>
          <w:lang w:val="it-IT"/>
        </w:rPr>
        <w:t>, Hà Giang 22, Lào Cai 538, Lai Châu 174, Điện Biên 462, Lạng Sơn 515, Cao Bằng 807, Sơn La 1.987, Bắc Kạn 404, Tuyên Quang 12, Hòa Bình 479, Bắc Giang 90, Quảng Ninh 51, Thanh Hóa 16, Nghệ An 2.185, Quảng Bình 39.</w:t>
      </w:r>
    </w:p>
  </w:footnote>
  <w:footnote w:id="4">
    <w:p>
      <w:pPr>
        <w:pStyle w:val="Footnote"/>
        <w:rPr/>
      </w:pPr>
      <w:r>
        <w:rPr>
          <w:rStyle w:val="FootnoteCharacters"/>
        </w:rPr>
        <w:footnoteRef/>
      </w:r>
      <w:r>
        <w:rPr/>
        <w:t xml:space="preserve"> </w:t>
      </w:r>
      <w:r>
        <w:rPr>
          <w:b/>
        </w:rPr>
        <w:t>CGC:</w:t>
      </w:r>
      <w:r>
        <w:rPr/>
        <w:t xml:space="preserve"> </w:t>
      </w:r>
      <w:r>
        <w:rPr>
          <w:color w:val="0D0D0D"/>
          <w:lang w:val="sv-SE"/>
        </w:rPr>
        <w:t xml:space="preserve">mắc bệnh là 21.709 con, tổng chết và tiêu hủy là 22.860 con; </w:t>
      </w:r>
      <w:r>
        <w:rPr>
          <w:b/>
          <w:color w:val="0D0D0D"/>
          <w:lang w:val="sv-SE"/>
        </w:rPr>
        <w:t>DTLCP:</w:t>
      </w:r>
      <w:r>
        <w:rPr>
          <w:color w:val="0D0D0D"/>
          <w:lang w:val="sv-SE"/>
        </w:rPr>
        <w:t xml:space="preserve"> </w:t>
      </w:r>
      <w:r>
        <w:rPr>
          <w:iCs/>
          <w:color w:val="0D0D0D"/>
          <w:lang w:val="sv-SE"/>
        </w:rPr>
        <w:t xml:space="preserve">mắc bệnh là 6.695 con; chết và tiêu hủy là 7.195 con; </w:t>
      </w:r>
      <w:r>
        <w:rPr>
          <w:b/>
          <w:iCs/>
          <w:color w:val="0D0D0D"/>
          <w:lang w:val="sv-SE"/>
        </w:rPr>
        <w:t>VDNC:</w:t>
      </w:r>
      <w:r>
        <w:rPr>
          <w:iCs/>
          <w:color w:val="0D0D0D"/>
          <w:lang w:val="sv-SE"/>
        </w:rPr>
        <w:t xml:space="preserve"> </w:t>
      </w:r>
      <w:r>
        <w:rPr>
          <w:bCs/>
          <w:color w:val="000000"/>
          <w:lang w:val="sv-SE"/>
        </w:rPr>
        <w:t>mắc bệnh là 487 con; chết và tiêu hủy là 68 con.</w:t>
      </w:r>
    </w:p>
  </w:footnote>
  <w:footnote w:id="5">
    <w:p>
      <w:pPr>
        <w:pStyle w:val="Footnote"/>
        <w:rPr/>
      </w:pPr>
      <w:r>
        <w:rPr>
          <w:rStyle w:val="FootnoteCharacters"/>
        </w:rPr>
        <w:footnoteRef/>
      </w:r>
      <w:r>
        <w:rPr>
          <w:i/>
        </w:rPr>
        <w:t xml:space="preserve"> </w:t>
      </w:r>
      <w:r>
        <w:rPr/>
        <w:t xml:space="preserve">Số liệu thống kê theo khu vực Châu Á, Châu Âu, Châu Phi, Châu Mỹ và Châu Đại Dương chưa bao gồm một số thị trường nhỏ khác không được thống kê cụ thể bởi Tổng cục Hải quan. </w:t>
      </w:r>
    </w:p>
  </w:footnote>
  <w:footnote w:id="6">
    <w:p>
      <w:pPr>
        <w:pStyle w:val="Footnote"/>
        <w:rPr/>
      </w:pPr>
      <w:r>
        <w:rPr>
          <w:rStyle w:val="FootnoteCharacters"/>
        </w:rPr>
        <w:footnoteRef/>
      </w:r>
      <w:r>
        <w:rPr/>
        <w:t xml:space="preserve"> </w:t>
      </w:r>
      <w:r>
        <w:rPr/>
        <w:t xml:space="preserve">Như vậy có sự thay đổi về thứ hạng mặt hàng nông sản Việt XK sang Trung Quốc, từ nhiều năm nay Rau quả luôn là mặt hàng chiếm tỷ trọng XK lớn nhất tại thị trường Trung Quốc. </w:t>
      </w:r>
    </w:p>
  </w:footnote>
  <w:footnote w:id="7">
    <w:p>
      <w:pPr>
        <w:pStyle w:val="Footnote"/>
        <w:rPr/>
      </w:pPr>
      <w:r>
        <w:rPr>
          <w:rStyle w:val="FootnoteCharacters"/>
        </w:rPr>
        <w:footnoteRef/>
      </w:r>
      <w:r>
        <w:rPr/>
        <w:t xml:space="preserve"> </w:t>
      </w:r>
      <w:r>
        <w:rPr/>
        <w:t>Đã có 1.763 mã sản phẩm được TC HQTQ cấp cho các DN của Việt Nam; giải pháp thắc mắc của doanh nghiệp về các quy định; đề nghị phía Trung Quốc cấp mã sản phẩm cho các DN XK sắn lát, tinh bột sắn</w:t>
      </w:r>
    </w:p>
  </w:footnote>
  <w:footnote w:id="8">
    <w:p>
      <w:pPr>
        <w:pStyle w:val="Footnote"/>
        <w:rPr/>
      </w:pPr>
      <w:r>
        <w:rPr>
          <w:rStyle w:val="FootnoteCharacters"/>
        </w:rPr>
        <w:footnoteRef/>
      </w:r>
      <w:r>
        <w:rPr/>
        <w:t xml:space="preserve"> </w:t>
      </w:r>
      <w:r>
        <w:rPr>
          <w:lang w:val="af-ZA"/>
        </w:rPr>
        <w:t>trong đó: 3.471 trang trại trồng trọt, 11.807 trang trại chăn nuôi, 129 trang trại lâm nghiệp, 1.586 trang trại nuôi thủy sản, 1.952 trang trại tổng hợp; có 800 trang trại đầu tư hệ thống điện năng lượng mặt trời, 42 trang trại tham gia hoạt động du lịch nông nghiệp, 2.285 trang trại có liên kết sản xuất và tiêu thụ sản phẩm.</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11</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2"/>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Times New Roman" w:hAnsi="Times New Roman" w:eastAsia="Calibri"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b/>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Times New Roman" w:hAnsi="Times New Roman" w:eastAsia="Times New Roman" w:cs="Times New Roman"/>
      <w:b/>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PageNumber">
    <w:name w:val="Page Number"/>
    <w:basedOn w:val="DefaultParagraphFont"/>
    <w:rPr/>
  </w:style>
  <w:style w:type="character" w:styleId="BodyTextIndentChar">
    <w:name w:val="Body Text Indent Char"/>
    <w:qFormat/>
    <w:rPr>
      <w:rFonts w:ascii="VNI-Times" w:hAnsi="VNI-Times" w:cs="VNI-Times"/>
      <w:sz w:val="26"/>
      <w:lang w:val="en-AU"/>
    </w:rPr>
  </w:style>
  <w:style w:type="character" w:styleId="HeaderChar">
    <w:name w:val="Header Char"/>
    <w:qFormat/>
    <w:rPr>
      <w:sz w:val="24"/>
      <w:szCs w:val="24"/>
    </w:rPr>
  </w:style>
  <w:style w:type="character" w:styleId="FooterChar">
    <w:name w:val="Footer Char"/>
    <w:qFormat/>
    <w:rPr>
      <w:rFonts w:eastAsia="Batang;바탕"/>
      <w:sz w:val="24"/>
      <w:szCs w:val="24"/>
      <w:lang w:eastAsia="ko-KR"/>
    </w:rPr>
  </w:style>
  <w:style w:type="character" w:styleId="Applestylespan">
    <w:name w:val="apple-style-span"/>
    <w:basedOn w:val="DefaultParagraphFont"/>
    <w:qFormat/>
    <w:rPr/>
  </w:style>
  <w:style w:type="character" w:styleId="Emphasis">
    <w:name w:val="Emphasis"/>
    <w:qFormat/>
    <w:rPr>
      <w:i/>
      <w:iCs/>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BalloonTextChar">
    <w:name w:val="Balloon Text Char"/>
    <w:qFormat/>
    <w:rPr>
      <w:rFonts w:ascii="Tahoma" w:hAnsi="Tahoma" w:cs="Tahoma"/>
      <w:sz w:val="16"/>
      <w:szCs w:val="16"/>
    </w:rPr>
  </w:style>
  <w:style w:type="character" w:styleId="StrongEmphasis">
    <w:name w:val="Strong Emphasis"/>
    <w:qFormat/>
    <w:rPr>
      <w:b/>
      <w:bCs/>
    </w:rPr>
  </w:style>
  <w:style w:type="character" w:styleId="Html0020preformattedchar">
    <w:name w:val="html_0020preformatted__char"/>
    <w:basedOn w:val="DefaultParagraphFont"/>
    <w:qFormat/>
    <w:rPr/>
  </w:style>
  <w:style w:type="character" w:styleId="Normalchar">
    <w:name w:val="normal__char"/>
    <w:basedOn w:val="DefaultParagraphFont"/>
    <w:qFormat/>
    <w:rPr/>
  </w:style>
  <w:style w:type="character" w:styleId="BodyTextIndent3Char">
    <w:name w:val="Body Text Indent 3 Char"/>
    <w:qFormat/>
    <w:rPr>
      <w:rFonts w:ascii=".VnTime;Courier New" w:hAnsi=".VnTime;Courier New" w:cs=".VnTime;Courier New"/>
      <w:sz w:val="16"/>
      <w:szCs w:val="16"/>
    </w:rPr>
  </w:style>
  <w:style w:type="character" w:styleId="CommentSubjectChar">
    <w:name w:val="Comment Subject Char"/>
    <w:qFormat/>
    <w:rPr>
      <w:rFonts w:eastAsia="Batang;바탕"/>
      <w:b/>
      <w:bCs/>
      <w:lang w:eastAsia="ko-KR"/>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Muc5Char">
    <w:name w:val="Muc5 Char"/>
    <w:qFormat/>
    <w:rPr>
      <w:sz w:val="28"/>
      <w:szCs w:val="28"/>
      <w:lang w:val="vi-VN"/>
    </w:rPr>
  </w:style>
  <w:style w:type="character" w:styleId="Appleconvertedspace">
    <w:name w:val="apple-converted-space"/>
    <w:basedOn w:val="DefaultParagraphFont"/>
    <w:qFormat/>
    <w:rPr/>
  </w:style>
  <w:style w:type="character" w:styleId="InternetLink">
    <w:name w:val="Hyperlink"/>
    <w:rPr>
      <w:color w:val="0000FF"/>
      <w:u w:val="single"/>
    </w:rPr>
  </w:style>
  <w:style w:type="character" w:styleId="BodyTextChar">
    <w:name w:val="Body Text Char"/>
    <w:qFormat/>
    <w:rPr>
      <w:color w:val="000000"/>
      <w:sz w:val="26"/>
      <w:szCs w:val="26"/>
    </w:rPr>
  </w:style>
  <w:style w:type="character" w:styleId="TitleChar">
    <w:name w:val="Title Char"/>
    <w:qFormat/>
    <w:rPr>
      <w:rFonts w:ascii=".VnArialH;Courier New" w:hAnsi=".VnArialH;Courier New" w:cs=".VnArialH;Courier New"/>
      <w:b/>
      <w:sz w:val="26"/>
      <w:szCs w:val="24"/>
      <w:u w:val="single"/>
    </w:rPr>
  </w:style>
  <w:style w:type="character" w:styleId="PlainTextChar">
    <w:name w:val="Plain Text Char"/>
    <w:qFormat/>
    <w:rPr>
      <w:rFonts w:ascii="Consolas" w:hAnsi="Consolas" w:eastAsia="Calibri" w:cs="Consolas"/>
      <w:sz w:val="21"/>
      <w:szCs w:val="21"/>
      <w:lang w:val="en-US"/>
    </w:rPr>
  </w:style>
  <w:style w:type="character" w:styleId="NormalWebChar">
    <w:name w:val="Normal (Web) Char"/>
    <w:qFormat/>
    <w:rPr>
      <w:sz w:val="24"/>
      <w:szCs w:val="24"/>
      <w:lang w:val="en-US"/>
    </w:rPr>
  </w:style>
  <w:style w:type="character" w:styleId="MediumGrid1Accent2Char">
    <w:name w:val="Medium Grid 1 - Accent 2 Char"/>
    <w:qFormat/>
    <w:rPr>
      <w:rFonts w:eastAsia="Calibri"/>
      <w:sz w:val="24"/>
      <w:szCs w:val="22"/>
    </w:rPr>
  </w:style>
  <w:style w:type="character" w:styleId="Pg1fc1">
    <w:name w:val="pg-1fc1"/>
    <w:basedOn w:val="DefaultParagraphFont"/>
    <w:qFormat/>
    <w:rPr/>
  </w:style>
  <w:style w:type="character" w:styleId="List0020paragraphchar">
    <w:name w:val="list_0020paragraph__char"/>
    <w:qFormat/>
    <w:rPr/>
  </w:style>
  <w:style w:type="character" w:styleId="ColorfulListAccent1Char">
    <w:name w:val="Colorful List - Accent 1 Char"/>
    <w:qFormat/>
    <w:rPr>
      <w:rFonts w:eastAsia="Calibri"/>
      <w:sz w:val="24"/>
      <w:szCs w:val="22"/>
    </w:rPr>
  </w:style>
  <w:style w:type="character" w:styleId="BodyTextIndent2Char">
    <w:name w:val="Body Text Indent 2 Char"/>
    <w:qFormat/>
    <w:rPr>
      <w:sz w:val="28"/>
      <w:szCs w:val="28"/>
    </w:rPr>
  </w:style>
  <w:style w:type="character" w:styleId="BodyText3Char">
    <w:name w:val="Body Text 3 Char"/>
    <w:qFormat/>
    <w:rPr>
      <w:sz w:val="16"/>
      <w:szCs w:val="16"/>
    </w:rPr>
  </w:style>
  <w:style w:type="character" w:styleId="ListParagraphChar">
    <w:name w:val="List Paragraph Char"/>
    <w:qFormat/>
    <w:rPr>
      <w:rFonts w:eastAsia="Calibri"/>
      <w:sz w:val="28"/>
      <w:szCs w:val="22"/>
    </w:rPr>
  </w:style>
  <w:style w:type="character" w:styleId="Fontstyle01">
    <w:name w:val="fontstyle01"/>
    <w:qFormat/>
    <w:rPr>
      <w:rFonts w:ascii="Times-Roman;Times New Roman" w:hAnsi="Times-Roman;Times New Roman" w:cs="Times-Roman;Times New Roman"/>
      <w:b w:val="false"/>
      <w:bCs w:val="false"/>
      <w:i w:val="false"/>
      <w:iCs w:val="false"/>
      <w:color w:val="000000"/>
      <w:sz w:val="28"/>
      <w:szCs w:val="28"/>
    </w:rPr>
  </w:style>
  <w:style w:type="character" w:styleId="Heading1Char">
    <w:name w:val="Heading 1 Char"/>
    <w:qFormat/>
    <w:rPr>
      <w:rFonts w:ascii="Calibri Light" w:hAnsi="Calibri Light" w:eastAsia="Times New Roman" w:cs="Times New Roman"/>
      <w:b/>
      <w:bCs/>
      <w:kern w:val="2"/>
      <w:sz w:val="32"/>
      <w:szCs w:val="32"/>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rPr>
  </w:style>
  <w:style w:type="paragraph" w:styleId="TextBody">
    <w:name w:val="Body Text"/>
    <w:basedOn w:val="Normal"/>
    <w:pPr>
      <w:jc w:val="both"/>
    </w:pPr>
    <w:rPr>
      <w:color w:val="000000"/>
      <w:sz w:val="26"/>
      <w:szCs w:val="26"/>
    </w:rPr>
  </w:style>
  <w:style w:type="paragraph" w:styleId="List">
    <w:name w:val="List"/>
    <w:basedOn w:val="TextBody"/>
    <w:pPr/>
    <w:rPr>
      <w:rFonts w:cs="Lohit Devanagari"/>
    </w:rPr>
  </w:style>
  <w:style w:type="paragraph" w:styleId="Caption">
    <w:name w:val="Caption"/>
    <w:basedOn w:val="Normal"/>
    <w:next w:val="Normal"/>
    <w:qFormat/>
    <w:pPr>
      <w:jc w:val="center"/>
    </w:pPr>
    <w:rPr>
      <w:sz w:val="28"/>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eastAsia="ko-KR"/>
    </w:rPr>
  </w:style>
  <w:style w:type="paragraph" w:styleId="BodyText2">
    <w:name w:val="Body Text 2"/>
    <w:basedOn w:val="Normal"/>
    <w:qFormat/>
    <w:pPr>
      <w:jc w:val="both"/>
    </w:pPr>
    <w:rPr>
      <w:rFonts w:ascii=".VnTime;Courier New" w:hAnsi=".VnTime;Courier New" w:cs=".VnTime;Courier New"/>
      <w:color w:val="000000"/>
      <w:sz w:val="26"/>
      <w:szCs w:val="20"/>
    </w:rPr>
  </w:style>
  <w:style w:type="paragraph" w:styleId="NormalWeb">
    <w:name w:val="Normal (Web)"/>
    <w:basedOn w:val="Normal"/>
    <w:qFormat/>
    <w:pPr>
      <w:spacing w:before="280" w:after="280"/>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 w:hAnsi="VNI-Times" w:cs="VNI-Times"/>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WWCharCharCharChar">
    <w:name w:val="WW-Char Char Char Char"/>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style>
  <w:style w:type="paragraph" w:styleId="Normal1">
    <w:name w:val="Normal1"/>
    <w:basedOn w:val="Normal"/>
    <w:next w:val="Normal"/>
    <w:qFormat/>
    <w:pPr>
      <w:spacing w:lineRule="exact" w:line="240" w:before="0" w:after="160"/>
    </w:pPr>
    <w:rPr>
      <w:sz w:val="28"/>
      <w:szCs w:val="22"/>
    </w:rPr>
  </w:style>
  <w:style w:type="paragraph" w:styleId="CommentText">
    <w:name w:val="Comment Text"/>
    <w:basedOn w:val="Normal"/>
    <w:qFormat/>
    <w:pPr/>
    <w:rPr>
      <w:rFonts w:eastAsia="Batang;바탕"/>
      <w:sz w:val="20"/>
      <w:szCs w:val="20"/>
      <w:lang w:eastAsia="ko-KR"/>
    </w:rPr>
  </w:style>
  <w:style w:type="paragraph" w:styleId="BalloonText">
    <w:name w:val="Balloon Text"/>
    <w:basedOn w:val="Normal"/>
    <w:qFormat/>
    <w:pPr/>
    <w:rPr>
      <w:rFonts w:ascii="Tahoma" w:hAnsi="Tahoma" w:cs="Tahoma"/>
      <w:sz w:val="16"/>
      <w:szCs w:val="16"/>
    </w:rPr>
  </w:style>
  <w:style w:type="paragraph" w:styleId="Html0020preformatted">
    <w:name w:val="html__0020preformatted"/>
    <w:basedOn w:val="Normal"/>
    <w:qFormat/>
    <w:pPr>
      <w:spacing w:before="280" w:after="280"/>
    </w:pPr>
    <w:rPr/>
  </w:style>
  <w:style w:type="paragraph" w:styleId="BodyTextIndent3">
    <w:name w:val="Body Text Indent 3"/>
    <w:basedOn w:val="Normal"/>
    <w:qFormat/>
    <w:pPr>
      <w:spacing w:before="0" w:after="120"/>
      <w:ind w:left="360" w:hanging="0"/>
    </w:pPr>
    <w:rPr>
      <w:rFonts w:ascii=".VnTime;Courier New" w:hAnsi=".VnTime;Courier New" w:cs=".VnTime;Courier New"/>
      <w:sz w:val="16"/>
      <w:szCs w:val="16"/>
    </w:rPr>
  </w:style>
  <w:style w:type="paragraph" w:styleId="CommentSubject">
    <w:name w:val="Comment Subject"/>
    <w:basedOn w:val="CommentText"/>
    <w:next w:val="CommentText"/>
    <w:qFormat/>
    <w:pPr/>
    <w:rPr>
      <w:b/>
      <w:bC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Footnote">
    <w:name w:val="Footnote Text"/>
    <w:basedOn w:val="Normal"/>
    <w:pPr/>
    <w:rPr>
      <w:sz w:val="20"/>
      <w:szCs w:val="20"/>
    </w:rPr>
  </w:style>
  <w:style w:type="paragraph" w:styleId="Muc5">
    <w:name w:val="Muc5"/>
    <w:basedOn w:val="Normal"/>
    <w:qFormat/>
    <w:pPr>
      <w:spacing w:before="0" w:after="120"/>
      <w:ind w:firstLine="720"/>
      <w:jc w:val="both"/>
    </w:pPr>
    <w:rPr>
      <w:sz w:val="28"/>
      <w:szCs w:val="28"/>
      <w:lang w:val="vi-VN"/>
    </w:rPr>
  </w:style>
  <w:style w:type="paragraph" w:styleId="DefaultParagraphFontParaCharChar">
    <w:name w:val="Default Paragraph Font Para Char Char"/>
    <w:basedOn w:val="Normal"/>
    <w:qFormat/>
    <w:pPr>
      <w:snapToGrid w:val="false"/>
      <w:spacing w:lineRule="exact" w:line="300" w:before="120" w:after="120"/>
      <w:jc w:val="both"/>
    </w:pPr>
    <w:rPr>
      <w:rFonts w:ascii="Arial" w:hAnsi="Arial" w:cs="Arial"/>
      <w:sz w:val="20"/>
      <w:szCs w:val="20"/>
      <w:lang w:val="en-GB"/>
    </w:rPr>
  </w:style>
  <w:style w:type="paragraph" w:styleId="PlainText">
    <w:name w:val="Plain Text"/>
    <w:basedOn w:val="Normal"/>
    <w:qFormat/>
    <w:pPr/>
    <w:rPr>
      <w:rFonts w:ascii="Consolas" w:hAnsi="Consolas" w:eastAsia="Calibri" w:cs="Consolas"/>
      <w:sz w:val="21"/>
      <w:szCs w:val="21"/>
    </w:rPr>
  </w:style>
  <w:style w:type="paragraph" w:styleId="CharCharChar">
    <w:name w:val="Char Char Char"/>
    <w:basedOn w:val="Normal"/>
    <w:qFormat/>
    <w:pPr>
      <w:pageBreakBefore/>
      <w:spacing w:before="280" w:after="280"/>
      <w:jc w:val="both"/>
    </w:pPr>
    <w:rPr>
      <w:rFonts w:ascii="Tahoma" w:hAnsi="Tahoma" w:cs="Tahoma"/>
      <w:sz w:val="20"/>
      <w:szCs w:val="20"/>
    </w:rPr>
  </w:style>
  <w:style w:type="paragraph" w:styleId="Normal2">
    <w:name w:val="Normal2"/>
    <w:qFormat/>
    <w:pPr>
      <w:widowControl/>
      <w:bidi w:val="0"/>
    </w:pPr>
    <w:rPr>
      <w:rFonts w:ascii="Times New Roman" w:hAnsi="Times New Roman" w:eastAsia="Times New Roman" w:cs="Times New Roman"/>
      <w:color w:val="000000"/>
      <w:sz w:val="24"/>
      <w:szCs w:val="20"/>
      <w:lang w:val="en-US" w:bidi="ar-SA" w:eastAsia="zh-CN"/>
    </w:rPr>
  </w:style>
  <w:style w:type="paragraph" w:styleId="Xmsonormal">
    <w:name w:val="x_msonormal"/>
    <w:basedOn w:val="Normal"/>
    <w:qFormat/>
    <w:pPr>
      <w:spacing w:before="280" w:after="280"/>
    </w:pPr>
    <w:rPr/>
  </w:style>
  <w:style w:type="paragraph" w:styleId="MediumShading1Accent11">
    <w:name w:val="Medium Shading 1 - Accent 11"/>
    <w:qFormat/>
    <w:pPr>
      <w:widowControl/>
      <w:bidi w:val="0"/>
    </w:pPr>
    <w:rPr>
      <w:rFonts w:ascii="Times New Roman" w:hAnsi="Times New Roman" w:eastAsia="Times New Roman" w:cs="Times New Roman"/>
      <w:color w:val="auto"/>
      <w:sz w:val="28"/>
      <w:szCs w:val="24"/>
      <w:lang w:val="en-US" w:bidi="ar-SA" w:eastAsia="zh-CN"/>
    </w:rPr>
  </w:style>
  <w:style w:type="paragraph" w:styleId="WWChar">
    <w:name w:val="WW-Char"/>
    <w:basedOn w:val="Normal"/>
    <w:next w:val="Normal"/>
    <w:qFormat/>
    <w:pPr>
      <w:spacing w:lineRule="auto" w:line="312" w:before="120" w:after="120"/>
    </w:pPr>
    <w:rPr>
      <w:sz w:val="28"/>
      <w:szCs w:val="28"/>
    </w:rPr>
  </w:style>
  <w:style w:type="paragraph" w:styleId="CharChar2CharCharCharCharCharChar">
    <w:name w:val="Char Char2 Char Char Char Char Char Char"/>
    <w:basedOn w:val="Normal"/>
    <w:qFormat/>
    <w:pPr/>
    <w:rPr>
      <w:rFonts w:ascii="Tahoma" w:hAnsi="Tahoma" w:cs="Tahoma"/>
      <w:lang w:val="pl-PL"/>
    </w:rPr>
  </w:style>
  <w:style w:type="paragraph" w:styleId="List0020paragraph">
    <w:name w:val="list_0020paragraph"/>
    <w:basedOn w:val="Normal"/>
    <w:qFormat/>
    <w:pPr>
      <w:spacing w:before="280" w:after="280"/>
    </w:pPr>
    <w:rPr/>
  </w:style>
  <w:style w:type="paragraph" w:styleId="Yiv3519430896msonormal">
    <w:name w:val="yiv3519430896msonormal"/>
    <w:basedOn w:val="Normal"/>
    <w:qFormat/>
    <w:pPr>
      <w:spacing w:before="280" w:after="280"/>
    </w:pPr>
    <w:rPr/>
  </w:style>
  <w:style w:type="paragraph" w:styleId="BodyTextIndent2">
    <w:name w:val="Body Text Indent 2"/>
    <w:basedOn w:val="Normal"/>
    <w:qFormat/>
    <w:pPr>
      <w:spacing w:lineRule="auto" w:line="480" w:before="0" w:after="120"/>
      <w:ind w:left="360" w:hanging="0"/>
    </w:pPr>
    <w:rPr>
      <w:sz w:val="28"/>
      <w:szCs w:val="28"/>
    </w:rPr>
  </w:style>
  <w:style w:type="paragraph" w:styleId="ListParagraph">
    <w:name w:val="List Paragraph"/>
    <w:basedOn w:val="Normal"/>
    <w:qFormat/>
    <w:pPr>
      <w:spacing w:lineRule="auto" w:line="276" w:before="0" w:after="200"/>
      <w:ind w:left="720" w:hanging="0"/>
      <w:contextualSpacing/>
    </w:pPr>
    <w:rPr>
      <w:rFonts w:eastAsia="Calibri"/>
      <w:sz w:val="28"/>
      <w:szCs w:val="22"/>
    </w:rPr>
  </w:style>
  <w:style w:type="paragraph" w:styleId="BodyText3">
    <w:name w:val="Body Text 3"/>
    <w:basedOn w:val="Normal"/>
    <w:qFormat/>
    <w:pPr>
      <w:spacing w:before="0" w:after="120"/>
    </w:pPr>
    <w:rPr>
      <w:sz w:val="16"/>
      <w:szCs w:val="16"/>
    </w:rPr>
  </w:style>
  <w:style w:type="paragraph" w:styleId="Normal3">
    <w:name w:val="Normal3"/>
    <w:qFormat/>
    <w:pPr>
      <w:widowControl/>
      <w:bidi w:val="0"/>
    </w:pPr>
    <w:rPr>
      <w:rFonts w:ascii="Times New Roman" w:hAnsi="Times New Roman" w:eastAsia="Times New Roman" w:cs="Times New Roman"/>
      <w:color w:val="000000"/>
      <w:sz w:val="24"/>
      <w:szCs w:val="20"/>
      <w:lang w:val="en-US" w:bidi="ar-SA" w:eastAsia="zh-CN"/>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Contents">
    <w:name w:val="Contents"/>
    <w:basedOn w:val="Normal"/>
    <w:qFormat/>
    <w:pPr>
      <w:spacing w:before="120" w:after="60"/>
      <w:ind w:firstLine="709"/>
      <w:jc w:val="both"/>
    </w:pPr>
    <w:rPr>
      <w:sz w:val="28"/>
      <w:szCs w:val="28"/>
      <w:lang w:val="de-D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2022-03-01T10:39:00Z</dcterms:created>
  <dc:creator>Le Anh Tuan</dc:creator>
  <dc:description/>
  <cp:keywords/>
  <dc:language>en-US</dc:language>
  <cp:lastModifiedBy>Dang Thi Tuyet Minh</cp:lastModifiedBy>
  <cp:lastPrinted>2022-03-01T10:13:00Z</cp:lastPrinted>
  <dcterms:modified xsi:type="dcterms:W3CDTF">2022-03-01T10:39:00Z</dcterms:modified>
  <cp:revision>2</cp:revision>
  <dc:subject/>
  <dc:title>BỘ NÔNG NGHIỆP VÀ</dc:title>
</cp:coreProperties>
</file>