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7" w:type="dxa"/>
        <w:jc w:val="left"/>
        <w:tblInd w:w="-709" w:type="dxa"/>
        <w:tblLayout w:type="fixed"/>
        <w:tblCellMar>
          <w:top w:w="0" w:type="dxa"/>
          <w:left w:w="108" w:type="dxa"/>
          <w:bottom w:w="0" w:type="dxa"/>
          <w:right w:w="108" w:type="dxa"/>
        </w:tblCellMar>
      </w:tblPr>
      <w:tblGrid>
        <w:gridCol w:w="4111"/>
        <w:gridCol w:w="6096"/>
      </w:tblGrid>
      <w:tr>
        <w:trPr>
          <w:trHeight w:val="1548" w:hRule="atLeast"/>
        </w:trPr>
        <w:tc>
          <w:tcPr>
            <w:tcW w:w="4111" w:type="dxa"/>
            <w:tcBorders/>
          </w:tcPr>
          <w:p>
            <w:pPr>
              <w:pStyle w:val="Default"/>
              <w:ind w:firstLine="45"/>
              <w:jc w:val="center"/>
              <w:rPr>
                <w:b/>
                <w:b/>
                <w:color w:val="000000"/>
              </w:rPr>
            </w:pPr>
            <w:r>
              <w:rPr>
                <w:b/>
                <w:color w:val="000000"/>
              </w:rPr>
              <w:t xml:space="preserve">BỘ NÔNG NGHIỆP </w:t>
            </w:r>
          </w:p>
          <w:p>
            <w:pPr>
              <w:pStyle w:val="Default"/>
              <w:ind w:firstLine="45"/>
              <w:jc w:val="center"/>
              <w:rPr>
                <w:b/>
                <w:b/>
                <w:color w:val="000000"/>
              </w:rPr>
            </w:pPr>
            <w:r>
              <w:rPr>
                <w:b/>
                <w:color w:val="000000"/>
              </w:rPr>
              <w:t xml:space="preserve">VÀ PHÁT TRIỂN NÔNG THÔN </w:t>
            </w:r>
          </w:p>
          <w:p>
            <w:pPr>
              <w:pStyle w:val="Default"/>
              <w:tabs>
                <w:tab w:val="clear" w:pos="720"/>
                <w:tab w:val="left" w:pos="896" w:leader="none"/>
              </w:tabs>
              <w:ind w:firstLine="720"/>
              <w:jc w:val="center"/>
              <w:rPr>
                <w:b/>
                <w:b/>
                <w:bCs/>
                <w:color w:val="000000"/>
                <w:sz w:val="28"/>
                <w:szCs w:val="28"/>
              </w:rPr>
            </w:pPr>
            <w:r>
              <mc:AlternateContent>
                <mc:Choice Requires="wps">
                  <w:drawing>
                    <wp:anchor behindDoc="0" distT="0" distB="0" distL="0" distR="0" simplePos="0" locked="0" layoutInCell="1" allowOverlap="1" relativeHeight="3">
                      <wp:simplePos x="0" y="0"/>
                      <wp:positionH relativeFrom="column">
                        <wp:posOffset>506730</wp:posOffset>
                      </wp:positionH>
                      <wp:positionV relativeFrom="paragraph">
                        <wp:posOffset>60960</wp:posOffset>
                      </wp:positionV>
                      <wp:extent cx="1285875" cy="635"/>
                      <wp:effectExtent l="0" t="0" r="0" b="0"/>
                      <wp:wrapNone/>
                      <wp:docPr id="1" name="AutoShape 6"/>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6" stroked="t" o:allowincell="t" style="position:absolute;margin-left:39.9pt;margin-top:4.8pt;width:0pt;height:0pt" type="_x0000_t32">
                      <v:stroke color="black" weight="9360" joinstyle="miter" endcap="flat"/>
                      <v:fill o:detectmouseclick="t" on="false"/>
                      <w10:wrap type="none"/>
                    </v:shape>
                  </w:pict>
                </mc:Fallback>
              </mc:AlternateContent>
            </w:r>
            <w:r>
              <w:rPr>
                <w:b/>
                <w:bCs/>
                <w:color w:val="000000"/>
                <w:sz w:val="28"/>
                <w:szCs w:val="28"/>
              </w:rPr>
              <w:t xml:space="preserve"> </w:t>
            </w:r>
          </w:p>
          <w:p>
            <w:pPr>
              <w:pStyle w:val="Default"/>
              <w:tabs>
                <w:tab w:val="clear" w:pos="720"/>
                <w:tab w:val="left" w:pos="896" w:leader="none"/>
              </w:tabs>
              <w:ind w:firstLine="720"/>
              <w:jc w:val="center"/>
              <w:rPr>
                <w:color w:val="000000"/>
                <w:sz w:val="28"/>
                <w:szCs w:val="28"/>
              </w:rPr>
            </w:pPr>
            <w:r>
              <w:rPr>
                <w:color w:val="000000"/>
                <w:sz w:val="28"/>
                <w:szCs w:val="28"/>
              </w:rPr>
              <w:t xml:space="preserve"> </w:t>
            </w:r>
          </w:p>
        </w:tc>
        <w:tc>
          <w:tcPr>
            <w:tcW w:w="6096" w:type="dxa"/>
            <w:tcBorders/>
          </w:tcPr>
          <w:p>
            <w:pPr>
              <w:pStyle w:val="Default"/>
              <w:jc w:val="center"/>
              <w:rPr/>
            </w:pPr>
            <w:r>
              <w:rPr>
                <w:b/>
                <w:bCs/>
                <w:color w:val="000000"/>
                <w:sz w:val="28"/>
                <w:szCs w:val="28"/>
              </w:rPr>
              <w:t xml:space="preserve">      </w:t>
            </w:r>
            <w:r>
              <w:rPr>
                <w:b/>
                <w:bCs/>
                <w:color w:val="000000"/>
              </w:rPr>
              <w:t xml:space="preserve">CỘNG HÒA XÃ HỘI CHỦ NGHĨA VIỆT NAM </w:t>
            </w:r>
          </w:p>
          <w:p>
            <w:pPr>
              <w:pStyle w:val="Default"/>
              <w:ind w:firstLine="720"/>
              <w:jc w:val="center"/>
              <w:rPr>
                <w:color w:val="000000"/>
                <w:sz w:val="28"/>
                <w:szCs w:val="28"/>
              </w:rPr>
            </w:pPr>
            <w:r>
              <w:rPr>
                <w:b/>
                <w:bCs/>
                <w:iCs/>
                <w:color w:val="000000"/>
                <w:sz w:val="28"/>
                <w:szCs w:val="28"/>
              </w:rPr>
              <w:t>Độc lập - Tự do - Hạnh phúc</w:t>
            </w:r>
          </w:p>
          <w:p>
            <w:pPr>
              <w:pStyle w:val="Default"/>
              <w:ind w:firstLine="720"/>
              <w:jc w:val="center"/>
              <w:rPr>
                <w:b/>
                <w:b/>
                <w:bCs/>
                <w:i/>
                <w:i/>
                <w:iCs/>
                <w:color w:val="000000"/>
                <w:sz w:val="28"/>
                <w:szCs w:val="28"/>
                <w:lang w:val="en-US" w:eastAsia="en-US"/>
              </w:rPr>
            </w:pPr>
            <w:r>
              <w:rPr>
                <w:b/>
                <w:bCs/>
                <w:i/>
                <w:iCs/>
                <w:color w:val="000000"/>
                <w:sz w:val="28"/>
                <w:szCs w:val="28"/>
                <w:lang w:val="en-US" w:eastAsia="en-US"/>
              </w:rPr>
              <mc:AlternateContent>
                <mc:Choice Requires="wps">
                  <w:drawing>
                    <wp:anchor behindDoc="0" distT="0" distB="0" distL="114935" distR="114935" simplePos="0" locked="0" layoutInCell="1" allowOverlap="1" relativeHeight="2">
                      <wp:simplePos x="0" y="0"/>
                      <wp:positionH relativeFrom="column">
                        <wp:posOffset>1196340</wp:posOffset>
                      </wp:positionH>
                      <wp:positionV relativeFrom="paragraph">
                        <wp:posOffset>31750</wp:posOffset>
                      </wp:positionV>
                      <wp:extent cx="1973580" cy="0"/>
                      <wp:effectExtent l="0" t="5080" r="0" b="5080"/>
                      <wp:wrapNone/>
                      <wp:docPr id="2" name="Line 5"/>
                      <a:graphic xmlns:a="http://schemas.openxmlformats.org/drawingml/2006/main">
                        <a:graphicData uri="http://schemas.microsoft.com/office/word/2010/wordprocessingShape">
                          <wps:wsp>
                            <wps:cNvSpPr/>
                            <wps:spPr>
                              <a:xfrm>
                                <a:off x="0" y="0"/>
                                <a:ext cx="197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2pt,2.5pt" to="249.55pt,2.5pt" ID="Line 5" stroked="t" o:allowincell="t" style="position:absolute">
                      <v:stroke color="black" weight="9360" joinstyle="miter" endcap="flat"/>
                      <v:fill o:detectmouseclick="t" on="false"/>
                      <w10:wrap type="none"/>
                    </v:line>
                  </w:pict>
                </mc:Fallback>
              </mc:AlternateContent>
            </w:r>
          </w:p>
          <w:p>
            <w:pPr>
              <w:pStyle w:val="Default"/>
              <w:ind w:firstLine="720"/>
              <w:jc w:val="center"/>
              <w:rPr>
                <w:i/>
                <w:i/>
                <w:color w:val="000000"/>
                <w:sz w:val="28"/>
                <w:szCs w:val="28"/>
              </w:rPr>
            </w:pPr>
            <w:r>
              <w:rPr>
                <w:i/>
                <w:iCs/>
                <w:color w:val="000000"/>
                <w:sz w:val="28"/>
                <w:szCs w:val="28"/>
              </w:rPr>
              <w:t xml:space="preserve">    </w:t>
            </w:r>
            <w:r>
              <w:rPr>
                <w:i/>
                <w:iCs/>
                <w:color w:val="000000"/>
                <w:sz w:val="28"/>
                <w:szCs w:val="28"/>
              </w:rPr>
              <w:t>Hà Nội, ngày  28 tháng 4 năm 2022</w:t>
            </w:r>
          </w:p>
        </w:tc>
      </w:tr>
    </w:tbl>
    <w:p>
      <w:pPr>
        <w:pStyle w:val="Default"/>
        <w:jc w:val="center"/>
        <w:rPr>
          <w:b/>
          <w:b/>
          <w:bCs/>
          <w:color w:val="000000"/>
          <w:sz w:val="28"/>
          <w:szCs w:val="28"/>
        </w:rPr>
      </w:pPr>
      <w:r>
        <w:rPr>
          <w:b/>
          <w:bCs/>
          <w:color w:val="000000"/>
          <w:sz w:val="28"/>
          <w:szCs w:val="28"/>
        </w:rPr>
        <w:t xml:space="preserve">BÁO CÁO </w:t>
      </w:r>
    </w:p>
    <w:p>
      <w:pPr>
        <w:pStyle w:val="Default"/>
        <w:jc w:val="center"/>
        <w:rPr>
          <w:b/>
          <w:b/>
          <w:bCs/>
          <w:color w:val="000000"/>
          <w:sz w:val="28"/>
          <w:szCs w:val="28"/>
        </w:rPr>
      </w:pPr>
      <w:r>
        <w:rPr>
          <w:b/>
          <w:bCs/>
          <w:color w:val="000000"/>
          <w:sz w:val="28"/>
          <w:szCs w:val="28"/>
        </w:rPr>
        <w:t>Tình hình thực hiện kế hoạch tháng 4, 4 tháng đầu năm</w:t>
      </w:r>
    </w:p>
    <w:p>
      <w:pPr>
        <w:pStyle w:val="Default"/>
        <w:jc w:val="center"/>
        <w:rPr>
          <w:b/>
          <w:b/>
          <w:bCs/>
          <w:color w:val="000000"/>
          <w:sz w:val="28"/>
          <w:szCs w:val="28"/>
        </w:rPr>
      </w:pPr>
      <w:r>
        <w:rPr>
          <w:b/>
          <w:bCs/>
          <w:color w:val="000000"/>
          <w:sz w:val="28"/>
          <w:szCs w:val="28"/>
        </w:rPr>
        <w:t>và nhiệm vụ công tác tháng 5</w:t>
      </w:r>
    </w:p>
    <w:p>
      <w:pPr>
        <w:pStyle w:val="Default"/>
        <w:spacing w:lineRule="exact" w:line="360" w:before="80" w:after="80"/>
        <w:ind w:firstLine="720"/>
        <w:jc w:val="both"/>
        <w:rPr>
          <w:b/>
          <w:b/>
          <w:bCs/>
          <w:color w:val="000000"/>
          <w:sz w:val="28"/>
          <w:szCs w:val="28"/>
          <w:lang w:val="en-US" w:eastAsia="en-US"/>
        </w:rPr>
      </w:pPr>
      <w:r>
        <w:rPr>
          <w:b/>
          <w:bCs/>
          <w:color w:val="000000"/>
          <w:sz w:val="28"/>
          <w:szCs w:val="28"/>
          <w:lang w:val="en-US" w:eastAsia="en-US"/>
        </w:rPr>
        <mc:AlternateContent>
          <mc:Choice Requires="wps">
            <w:drawing>
              <wp:anchor behindDoc="0" distT="0" distB="0" distL="0" distR="0" simplePos="0" locked="0" layoutInCell="0" allowOverlap="1" relativeHeight="4">
                <wp:simplePos x="0" y="0"/>
                <wp:positionH relativeFrom="column">
                  <wp:posOffset>1801495</wp:posOffset>
                </wp:positionH>
                <wp:positionV relativeFrom="paragraph">
                  <wp:posOffset>48895</wp:posOffset>
                </wp:positionV>
                <wp:extent cx="2243455" cy="635"/>
                <wp:effectExtent l="0" t="0" r="0" b="0"/>
                <wp:wrapNone/>
                <wp:docPr id="3" name="AutoShape 9"/>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ID="AutoShape 9" stroked="t" o:allowincell="f" style="position:absolute;margin-left:141.85pt;margin-top:3.85pt;width:0pt;height:0pt" type="_x0000_t32">
                <v:stroke color="black" weight="9360" joinstyle="miter" endcap="flat"/>
                <v:fill o:detectmouseclick="t" on="false"/>
                <w10:wrap type="none"/>
              </v:shape>
            </w:pict>
          </mc:Fallback>
        </mc:AlternateContent>
      </w:r>
    </w:p>
    <w:p>
      <w:pPr>
        <w:pStyle w:val="Default"/>
        <w:widowControl w:val="false"/>
        <w:spacing w:before="120" w:after="0"/>
        <w:ind w:firstLine="720"/>
        <w:jc w:val="both"/>
        <w:rPr>
          <w:b/>
          <w:b/>
          <w:bCs/>
          <w:color w:val="000000"/>
          <w:sz w:val="28"/>
          <w:szCs w:val="28"/>
        </w:rPr>
      </w:pPr>
      <w:r>
        <w:rPr>
          <w:b/>
          <w:bCs/>
          <w:color w:val="000000"/>
          <w:sz w:val="28"/>
          <w:szCs w:val="28"/>
        </w:rPr>
        <w:t xml:space="preserve">I. KẾT QUẢ THỰC HIỆN KẾ HOẠCH THÁNG 4 VÀ 4 THÁNG </w:t>
      </w:r>
    </w:p>
    <w:p>
      <w:pPr>
        <w:pStyle w:val="Default"/>
        <w:widowControl w:val="false"/>
        <w:spacing w:before="100" w:after="0"/>
        <w:ind w:firstLine="720"/>
        <w:jc w:val="both"/>
        <w:rPr>
          <w:rFonts w:eastAsia="MS Mincho;Yu Gothic UI"/>
          <w:color w:val="000000"/>
          <w:sz w:val="28"/>
          <w:szCs w:val="28"/>
          <w:lang w:val="vi-VN" w:eastAsia="ja-JP"/>
        </w:rPr>
      </w:pPr>
      <w:bookmarkStart w:id="0" w:name="_Hlk36194803"/>
      <w:r>
        <w:rPr>
          <w:color w:val="000000"/>
          <w:sz w:val="28"/>
          <w:szCs w:val="28"/>
        </w:rPr>
        <w:t xml:space="preserve"> </w:t>
      </w:r>
      <w:r>
        <w:rPr>
          <w:color w:val="000000"/>
          <w:sz w:val="28"/>
          <w:szCs w:val="28"/>
        </w:rPr>
        <w:t>Sản xuất nông, lâm nghiệp và thủy sản vẫn gặp nhiều khó khăn do biến</w:t>
      </w:r>
      <w:r>
        <w:rPr>
          <w:bCs/>
          <w:color w:val="000000"/>
          <w:sz w:val="28"/>
          <w:szCs w:val="28"/>
        </w:rPr>
        <w:t xml:space="preserve"> động thời tiết, thị trường tiêu thụ và đặc biệt là giá vật tư nguyên liệu đầu vào phục vụ sản xuất vẫn cao. Dù vậy, sản xuất </w:t>
      </w:r>
      <w:r>
        <w:rPr>
          <w:color w:val="000000"/>
          <w:sz w:val="28"/>
          <w:szCs w:val="28"/>
          <w:lang w:val="es-ES"/>
        </w:rPr>
        <w:t xml:space="preserve">nông lâm thủy sản tiếp tục đạt được kết quả khả quan, xuất khẩu nông sản tăng mạnh với suất siêu 4 tháng gấp 3,2 lần so với cùng kỳ năm ngoái. </w:t>
      </w:r>
      <w:bookmarkEnd w:id="0"/>
      <w:r>
        <w:rPr>
          <w:rFonts w:eastAsia="MS Mincho;Yu Gothic UI"/>
          <w:color w:val="000000"/>
          <w:sz w:val="28"/>
          <w:szCs w:val="28"/>
          <w:lang w:val="vi-VN" w:eastAsia="ja-JP"/>
        </w:rPr>
        <w:t xml:space="preserve">Một số kết quả cụ thể như sau: </w:t>
      </w:r>
    </w:p>
    <w:p>
      <w:pPr>
        <w:pStyle w:val="Normal"/>
        <w:widowControl w:val="false"/>
        <w:spacing w:before="100" w:after="0"/>
        <w:ind w:firstLine="720"/>
        <w:jc w:val="both"/>
        <w:rPr>
          <w:b/>
          <w:b/>
          <w:sz w:val="28"/>
          <w:szCs w:val="28"/>
          <w:lang w:val="da-DK"/>
        </w:rPr>
      </w:pPr>
      <w:r>
        <w:rPr>
          <w:b/>
          <w:sz w:val="28"/>
          <w:szCs w:val="28"/>
          <w:lang w:val="da-DK"/>
        </w:rPr>
        <w:t>1. Kết quả sản xuất</w:t>
      </w:r>
    </w:p>
    <w:p>
      <w:pPr>
        <w:pStyle w:val="Normal"/>
        <w:widowControl w:val="false"/>
        <w:spacing w:before="100" w:after="0"/>
        <w:ind w:firstLine="720"/>
        <w:jc w:val="both"/>
        <w:rPr/>
      </w:pPr>
      <w:r>
        <w:rPr>
          <w:sz w:val="28"/>
          <w:szCs w:val="28"/>
          <w:lang w:val="da-DK"/>
        </w:rPr>
        <w:t>a) Trồng trọt</w:t>
      </w:r>
    </w:p>
    <w:p>
      <w:pPr>
        <w:pStyle w:val="Normal"/>
        <w:widowControl w:val="false"/>
        <w:shd w:fill="FFFFFF" w:val="clear"/>
        <w:tabs>
          <w:tab w:val="clear" w:pos="720"/>
          <w:tab w:val="left" w:pos="2847" w:leader="none"/>
        </w:tabs>
        <w:spacing w:before="100" w:after="0"/>
        <w:ind w:firstLine="720"/>
        <w:jc w:val="both"/>
        <w:rPr>
          <w:i/>
          <w:i/>
          <w:sz w:val="28"/>
          <w:szCs w:val="28"/>
          <w:lang w:val="pt-BR"/>
        </w:rPr>
      </w:pPr>
      <w:bookmarkStart w:id="1" w:name="_Hlk36194785"/>
      <w:bookmarkEnd w:id="1"/>
      <w:r>
        <w:rPr>
          <w:sz w:val="28"/>
          <w:szCs w:val="28"/>
          <w:lang w:val="pt-BR"/>
        </w:rPr>
        <w:t>Trong tháng, tập trung chỉ đạo các địa phương gieo trồng, chăm sóc lúa và cây màu vụ xuân tại các địa phương phía Bắc; thu hoạch lúa Đông Xuân và gieo cấy lúa vụ Hè Thu tại các địa phương phía Nam.</w:t>
      </w:r>
      <w:r>
        <w:rPr>
          <w:i/>
          <w:sz w:val="28"/>
          <w:szCs w:val="28"/>
          <w:lang w:val="pt-BR"/>
        </w:rPr>
        <w:t xml:space="preserve"> </w:t>
      </w:r>
    </w:p>
    <w:p>
      <w:pPr>
        <w:pStyle w:val="Normal"/>
        <w:widowControl w:val="false"/>
        <w:shd w:fill="FFFFFF" w:val="clear"/>
        <w:tabs>
          <w:tab w:val="clear" w:pos="720"/>
          <w:tab w:val="left" w:pos="2847" w:leader="none"/>
        </w:tabs>
        <w:spacing w:before="100" w:after="0"/>
        <w:ind w:firstLine="720"/>
        <w:jc w:val="both"/>
        <w:rPr>
          <w:i/>
          <w:i/>
          <w:iCs/>
          <w:sz w:val="28"/>
          <w:szCs w:val="28"/>
          <w:lang w:val="nb-NO"/>
        </w:rPr>
      </w:pPr>
      <w:bookmarkStart w:id="2" w:name="_Hlk36194785"/>
      <w:bookmarkEnd w:id="2"/>
      <w:r>
        <w:rPr>
          <w:i/>
          <w:iCs/>
          <w:sz w:val="28"/>
          <w:szCs w:val="28"/>
          <w:lang w:val="nb-NO"/>
        </w:rPr>
        <w:t xml:space="preserve">* Lúa </w:t>
      </w:r>
    </w:p>
    <w:p>
      <w:pPr>
        <w:pStyle w:val="Normal"/>
        <w:widowControl w:val="false"/>
        <w:spacing w:before="100" w:after="0"/>
        <w:ind w:firstLine="720"/>
        <w:jc w:val="both"/>
        <w:rPr/>
      </w:pPr>
      <w:r>
        <w:rPr>
          <w:sz w:val="28"/>
          <w:szCs w:val="28"/>
          <w:lang w:val="nb-NO"/>
        </w:rPr>
        <w:t xml:space="preserve">Tính đến trung tuần tháng 4, </w:t>
      </w:r>
      <w:bookmarkStart w:id="3" w:name="_Hlk52269939"/>
      <w:r>
        <w:rPr>
          <w:sz w:val="28"/>
          <w:szCs w:val="28"/>
          <w:lang w:val="nb-NO"/>
        </w:rPr>
        <w:t xml:space="preserve">cả nước gieo cấy được </w:t>
      </w:r>
      <w:r>
        <w:rPr>
          <w:sz w:val="28"/>
          <w:szCs w:val="28"/>
        </w:rPr>
        <w:t xml:space="preserve">3.496,7 nghìn ha nghìn </w:t>
      </w:r>
      <w:r>
        <w:rPr>
          <w:sz w:val="28"/>
          <w:szCs w:val="28"/>
          <w:lang w:val="nb-NO"/>
        </w:rPr>
        <w:t>ha lúa Đông Xuân</w:t>
      </w:r>
      <w:bookmarkStart w:id="4" w:name="_Hlk52269958"/>
      <w:bookmarkEnd w:id="3"/>
      <w:r>
        <w:rPr>
          <w:sz w:val="28"/>
          <w:szCs w:val="28"/>
          <w:lang w:val="nb-NO"/>
        </w:rPr>
        <w:t xml:space="preserve"> và Hè Thu; đã thu hoạch khoảng </w:t>
      </w:r>
      <w:r>
        <w:rPr>
          <w:sz w:val="28"/>
          <w:szCs w:val="28"/>
        </w:rPr>
        <w:t>1.893,6 nghìn ha, tăng 5,0% cùng kỳ</w:t>
      </w:r>
      <w:r>
        <w:rPr>
          <w:rStyle w:val="FootnoteCharacters"/>
          <w:rStyle w:val="FootnoteAnchor"/>
          <w:sz w:val="28"/>
          <w:szCs w:val="28"/>
        </w:rPr>
        <w:footnoteReference w:id="2"/>
      </w:r>
      <w:r>
        <w:rPr>
          <w:sz w:val="28"/>
          <w:szCs w:val="28"/>
          <w:lang w:val="vi-VN"/>
        </w:rPr>
        <w:t>;</w:t>
      </w:r>
      <w:r>
        <w:rPr>
          <w:sz w:val="28"/>
          <w:szCs w:val="28"/>
        </w:rPr>
        <w:t xml:space="preserve"> </w:t>
      </w:r>
      <w:r>
        <w:rPr>
          <w:bCs/>
          <w:sz w:val="28"/>
          <w:szCs w:val="28"/>
          <w:lang w:val="vi-VN"/>
        </w:rPr>
        <w:t xml:space="preserve">sản lượng </w:t>
      </w:r>
      <w:r>
        <w:rPr>
          <w:bCs/>
          <w:sz w:val="28"/>
          <w:szCs w:val="28"/>
          <w:lang w:val="nl-NL"/>
        </w:rPr>
        <w:t xml:space="preserve">thu hoạch đạt khoảng 12,8 </w:t>
      </w:r>
      <w:r>
        <w:rPr>
          <w:bCs/>
          <w:sz w:val="28"/>
          <w:szCs w:val="28"/>
          <w:lang w:val="vi-VN"/>
        </w:rPr>
        <w:t>triệu tấn</w:t>
      </w:r>
      <w:r>
        <w:rPr>
          <w:sz w:val="28"/>
          <w:szCs w:val="28"/>
          <w:lang w:val="vi-VN"/>
        </w:rPr>
        <w:t>.</w:t>
      </w:r>
      <w:r>
        <w:rPr>
          <w:sz w:val="28"/>
          <w:szCs w:val="28"/>
          <w:lang w:val="nb-NO"/>
        </w:rPr>
        <w:t xml:space="preserve">  </w:t>
      </w:r>
      <w:bookmarkEnd w:id="4"/>
    </w:p>
    <w:p>
      <w:pPr>
        <w:pStyle w:val="Normal"/>
        <w:widowControl w:val="false"/>
        <w:spacing w:before="100" w:after="0"/>
        <w:ind w:firstLine="720"/>
        <w:jc w:val="both"/>
        <w:rPr>
          <w:sz w:val="28"/>
          <w:szCs w:val="28"/>
        </w:rPr>
      </w:pPr>
      <w:r>
        <w:rPr>
          <w:sz w:val="28"/>
          <w:szCs w:val="28"/>
          <w:lang w:val="nb-NO"/>
        </w:rPr>
        <w:t xml:space="preserve">- Vụ Đông Xuân: </w:t>
      </w:r>
      <w:r>
        <w:rPr>
          <w:sz w:val="28"/>
          <w:szCs w:val="28"/>
        </w:rPr>
        <w:t>Tính đến trung tâm tháng 4, cả nước đã gieo cấy được 2.990,6 nghìn ha, giảm 0,4% so cùng kỳ năm trước (CKNT); thu hoạch được 1.568,7 nghìn ha (+4,9% so với CKNT, chiếm 52,4% diện tích gieo trồng)</w:t>
      </w:r>
      <w:r>
        <w:rPr>
          <w:rStyle w:val="FootnoteCharacters"/>
          <w:rStyle w:val="FootnoteAnchor"/>
          <w:sz w:val="28"/>
          <w:szCs w:val="28"/>
        </w:rPr>
        <w:footnoteReference w:id="3"/>
      </w:r>
      <w:r>
        <w:rPr>
          <w:sz w:val="28"/>
          <w:szCs w:val="28"/>
        </w:rPr>
        <w:t xml:space="preserve">; năng suất bình quân trên diện tích thu hoạch đạt 71,1 tạ/ha, giảm 0,5 tạ/ha; sản lượng thu hoạch đạt trên 11,1 triệu tấn lúa. </w:t>
      </w:r>
    </w:p>
    <w:p>
      <w:pPr>
        <w:pStyle w:val="Normal"/>
        <w:widowControl w:val="false"/>
        <w:spacing w:before="100" w:after="0"/>
        <w:ind w:firstLine="720"/>
        <w:jc w:val="both"/>
        <w:rPr>
          <w:iCs/>
          <w:sz w:val="28"/>
          <w:szCs w:val="28"/>
        </w:rPr>
      </w:pPr>
      <w:r>
        <w:rPr>
          <w:sz w:val="28"/>
          <w:szCs w:val="28"/>
        </w:rPr>
        <w:t xml:space="preserve">Các địa phương phía Bắc gieo cấy đạt 1.077,9 </w:t>
      </w:r>
      <w:r>
        <w:rPr>
          <w:iCs/>
          <w:sz w:val="28"/>
          <w:szCs w:val="28"/>
        </w:rPr>
        <w:t>nghìn ha, giảm 0,7%; c</w:t>
      </w:r>
      <w:r>
        <w:rPr>
          <w:sz w:val="28"/>
          <w:szCs w:val="28"/>
        </w:rPr>
        <w:t xml:space="preserve">ác địa phương phía Nam gieo cấy đạt </w:t>
      </w:r>
      <w:r>
        <w:rPr>
          <w:iCs/>
          <w:sz w:val="28"/>
          <w:szCs w:val="28"/>
        </w:rPr>
        <w:t>1.912,6 nghìn ha, giảm 0,2%; riêng</w:t>
      </w:r>
      <w:r>
        <w:rPr>
          <w:sz w:val="28"/>
          <w:szCs w:val="28"/>
        </w:rPr>
        <w:t xml:space="preserve"> vùng ĐBSCL gieo cấy đạt </w:t>
      </w:r>
      <w:r>
        <w:rPr>
          <w:iCs/>
          <w:sz w:val="28"/>
          <w:szCs w:val="28"/>
        </w:rPr>
        <w:t xml:space="preserve">1.512,5 nghìn ha, giảm 6,1 nghìn ha, đã thu hoạch được </w:t>
      </w:r>
      <w:r>
        <w:rPr>
          <w:sz w:val="28"/>
          <w:szCs w:val="28"/>
        </w:rPr>
        <w:t xml:space="preserve">1.386,1 </w:t>
      </w:r>
      <w:r>
        <w:rPr>
          <w:iCs/>
          <w:sz w:val="28"/>
          <w:szCs w:val="28"/>
        </w:rPr>
        <w:t xml:space="preserve">nghìn ha với </w:t>
      </w:r>
      <w:r>
        <w:rPr>
          <w:sz w:val="28"/>
          <w:szCs w:val="28"/>
        </w:rPr>
        <w:t>năng suất thu hoạch đạt 71,8 tạ/ha; sản lượng thu hoạch gần 10 triệu tấn</w:t>
      </w:r>
      <w:r>
        <w:rPr>
          <w:iCs/>
          <w:sz w:val="28"/>
          <w:szCs w:val="28"/>
        </w:rPr>
        <w:t>.</w:t>
      </w:r>
    </w:p>
    <w:p>
      <w:pPr>
        <w:pStyle w:val="Normal"/>
        <w:widowControl w:val="false"/>
        <w:spacing w:before="100" w:after="0"/>
        <w:ind w:firstLine="720"/>
        <w:jc w:val="both"/>
        <w:rPr/>
      </w:pPr>
      <w:r>
        <w:rPr>
          <w:sz w:val="28"/>
          <w:szCs w:val="28"/>
          <w:lang w:val="da-DK"/>
        </w:rPr>
        <w:t xml:space="preserve">- Vụ Hè Thu: </w:t>
      </w:r>
      <w:r>
        <w:rPr>
          <w:bCs/>
          <w:sz w:val="28"/>
          <w:szCs w:val="28"/>
          <w:lang w:val="nl-NL"/>
        </w:rPr>
        <w:t xml:space="preserve">Các địa phương phía nam đã xuống giống </w:t>
      </w:r>
      <w:r>
        <w:rPr>
          <w:sz w:val="28"/>
          <w:szCs w:val="28"/>
        </w:rPr>
        <w:t xml:space="preserve">506,2 </w:t>
      </w:r>
      <w:r>
        <w:rPr>
          <w:bCs/>
          <w:sz w:val="28"/>
          <w:szCs w:val="28"/>
          <w:lang w:val="nl-NL"/>
        </w:rPr>
        <w:t>nghìn ha, tăng 8,1% so với CKNT; trong đó, riêng vùng ĐBSCL đã gieo cấy được 497,1 nghìn ha, tăng 7,5%. Tập trung tại Long An, Tiền Giang, Vĩnh Long, Đồng Tháp, An Giang, Kiên Giang, Cần Thơ và Hậu Giang.</w:t>
      </w:r>
    </w:p>
    <w:p>
      <w:pPr>
        <w:pStyle w:val="Normal"/>
        <w:widowControl w:val="false"/>
        <w:shd w:fill="FFFFFF" w:val="clear"/>
        <w:spacing w:before="100" w:after="0"/>
        <w:ind w:firstLine="720"/>
        <w:jc w:val="both"/>
        <w:rPr/>
      </w:pPr>
      <w:r>
        <w:rPr>
          <w:i/>
          <w:iCs/>
          <w:sz w:val="28"/>
          <w:szCs w:val="28"/>
        </w:rPr>
        <w:t>* Rau, màu:</w:t>
      </w:r>
      <w:r>
        <w:rPr>
          <w:rFonts w:eastAsia="Calibri"/>
          <w:iCs/>
          <w:sz w:val="28"/>
          <w:szCs w:val="28"/>
        </w:rPr>
        <w:t xml:space="preserve"> </w:t>
      </w:r>
      <w:bookmarkStart w:id="5" w:name="_Hlk36195153"/>
      <w:r>
        <w:rPr>
          <w:sz w:val="28"/>
          <w:szCs w:val="28"/>
        </w:rPr>
        <w:t xml:space="preserve">Cả nước đã gieo trồng được 375,5 nghìn ha ngô, tăng 1,2%; 52,8 nghìn ha khoai lang, giảm 8,3%; 12,9 nghìn ha đỗ tương, giảm 10,5%; 114,7 nghìn ha lạc, giảm 1,1%; 612,8 nghìn ha rau đậu, tăng 1,5%. </w:t>
      </w:r>
    </w:p>
    <w:p>
      <w:pPr>
        <w:pStyle w:val="Normal"/>
        <w:widowControl w:val="false"/>
        <w:shd w:fill="FFFFFF" w:val="clear"/>
        <w:spacing w:before="100" w:after="0"/>
        <w:ind w:firstLine="720"/>
        <w:jc w:val="both"/>
        <w:rPr>
          <w:sz w:val="28"/>
          <w:szCs w:val="28"/>
          <w:lang w:val="pt-BR"/>
        </w:rPr>
      </w:pPr>
      <w:bookmarkEnd w:id="5"/>
      <w:r>
        <w:rPr>
          <w:sz w:val="28"/>
          <w:szCs w:val="28"/>
          <w:lang w:val="nb-NO"/>
        </w:rPr>
        <w:t>b) Chăn nuôi</w:t>
      </w:r>
    </w:p>
    <w:p>
      <w:pPr>
        <w:pStyle w:val="Normal"/>
        <w:widowControl w:val="false"/>
        <w:spacing w:before="100" w:after="0"/>
        <w:ind w:firstLine="720"/>
        <w:jc w:val="both"/>
        <w:rPr>
          <w:sz w:val="28"/>
          <w:szCs w:val="28"/>
          <w:lang w:val="pt-BR"/>
        </w:rPr>
      </w:pPr>
      <w:r>
        <w:rPr>
          <w:iCs/>
          <w:sz w:val="28"/>
          <w:szCs w:val="28"/>
          <w:lang w:val="pt-BR"/>
        </w:rPr>
        <w:t xml:space="preserve">Trong tháng 4, Bộ tiếp tục </w:t>
      </w:r>
      <w:r>
        <w:rPr>
          <w:sz w:val="28"/>
          <w:szCs w:val="28"/>
          <w:lang w:val="pt-BR"/>
        </w:rPr>
        <w:t xml:space="preserve">phối hợp chặt chẽ với các địa phương thực hiện nghiêm các biện pháp kiểm soát, ngăn chặn dịch trên vật nuôi nên </w:t>
      </w:r>
      <w:r>
        <w:rPr>
          <w:iCs/>
          <w:sz w:val="28"/>
          <w:szCs w:val="28"/>
          <w:lang w:val="pt-BR"/>
        </w:rPr>
        <w:t xml:space="preserve">dịch bệnh cơ bản được kiểm soát; đồng thời đẩy mạnh </w:t>
      </w:r>
      <w:bookmarkStart w:id="6" w:name="_Hlk54601063"/>
      <w:r>
        <w:rPr>
          <w:sz w:val="28"/>
          <w:szCs w:val="28"/>
          <w:lang w:val="pt-BR"/>
        </w:rPr>
        <w:t xml:space="preserve">phát triển vùng chăn nuôi an toàn dịch bệnh; phối hợp với các bộ, ngành liên quan triển khai các giải pháp nhằm kiểm soát, ổn định giá TACN, giảm chi phí sản xuất,... </w:t>
      </w:r>
    </w:p>
    <w:p>
      <w:pPr>
        <w:pStyle w:val="Normal"/>
        <w:widowControl w:val="false"/>
        <w:spacing w:before="100" w:after="0"/>
        <w:ind w:firstLine="720"/>
        <w:jc w:val="both"/>
        <w:rPr/>
      </w:pPr>
      <w:r>
        <w:rPr>
          <w:sz w:val="28"/>
          <w:szCs w:val="28"/>
          <w:lang w:val="pt-BR"/>
        </w:rPr>
        <w:t xml:space="preserve">Đến cuối tháng 4, đàn gia súc, gia cầm phát triển ổn định. Cụ thể: Đàn trâu ước giảm khoảng 1,9%; đàn bò ước tăng khoảng 1,3%; </w:t>
      </w:r>
      <w:r>
        <w:rPr>
          <w:sz w:val="28"/>
          <w:szCs w:val="28"/>
        </w:rPr>
        <w:t>đ</w:t>
      </w:r>
      <w:r>
        <w:rPr>
          <w:sz w:val="28"/>
          <w:szCs w:val="28"/>
          <w:lang w:val="pt-BR"/>
        </w:rPr>
        <w:t>àn lợn tăng 5,5% và đàn gia cầm tăng 2,2%</w:t>
      </w:r>
      <w:r>
        <w:rPr>
          <w:sz w:val="28"/>
          <w:szCs w:val="28"/>
        </w:rPr>
        <w:t xml:space="preserve">. </w:t>
      </w:r>
      <w:bookmarkStart w:id="7" w:name="_Hlk46479941"/>
      <w:r>
        <w:rPr>
          <w:sz w:val="28"/>
          <w:szCs w:val="28"/>
          <w:lang w:val="pt-BR"/>
        </w:rPr>
        <w:t xml:space="preserve">4 tháng đầu năm cả </w:t>
      </w:r>
      <w:r>
        <w:rPr>
          <w:bCs/>
          <w:iCs/>
          <w:sz w:val="28"/>
          <w:szCs w:val="28"/>
          <w:lang w:val="nl-NL"/>
        </w:rPr>
        <w:t xml:space="preserve">nước có 2.303 cơ sở, vùng chăn nuôi tại 54 tỉnh/thành phố chứng nhận ATDB (982 cơ sở, vùng CN gia cầm; 1.148 cơ sở, vùng CN lợn và 173 cơ sở, vùng CN gia súc khác). </w:t>
      </w:r>
    </w:p>
    <w:p>
      <w:pPr>
        <w:pStyle w:val="Normal"/>
        <w:widowControl w:val="false"/>
        <w:spacing w:before="100" w:after="0"/>
        <w:ind w:firstLine="720"/>
        <w:jc w:val="both"/>
        <w:rPr>
          <w:sz w:val="28"/>
          <w:szCs w:val="28"/>
          <w:lang w:val="pt-BR"/>
        </w:rPr>
      </w:pPr>
      <w:r>
        <w:rPr>
          <w:sz w:val="28"/>
          <w:szCs w:val="28"/>
        </w:rPr>
        <w:t xml:space="preserve">Tính đến ngày 23/4, cả nước không có ổ dịch tai xanh và lở mồm long móng; </w:t>
      </w:r>
      <w:r>
        <w:rPr>
          <w:sz w:val="28"/>
          <w:szCs w:val="28"/>
          <w:lang w:val="sv-SE"/>
        </w:rPr>
        <w:t>có 07 ổ dịch cúm gia cầm</w:t>
      </w:r>
      <w:r>
        <w:rPr>
          <w:i/>
          <w:sz w:val="28"/>
          <w:szCs w:val="28"/>
          <w:lang w:val="sv-SE"/>
        </w:rPr>
        <w:t xml:space="preserve"> </w:t>
      </w:r>
      <w:r>
        <w:rPr>
          <w:sz w:val="28"/>
          <w:szCs w:val="28"/>
          <w:lang w:val="sv-SE"/>
        </w:rPr>
        <w:t xml:space="preserve">tại 05 tỉnh; có </w:t>
      </w:r>
      <w:r>
        <w:rPr>
          <w:sz w:val="28"/>
          <w:szCs w:val="28"/>
        </w:rPr>
        <w:t xml:space="preserve">42 ổ </w:t>
      </w:r>
      <w:r>
        <w:rPr>
          <w:bCs/>
          <w:sz w:val="28"/>
          <w:szCs w:val="28"/>
          <w:lang w:val="sv-SE"/>
        </w:rPr>
        <w:t>bệnh dịch tả lợn Châu Phi</w:t>
      </w:r>
      <w:r>
        <w:rPr>
          <w:sz w:val="28"/>
          <w:szCs w:val="28"/>
        </w:rPr>
        <w:t xml:space="preserve"> tại 27 tỉnh, thành phố và có </w:t>
      </w:r>
      <w:r>
        <w:rPr>
          <w:sz w:val="28"/>
          <w:szCs w:val="28"/>
          <w:lang w:val="sv-SE"/>
        </w:rPr>
        <w:t>38 ổ dịch viêm da nổi cục tại 04 tỉnh, thành phố chưa qua 21 ngày</w:t>
      </w:r>
      <w:r>
        <w:rPr>
          <w:bCs/>
          <w:sz w:val="28"/>
          <w:szCs w:val="28"/>
          <w:lang w:val="sv-SE"/>
        </w:rPr>
        <w:t>. Lũy kế 4 tháng, số gia súc, gia cầm phải tiêu hủy khoảng 70,8 nghìn con (47,5 nghìn con gia cầm, gần 23 nghìn con lợn, 311 trâu/bò).</w:t>
      </w:r>
    </w:p>
    <w:p>
      <w:pPr>
        <w:pStyle w:val="Normal"/>
        <w:widowControl w:val="false"/>
        <w:spacing w:before="100" w:after="0"/>
        <w:ind w:firstLine="720"/>
        <w:jc w:val="both"/>
        <w:rPr/>
      </w:pPr>
      <w:bookmarkEnd w:id="6"/>
      <w:bookmarkEnd w:id="7"/>
      <w:r>
        <w:rPr>
          <w:sz w:val="28"/>
          <w:szCs w:val="28"/>
          <w:lang w:val="es-AR"/>
        </w:rPr>
        <w:t>c)</w:t>
      </w:r>
      <w:r>
        <w:rPr>
          <w:sz w:val="28"/>
          <w:szCs w:val="28"/>
          <w:lang w:val="vi-VN"/>
        </w:rPr>
        <w:t xml:space="preserve"> Lâm nghiệp</w:t>
      </w:r>
    </w:p>
    <w:p>
      <w:pPr>
        <w:pStyle w:val="Normal"/>
        <w:widowControl w:val="false"/>
        <w:shd w:fill="FFFFFF" w:val="clear"/>
        <w:spacing w:before="100" w:after="0"/>
        <w:ind w:firstLine="720"/>
        <w:jc w:val="both"/>
        <w:rPr>
          <w:sz w:val="28"/>
          <w:szCs w:val="28"/>
          <w:lang w:val="de-DE"/>
        </w:rPr>
      </w:pPr>
      <w:r>
        <w:rPr>
          <w:sz w:val="28"/>
          <w:szCs w:val="28"/>
          <w:lang w:val="de-DE"/>
        </w:rPr>
        <w:t xml:space="preserve">Trong tháng, Bộ tập trung </w:t>
      </w:r>
      <w:r>
        <w:rPr>
          <w:iCs/>
          <w:sz w:val="28"/>
          <w:szCs w:val="28"/>
        </w:rPr>
        <w:t xml:space="preserve">chỉ đạo </w:t>
      </w:r>
      <w:r>
        <w:rPr>
          <w:iCs/>
          <w:sz w:val="28"/>
          <w:szCs w:val="28"/>
          <w:lang w:val="vi-VN"/>
        </w:rPr>
        <w:t xml:space="preserve">các địa phương </w:t>
      </w:r>
      <w:r>
        <w:rPr>
          <w:iCs/>
          <w:sz w:val="28"/>
          <w:szCs w:val="28"/>
        </w:rPr>
        <w:t xml:space="preserve">đẩy nhanh tiến độ </w:t>
      </w:r>
      <w:r>
        <w:rPr>
          <w:bCs/>
          <w:sz w:val="28"/>
          <w:szCs w:val="28"/>
        </w:rPr>
        <w:t>trồng và chăm sóc rừng,</w:t>
      </w:r>
      <w:r>
        <w:rPr>
          <w:sz w:val="28"/>
          <w:szCs w:val="28"/>
          <w:shd w:fill="FFFFFF" w:val="clear"/>
        </w:rPr>
        <w:t xml:space="preserve"> tăng cường công tác bảo vệ, phóng chống cháy rừng trong mùa khô tại khu vực phía Nam</w:t>
      </w:r>
      <w:r>
        <w:rPr>
          <w:sz w:val="28"/>
          <w:szCs w:val="28"/>
          <w:lang w:val="es-ES"/>
        </w:rPr>
        <w:t xml:space="preserve">. </w:t>
      </w:r>
      <w:bookmarkStart w:id="8" w:name="_Hlk65054659"/>
      <w:r>
        <w:rPr>
          <w:sz w:val="28"/>
          <w:szCs w:val="28"/>
        </w:rPr>
        <w:t xml:space="preserve"> </w:t>
      </w:r>
      <w:bookmarkEnd w:id="8"/>
    </w:p>
    <w:p>
      <w:pPr>
        <w:pStyle w:val="NormalWeb"/>
        <w:widowControl w:val="false"/>
        <w:spacing w:before="280" w:after="0"/>
        <w:ind w:firstLine="720"/>
        <w:jc w:val="both"/>
        <w:rPr/>
      </w:pPr>
      <w:r>
        <w:rPr>
          <w:sz w:val="28"/>
          <w:szCs w:val="28"/>
        </w:rPr>
        <w:t>Tháng 4,</w:t>
      </w:r>
      <w:r>
        <w:rPr>
          <w:sz w:val="28"/>
          <w:szCs w:val="28"/>
          <w:lang w:val="vi-VN"/>
        </w:rPr>
        <w:t xml:space="preserve"> </w:t>
      </w:r>
      <w:r>
        <w:rPr>
          <w:sz w:val="28"/>
          <w:szCs w:val="28"/>
        </w:rPr>
        <w:t xml:space="preserve">cả nước chuẩn bị được 114 triệu cây giống, trồng rừng </w:t>
      </w:r>
      <w:r>
        <w:rPr>
          <w:sz w:val="28"/>
          <w:szCs w:val="28"/>
          <w:shd w:fill="FFFFFF" w:val="clear"/>
        </w:rPr>
        <w:t>đạt 24,9 nghìn ha, giảm 13,2% so với CKNT, diện tích rừng trồng tăng cao chủ yếu ở Yên Bái, Nghệ An, Thanh Hóa; sản lượng gỗ khai thác ước đạt 1.611,6 nghìn m</w:t>
      </w:r>
      <w:r>
        <w:rPr>
          <w:sz w:val="28"/>
          <w:szCs w:val="28"/>
          <w:shd w:fill="FFFFFF" w:val="clear"/>
          <w:vertAlign w:val="superscript"/>
        </w:rPr>
        <w:t>3</w:t>
      </w:r>
      <w:r>
        <w:rPr>
          <w:sz w:val="28"/>
          <w:szCs w:val="28"/>
          <w:shd w:fill="FFFFFF" w:val="clear"/>
        </w:rPr>
        <w:t xml:space="preserve">, tăng 5,9%; </w:t>
      </w:r>
      <w:r>
        <w:rPr>
          <w:sz w:val="28"/>
          <w:szCs w:val="28"/>
        </w:rPr>
        <w:t xml:space="preserve">sản lượng củi ước đạt 1,6 triệu ste, tương đương cùng kỳ năm trước. </w:t>
      </w:r>
    </w:p>
    <w:p>
      <w:pPr>
        <w:pStyle w:val="Normal"/>
        <w:widowControl w:val="false"/>
        <w:tabs>
          <w:tab w:val="clear" w:pos="720"/>
          <w:tab w:val="left" w:pos="360" w:leader="none"/>
          <w:tab w:val="left" w:pos="1134" w:leader="none"/>
        </w:tabs>
        <w:spacing w:before="100" w:after="0"/>
        <w:ind w:firstLine="720"/>
        <w:jc w:val="both"/>
        <w:rPr/>
      </w:pPr>
      <w:r>
        <w:rPr>
          <w:sz w:val="28"/>
          <w:szCs w:val="28"/>
        </w:rPr>
        <w:t>Lũy kế 4 tháng,</w:t>
      </w:r>
      <w:r>
        <w:rPr>
          <w:sz w:val="28"/>
          <w:szCs w:val="28"/>
          <w:lang w:val="vi-VN"/>
        </w:rPr>
        <w:t xml:space="preserve"> </w:t>
      </w:r>
      <w:r>
        <w:rPr>
          <w:sz w:val="28"/>
          <w:szCs w:val="28"/>
        </w:rPr>
        <w:t xml:space="preserve">cả nước chuẩn bị được </w:t>
      </w:r>
      <w:r>
        <w:rPr>
          <w:sz w:val="28"/>
          <w:szCs w:val="28"/>
          <w:lang w:val="nb-NO"/>
        </w:rPr>
        <w:t>659,2 triệu cây giống, tăng 57,7%;</w:t>
      </w:r>
      <w:r>
        <w:rPr>
          <w:sz w:val="28"/>
          <w:szCs w:val="28"/>
        </w:rPr>
        <w:t xml:space="preserve"> trồng rừng </w:t>
      </w:r>
      <w:r>
        <w:rPr>
          <w:sz w:val="28"/>
          <w:szCs w:val="28"/>
          <w:shd w:fill="FFFFFF" w:val="clear"/>
        </w:rPr>
        <w:t xml:space="preserve">đạt </w:t>
      </w:r>
      <w:r>
        <w:rPr>
          <w:sz w:val="28"/>
          <w:szCs w:val="28"/>
        </w:rPr>
        <w:t xml:space="preserve">60,2 </w:t>
      </w:r>
      <w:r>
        <w:rPr>
          <w:sz w:val="28"/>
          <w:szCs w:val="28"/>
          <w:shd w:fill="FFFFFF" w:val="clear"/>
        </w:rPr>
        <w:t xml:space="preserve">nghìn ha, tương đương CKNT; sản lượng gỗ khai thác ước đạt </w:t>
      </w:r>
      <w:r>
        <w:rPr>
          <w:sz w:val="28"/>
          <w:szCs w:val="28"/>
        </w:rPr>
        <w:t xml:space="preserve">4.741,6 </w:t>
      </w:r>
      <w:r>
        <w:rPr>
          <w:sz w:val="28"/>
          <w:szCs w:val="28"/>
          <w:shd w:fill="FFFFFF" w:val="clear"/>
        </w:rPr>
        <w:t>nghìn m</w:t>
      </w:r>
      <w:r>
        <w:rPr>
          <w:sz w:val="28"/>
          <w:szCs w:val="28"/>
          <w:shd w:fill="FFFFFF" w:val="clear"/>
          <w:vertAlign w:val="superscript"/>
        </w:rPr>
        <w:t>3</w:t>
      </w:r>
      <w:r>
        <w:rPr>
          <w:sz w:val="28"/>
          <w:szCs w:val="28"/>
          <w:shd w:fill="FFFFFF" w:val="clear"/>
        </w:rPr>
        <w:t xml:space="preserve">, tăng 4,4%; </w:t>
      </w:r>
      <w:r>
        <w:rPr>
          <w:sz w:val="28"/>
          <w:szCs w:val="28"/>
        </w:rPr>
        <w:t>sản lượng củi khai thác ước đạt 6,2 triệu ste, tăng 0,6%.</w:t>
      </w:r>
      <w:r>
        <w:rPr>
          <w:rStyle w:val="FootnoteCharacters"/>
          <w:rStyle w:val="FootnoteAnchor"/>
          <w:sz w:val="28"/>
          <w:szCs w:val="28"/>
        </w:rPr>
        <w:footnoteReference w:id="4"/>
      </w:r>
      <w:r>
        <w:rPr>
          <w:sz w:val="28"/>
          <w:szCs w:val="28"/>
        </w:rPr>
        <w:t xml:space="preserve"> </w:t>
      </w:r>
    </w:p>
    <w:p>
      <w:pPr>
        <w:pStyle w:val="Normal"/>
        <w:tabs>
          <w:tab w:val="clear" w:pos="720"/>
          <w:tab w:val="left" w:pos="360" w:leader="none"/>
          <w:tab w:val="left" w:pos="1134" w:leader="none"/>
        </w:tabs>
        <w:spacing w:before="100" w:after="0"/>
        <w:ind w:firstLine="720"/>
        <w:jc w:val="both"/>
        <w:rPr>
          <w:sz w:val="28"/>
          <w:szCs w:val="28"/>
        </w:rPr>
      </w:pPr>
      <w:r>
        <w:rPr>
          <w:sz w:val="28"/>
          <w:szCs w:val="28"/>
          <w:shd w:fill="FFFFFF" w:val="clear"/>
        </w:rPr>
        <w:t>Trong tháng 4, liên tiếp xảy ra các vụ phá rừng tại các tỉnh Tây Bắc, miền Trung, Tây Nguyên. Nhưng nhìn chung</w:t>
      </w:r>
      <w:r>
        <w:rPr>
          <w:sz w:val="28"/>
          <w:szCs w:val="28"/>
        </w:rPr>
        <w:t xml:space="preserve"> 4 tháng đầu năm, thiệt hại rừng</w:t>
      </w:r>
      <w:r>
        <w:rPr>
          <w:sz w:val="28"/>
          <w:szCs w:val="28"/>
          <w:shd w:fill="FFFFFF" w:val="clear"/>
        </w:rPr>
        <w:t xml:space="preserve"> giảm sâu so với cùng kỳ năm trước nhờ nhiều địa phương đã hướng dẫn người dân và tổ chức thực hiện tốt các biện pháp phòng chống cháy rừng. Cụ thể: Diện tích rừng bị thiệt hại 4 tháng đầu năm khoảng 361,9 ha, giảm 25,2% so với cùng kỳ, trong đó diện tích rừng bị phá là 348,1 ha, giảm 0,4%; bị cháy khoảng 13,7 ha, giảm tới 89,8%.</w:t>
      </w:r>
    </w:p>
    <w:p>
      <w:pPr>
        <w:pStyle w:val="Normal"/>
        <w:widowControl w:val="false"/>
        <w:tabs>
          <w:tab w:val="clear" w:pos="720"/>
          <w:tab w:val="left" w:pos="360" w:leader="none"/>
          <w:tab w:val="left" w:pos="1134" w:leader="none"/>
        </w:tabs>
        <w:spacing w:before="100" w:after="0"/>
        <w:ind w:firstLine="720"/>
        <w:jc w:val="both"/>
        <w:rPr/>
      </w:pPr>
      <w:r>
        <w:rPr>
          <w:sz w:val="28"/>
          <w:szCs w:val="28"/>
        </w:rPr>
        <w:t>Cả nước đã thu được 1.231,</w:t>
      </w:r>
      <w:r>
        <w:rPr>
          <w:sz w:val="28"/>
          <w:szCs w:val="28"/>
          <w:lang w:val="vi-VN"/>
        </w:rPr>
        <w:t>5</w:t>
      </w:r>
      <w:r>
        <w:rPr>
          <w:sz w:val="28"/>
          <w:szCs w:val="28"/>
        </w:rPr>
        <w:t xml:space="preserve"> tỷ đồng đạt 41,</w:t>
      </w:r>
      <w:r>
        <w:rPr>
          <w:sz w:val="28"/>
          <w:szCs w:val="28"/>
          <w:lang w:val="vi-VN"/>
        </w:rPr>
        <w:t>1</w:t>
      </w:r>
      <w:r>
        <w:rPr>
          <w:sz w:val="28"/>
          <w:szCs w:val="28"/>
        </w:rPr>
        <w:t>% kế hoạch thu năm 2022, tăng 1,2% so với cùng kỳ năm 2021.</w:t>
      </w:r>
    </w:p>
    <w:p>
      <w:pPr>
        <w:pStyle w:val="Normal"/>
        <w:widowControl w:val="false"/>
        <w:spacing w:before="100" w:after="0"/>
        <w:ind w:firstLine="720"/>
        <w:jc w:val="both"/>
        <w:rPr>
          <w:bCs/>
          <w:sz w:val="28"/>
          <w:szCs w:val="28"/>
        </w:rPr>
      </w:pPr>
      <w:r>
        <w:rPr>
          <w:sz w:val="28"/>
          <w:szCs w:val="28"/>
        </w:rPr>
        <w:t>d)</w:t>
      </w:r>
      <w:r>
        <w:rPr>
          <w:sz w:val="28"/>
          <w:szCs w:val="28"/>
          <w:lang w:val="es-AR"/>
        </w:rPr>
        <w:t xml:space="preserve"> Thủy sản</w:t>
      </w:r>
    </w:p>
    <w:p>
      <w:pPr>
        <w:pStyle w:val="Normal"/>
        <w:widowControl w:val="false"/>
        <w:spacing w:before="100" w:after="0"/>
        <w:ind w:firstLine="720"/>
        <w:jc w:val="both"/>
        <w:rPr/>
      </w:pPr>
      <w:r>
        <w:rPr>
          <w:bCs/>
          <w:sz w:val="28"/>
          <w:szCs w:val="28"/>
        </w:rPr>
        <w:t xml:space="preserve">Sản lượng thuỷ sản tháng 4 ước đạt </w:t>
      </w:r>
      <w:r>
        <w:rPr>
          <w:sz w:val="28"/>
          <w:szCs w:val="28"/>
          <w:lang w:val="pl-PL"/>
        </w:rPr>
        <w:t>736,4</w:t>
      </w:r>
      <w:r>
        <w:rPr>
          <w:sz w:val="28"/>
          <w:szCs w:val="28"/>
          <w:lang w:val="pt-BR"/>
        </w:rPr>
        <w:t xml:space="preserve"> nghìn tấn, tăng 2,6% so tháng 4/2021</w:t>
      </w:r>
      <w:r>
        <w:rPr>
          <w:bCs/>
          <w:sz w:val="28"/>
          <w:szCs w:val="28"/>
        </w:rPr>
        <w:t xml:space="preserve">. Lũy kế 4 tháng, tổng sản lượng ước đạt </w:t>
      </w:r>
      <w:r>
        <w:rPr>
          <w:sz w:val="28"/>
          <w:szCs w:val="28"/>
          <w:lang w:val="pl-PL"/>
        </w:rPr>
        <w:t>2.600</w:t>
      </w:r>
      <w:r>
        <w:rPr>
          <w:sz w:val="28"/>
          <w:szCs w:val="28"/>
          <w:lang w:val="pt-BR"/>
        </w:rPr>
        <w:t xml:space="preserve"> nghìn tấn, tăng 2,2% </w:t>
      </w:r>
      <w:r>
        <w:rPr>
          <w:bCs/>
          <w:sz w:val="28"/>
          <w:szCs w:val="28"/>
        </w:rPr>
        <w:t xml:space="preserve">so với cùng kỳ năm ngoái. Cụ thể: </w:t>
      </w:r>
    </w:p>
    <w:p>
      <w:pPr>
        <w:pStyle w:val="Normal"/>
        <w:widowControl w:val="false"/>
        <w:spacing w:before="100" w:after="0"/>
        <w:ind w:firstLine="720"/>
        <w:jc w:val="both"/>
        <w:rPr>
          <w:sz w:val="28"/>
          <w:szCs w:val="28"/>
          <w:lang w:val="pt-BR"/>
        </w:rPr>
      </w:pPr>
      <w:r>
        <w:rPr>
          <w:sz w:val="28"/>
          <w:szCs w:val="28"/>
        </w:rPr>
        <w:t>- Khai thác: Tháng 4, s</w:t>
      </w:r>
      <w:r>
        <w:rPr>
          <w:sz w:val="28"/>
          <w:szCs w:val="28"/>
          <w:lang w:val="vi-VN"/>
        </w:rPr>
        <w:t xml:space="preserve">ản lượng khai thác đạt </w:t>
      </w:r>
      <w:r>
        <w:rPr>
          <w:sz w:val="28"/>
          <w:szCs w:val="28"/>
          <w:lang w:val="pl-PL"/>
        </w:rPr>
        <w:t xml:space="preserve">356,0 </w:t>
      </w:r>
      <w:r>
        <w:rPr>
          <w:sz w:val="28"/>
          <w:szCs w:val="28"/>
          <w:lang w:val="pt-BR"/>
        </w:rPr>
        <w:t xml:space="preserve">nghìn tấn, giảm 0,6%. </w:t>
      </w:r>
      <w:r>
        <w:rPr>
          <w:sz w:val="28"/>
          <w:szCs w:val="28"/>
        </w:rPr>
        <w:t xml:space="preserve">Tính chung 4 tháng, sản lượng đạt </w:t>
      </w:r>
      <w:r>
        <w:rPr>
          <w:sz w:val="28"/>
          <w:szCs w:val="28"/>
          <w:lang w:val="pl-PL"/>
        </w:rPr>
        <w:t xml:space="preserve">1.231,6 </w:t>
      </w:r>
      <w:r>
        <w:rPr>
          <w:sz w:val="28"/>
          <w:szCs w:val="28"/>
          <w:lang w:val="pt-BR"/>
        </w:rPr>
        <w:t>nghìn tấn, giảm 1,0%</w:t>
      </w:r>
      <w:r>
        <w:rPr>
          <w:sz w:val="28"/>
          <w:szCs w:val="28"/>
        </w:rPr>
        <w:t xml:space="preserve"> so với CKNT; </w:t>
      </w:r>
      <w:r>
        <w:rPr>
          <w:sz w:val="28"/>
          <w:szCs w:val="28"/>
          <w:lang w:val="vi-VN"/>
        </w:rPr>
        <w:t>trong đó</w:t>
      </w:r>
      <w:r>
        <w:rPr>
          <w:sz w:val="28"/>
          <w:szCs w:val="28"/>
        </w:rPr>
        <w:t>,</w:t>
      </w:r>
      <w:r>
        <w:rPr>
          <w:sz w:val="28"/>
          <w:szCs w:val="28"/>
          <w:lang w:val="vi-VN"/>
        </w:rPr>
        <w:t xml:space="preserve"> khai thác biển đạt </w:t>
      </w:r>
      <w:r>
        <w:rPr>
          <w:sz w:val="28"/>
          <w:szCs w:val="28"/>
        </w:rPr>
        <w:t>1.177,3</w:t>
      </w:r>
      <w:r>
        <w:rPr>
          <w:sz w:val="28"/>
          <w:szCs w:val="28"/>
          <w:lang w:val="vi-VN"/>
        </w:rPr>
        <w:t xml:space="preserve">nghìn tấn, </w:t>
      </w:r>
      <w:r>
        <w:rPr>
          <w:sz w:val="28"/>
          <w:szCs w:val="28"/>
        </w:rPr>
        <w:t>giảm 1,1%</w:t>
      </w:r>
      <w:r>
        <w:rPr>
          <w:sz w:val="28"/>
          <w:szCs w:val="28"/>
          <w:lang w:val="vi-VN"/>
        </w:rPr>
        <w:t>.</w:t>
      </w:r>
    </w:p>
    <w:p>
      <w:pPr>
        <w:pStyle w:val="Normal"/>
        <w:widowControl w:val="false"/>
        <w:spacing w:before="100" w:after="0"/>
        <w:ind w:firstLine="720"/>
        <w:jc w:val="both"/>
        <w:rPr>
          <w:sz w:val="28"/>
          <w:szCs w:val="28"/>
          <w:lang w:val="sv-SE"/>
        </w:rPr>
      </w:pPr>
      <w:r>
        <w:rPr>
          <w:sz w:val="28"/>
          <w:szCs w:val="28"/>
          <w:lang w:val="pt-BR"/>
        </w:rPr>
        <w:t xml:space="preserve">- Nuôi trồng: Tháng 4, sản lượng nuôi trồng ước đạt </w:t>
      </w:r>
      <w:r>
        <w:rPr>
          <w:sz w:val="28"/>
          <w:szCs w:val="28"/>
          <w:lang w:val="pl-PL"/>
        </w:rPr>
        <w:t xml:space="preserve">380,4 </w:t>
      </w:r>
      <w:r>
        <w:rPr>
          <w:sz w:val="28"/>
          <w:szCs w:val="28"/>
          <w:lang w:val="pt-BR"/>
        </w:rPr>
        <w:t xml:space="preserve">nghìn tấn, tăng 5,8% so với tháng 4/2021. 4 tháng, sản lượng ước đạt </w:t>
      </w:r>
      <w:r>
        <w:rPr>
          <w:sz w:val="28"/>
          <w:szCs w:val="28"/>
          <w:lang w:val="de-DE"/>
        </w:rPr>
        <w:t xml:space="preserve">1.368,4 </w:t>
      </w:r>
      <w:r>
        <w:rPr>
          <w:sz w:val="28"/>
          <w:szCs w:val="28"/>
          <w:lang w:val="pt-BR"/>
        </w:rPr>
        <w:t>nghìn tấn, tăng 5,3% so với CKNT. Trong đó</w:t>
      </w:r>
      <w:r>
        <w:rPr>
          <w:sz w:val="28"/>
          <w:szCs w:val="28"/>
          <w:lang w:val="sv-SE"/>
        </w:rPr>
        <w:t xml:space="preserve">, sản lượng cá tra ước đạt 468 nghìn tấn, tăng 7,0%; sản lượng tôm đạt 234,6 nghìn tấn, tăng 7,9% (tôm sú ước đạt 69,6 nghìn tấn, giảm 0,9%; tôm thẻ chân trắng ước đạt 149,1 nghìn tấn, tăng 13,4%).  </w:t>
      </w:r>
    </w:p>
    <w:p>
      <w:pPr>
        <w:pStyle w:val="Normal"/>
        <w:widowControl w:val="false"/>
        <w:tabs>
          <w:tab w:val="clear" w:pos="720"/>
          <w:tab w:val="left" w:pos="3690" w:leader="none"/>
        </w:tabs>
        <w:spacing w:before="100" w:after="0"/>
        <w:ind w:firstLine="720"/>
        <w:jc w:val="both"/>
        <w:rPr>
          <w:b/>
          <w:b/>
          <w:sz w:val="28"/>
          <w:szCs w:val="28"/>
          <w:lang w:val="vi-VN"/>
        </w:rPr>
      </w:pPr>
      <w:r>
        <w:rPr>
          <w:b/>
          <w:sz w:val="28"/>
          <w:szCs w:val="28"/>
        </w:rPr>
        <w:t>2.</w:t>
      </w:r>
      <w:r>
        <w:rPr>
          <w:b/>
          <w:sz w:val="28"/>
          <w:szCs w:val="28"/>
          <w:lang w:val="pl-PL"/>
        </w:rPr>
        <w:t xml:space="preserve"> </w:t>
      </w:r>
      <w:r>
        <w:rPr>
          <w:b/>
          <w:sz w:val="28"/>
          <w:szCs w:val="28"/>
          <w:lang w:val="vi-VN"/>
        </w:rPr>
        <w:t>Xuất</w:t>
      </w:r>
      <w:r>
        <w:rPr>
          <w:b/>
          <w:sz w:val="28"/>
          <w:szCs w:val="28"/>
          <w:lang w:val="pl-PL"/>
        </w:rPr>
        <w:t>, nhập</w:t>
      </w:r>
      <w:r>
        <w:rPr>
          <w:b/>
          <w:sz w:val="28"/>
          <w:szCs w:val="28"/>
          <w:lang w:val="vi-VN"/>
        </w:rPr>
        <w:t xml:space="preserve"> khẩu</w:t>
      </w:r>
    </w:p>
    <w:p>
      <w:pPr>
        <w:pStyle w:val="Normal"/>
        <w:widowControl w:val="false"/>
        <w:spacing w:before="100" w:after="0"/>
        <w:ind w:firstLine="720"/>
        <w:jc w:val="both"/>
        <w:rPr/>
      </w:pPr>
      <w:r>
        <w:rPr>
          <w:bCs/>
          <w:sz w:val="28"/>
          <w:szCs w:val="28"/>
          <w:lang w:val="pl-PL"/>
        </w:rPr>
        <w:t xml:space="preserve">4 tháng, </w:t>
      </w:r>
      <w:r>
        <w:rPr>
          <w:rStyle w:val="StrongEmphasis"/>
          <w:b w:val="false"/>
          <w:iCs/>
          <w:sz w:val="28"/>
          <w:szCs w:val="28"/>
          <w:lang w:val="de-DE"/>
        </w:rPr>
        <w:t xml:space="preserve">tổng kim ngạch xuất nhập khẩu hàng NLTS ước đạt khoảng 31,8 tỷ USD, tăng 7,0% so với 4 tháng đầu năm 2021; trong đó xuất khẩu (XK) đạt khoảng 17,9 tỷ USD, tăng 15,6% so với CKNT; nhập khẩu (NK) ước khoảng 13,9 tỷ USD, giảm 2,3%; </w:t>
      </w:r>
      <w:r>
        <w:rPr>
          <w:bCs/>
          <w:sz w:val="28"/>
          <w:szCs w:val="28"/>
        </w:rPr>
        <w:t xml:space="preserve">xuất siêu gần 4,0 tỷ USD, </w:t>
      </w:r>
      <w:bookmarkStart w:id="9" w:name="_Hlk67905851"/>
      <w:r>
        <w:rPr>
          <w:bCs/>
          <w:sz w:val="28"/>
          <w:szCs w:val="28"/>
        </w:rPr>
        <w:t xml:space="preserve">gấp 3,2 lần so với CKNT. </w:t>
      </w:r>
      <w:bookmarkStart w:id="10" w:name="_Hlk23237033"/>
    </w:p>
    <w:p>
      <w:pPr>
        <w:pStyle w:val="Normal"/>
        <w:widowControl w:val="false"/>
        <w:spacing w:before="100" w:after="0"/>
        <w:ind w:firstLine="720"/>
        <w:jc w:val="both"/>
        <w:rPr>
          <w:iCs/>
          <w:sz w:val="28"/>
          <w:szCs w:val="28"/>
        </w:rPr>
      </w:pPr>
      <w:bookmarkEnd w:id="9"/>
      <w:bookmarkEnd w:id="10"/>
      <w:r>
        <w:rPr>
          <w:iCs/>
          <w:sz w:val="28"/>
          <w:szCs w:val="28"/>
        </w:rPr>
        <w:t xml:space="preserve">a) Về xuất khẩu </w:t>
      </w:r>
    </w:p>
    <w:p>
      <w:pPr>
        <w:pStyle w:val="Normal"/>
        <w:widowControl w:val="false"/>
        <w:spacing w:before="100" w:after="0"/>
        <w:ind w:firstLine="720"/>
        <w:jc w:val="both"/>
        <w:rPr>
          <w:bCs/>
          <w:iCs/>
          <w:sz w:val="28"/>
          <w:szCs w:val="28"/>
        </w:rPr>
      </w:pPr>
      <w:r>
        <w:rPr>
          <w:bCs/>
          <w:iCs/>
          <w:sz w:val="28"/>
          <w:szCs w:val="28"/>
        </w:rPr>
        <w:t xml:space="preserve">- Kim ngạch xuất khẩu </w:t>
      </w:r>
    </w:p>
    <w:p>
      <w:pPr>
        <w:pStyle w:val="Normal"/>
        <w:widowControl w:val="false"/>
        <w:spacing w:before="100" w:after="0"/>
        <w:ind w:firstLine="720"/>
        <w:jc w:val="both"/>
        <w:rPr/>
      </w:pPr>
      <w:bookmarkStart w:id="11" w:name="_Hlk33599548"/>
      <w:bookmarkEnd w:id="11"/>
      <w:r>
        <w:rPr>
          <w:sz w:val="28"/>
          <w:szCs w:val="28"/>
        </w:rPr>
        <w:t xml:space="preserve">Tháng 4, kim ngạch XK ước trên 4,8 tỷ USD, tăng 11,2% so với tháng 4/2021, giảm 2,6% so với tháng 3/2022; trong đó, giá trị XK nhóm nông sản chính khoảng 1,9 tỷ USD, lâm sản chính ước gần 1,6 tỷ USD, thủy sản đạt gần 1,1 tỷ USD và chăn nuôi đạt 29,7 triệu USD,… </w:t>
      </w:r>
    </w:p>
    <w:p>
      <w:pPr>
        <w:pStyle w:val="Normal"/>
        <w:widowControl w:val="false"/>
        <w:spacing w:before="100" w:after="0"/>
        <w:ind w:firstLine="720"/>
        <w:jc w:val="both"/>
        <w:rPr/>
      </w:pPr>
      <w:bookmarkStart w:id="12" w:name="_Hlk33599548"/>
      <w:bookmarkEnd w:id="12"/>
      <w:r>
        <w:rPr>
          <w:sz w:val="28"/>
          <w:szCs w:val="28"/>
        </w:rPr>
        <w:t>Tính chung 4 tháng đầu năm, kim ngạch XK nông lâm thủy sản ước gần 17,9 tỷ USD</w:t>
      </w:r>
      <w:r>
        <w:rPr>
          <w:bCs/>
          <w:iCs/>
          <w:sz w:val="28"/>
          <w:szCs w:val="28"/>
        </w:rPr>
        <w:t>,</w:t>
      </w:r>
      <w:r>
        <w:rPr>
          <w:sz w:val="28"/>
          <w:szCs w:val="28"/>
        </w:rPr>
        <w:t xml:space="preserve"> tăng 15,6% so với CKNT. Trong đó, XK nhóm nông sản chính đạt trên 7,4 tỷ USD, tăng 10,5%; lâm sản chính đạt gần 5,9 tỷ USD, tăng 4,9%; thủy sản ước đạt gần 3,6 tỷ USD, tăng 43,7%; chăn nuôi ước đạt 105,4 triệu USD, giảm 19,0%</w:t>
      </w:r>
      <w:r>
        <w:rPr>
          <w:sz w:val="28"/>
          <w:szCs w:val="28"/>
          <w:lang w:val="vi-VN"/>
        </w:rPr>
        <w:t xml:space="preserve">; XK đầu vào sản xuất khoảng </w:t>
      </w:r>
      <w:r>
        <w:rPr>
          <w:sz w:val="28"/>
          <w:szCs w:val="28"/>
        </w:rPr>
        <w:t>88</w:t>
      </w:r>
      <w:r>
        <w:rPr>
          <w:sz w:val="28"/>
          <w:szCs w:val="28"/>
          <w:lang w:val="vi-VN"/>
        </w:rPr>
        <w:t xml:space="preserve">3 triệu USD, tăng </w:t>
      </w:r>
      <w:r>
        <w:rPr>
          <w:sz w:val="28"/>
          <w:szCs w:val="28"/>
        </w:rPr>
        <w:t>70,7</w:t>
      </w:r>
      <w:r>
        <w:rPr>
          <w:sz w:val="28"/>
          <w:szCs w:val="28"/>
          <w:lang w:val="vi-VN"/>
        </w:rPr>
        <w:t xml:space="preserve">% (nhất là phân bón giá trị XK khoảng </w:t>
      </w:r>
      <w:r>
        <w:rPr>
          <w:sz w:val="28"/>
          <w:szCs w:val="28"/>
        </w:rPr>
        <w:t>439</w:t>
      </w:r>
      <w:r>
        <w:rPr>
          <w:sz w:val="28"/>
          <w:szCs w:val="28"/>
          <w:lang w:val="vi-VN"/>
        </w:rPr>
        <w:t xml:space="preserve"> triệu USD, tăng 2,</w:t>
      </w:r>
      <w:r>
        <w:rPr>
          <w:sz w:val="28"/>
          <w:szCs w:val="28"/>
        </w:rPr>
        <w:t>9</w:t>
      </w:r>
      <w:r>
        <w:rPr>
          <w:sz w:val="28"/>
          <w:szCs w:val="28"/>
          <w:lang w:val="vi-VN"/>
        </w:rPr>
        <w:t xml:space="preserve"> lần so với CKNT)</w:t>
      </w:r>
      <w:r>
        <w:rPr>
          <w:sz w:val="28"/>
          <w:szCs w:val="28"/>
        </w:rPr>
        <w:t xml:space="preserve">. </w:t>
        <w:tab/>
      </w:r>
    </w:p>
    <w:p>
      <w:pPr>
        <w:pStyle w:val="Normal"/>
        <w:widowControl w:val="false"/>
        <w:spacing w:before="100" w:after="0"/>
        <w:ind w:firstLine="426"/>
        <w:jc w:val="both"/>
        <w:rPr/>
      </w:pPr>
      <w:r>
        <w:rPr>
          <w:b/>
          <w:bCs/>
          <w:sz w:val="28"/>
          <w:szCs w:val="28"/>
        </w:rPr>
        <w:tab/>
      </w:r>
      <w:r>
        <w:rPr>
          <w:bCs/>
          <w:iCs/>
          <w:sz w:val="28"/>
          <w:szCs w:val="28"/>
        </w:rPr>
        <w:t>4 tháng đầu năm, đã có 05 sản phẩm/nhóm sản phẩm có giá trị XK đạt trên 01 tỷ USD (cà phê, gạo, nhóm rau quả, tôm, sản phẩm gỗ). Một số mặt hàng đạt giá trị xuất khẩu cao hơn so với cùng kỳ, như: Cà phê, cao su, hồ tiêu, sắn và các sản phẩm từ sắn, cá tra, tôm, gỗ và các sản phẩm gỗ. Cụ thể: Giá trị xuất khẩu cà phê đạt gần 1,7 tỷ USD (tăng 59,4%); cao su đạt khoảng 869 triệu USD (tăng 10,9%); hồ tiêu khoảng 367 triệu USD (tăng 29,6%); sắn và sản phẩm sắn đạt 574 triệu USD (tăng 29,</w:t>
      </w:r>
      <w:r>
        <w:rPr>
          <w:bCs/>
          <w:iCs/>
          <w:sz w:val="28"/>
          <w:szCs w:val="28"/>
          <w:lang w:val="vi-VN"/>
        </w:rPr>
        <w:t>5</w:t>
      </w:r>
      <w:r>
        <w:rPr>
          <w:bCs/>
          <w:iCs/>
          <w:sz w:val="28"/>
          <w:szCs w:val="28"/>
        </w:rPr>
        <w:t xml:space="preserve">%), </w:t>
      </w:r>
      <w:r>
        <w:rPr>
          <w:bCs/>
          <w:iCs/>
          <w:sz w:val="28"/>
          <w:szCs w:val="28"/>
          <w:lang w:val="vi-VN"/>
        </w:rPr>
        <w:t>cá tra</w:t>
      </w:r>
      <w:r>
        <w:rPr>
          <w:bCs/>
          <w:iCs/>
          <w:sz w:val="28"/>
          <w:szCs w:val="28"/>
        </w:rPr>
        <w:t xml:space="preserve"> đạt 894 triệu USD (tăng 89,6%)</w:t>
      </w:r>
      <w:r>
        <w:rPr>
          <w:bCs/>
          <w:iCs/>
          <w:sz w:val="28"/>
          <w:szCs w:val="28"/>
          <w:lang w:val="vi-VN"/>
        </w:rPr>
        <w:t xml:space="preserve">, </w:t>
      </w:r>
      <w:r>
        <w:rPr>
          <w:bCs/>
          <w:iCs/>
          <w:sz w:val="28"/>
          <w:szCs w:val="28"/>
        </w:rPr>
        <w:t xml:space="preserve">tôm đạt trên 1,3 tỷ USD (tăng 38,6%), gỗ và sản phẩm gỗ đạt gần 5,5 tỷ USD (tăng 4,5%); mây, tre, cói thảm đạt 339 triệu USD (tăng 22,7%).  </w:t>
      </w:r>
    </w:p>
    <w:p>
      <w:pPr>
        <w:pStyle w:val="Normal"/>
        <w:widowControl w:val="false"/>
        <w:spacing w:before="100" w:after="0"/>
        <w:ind w:firstLine="720"/>
        <w:jc w:val="both"/>
        <w:rPr>
          <w:bCs/>
          <w:i/>
          <w:i/>
          <w:sz w:val="28"/>
          <w:szCs w:val="28"/>
        </w:rPr>
      </w:pPr>
      <w:r>
        <w:rPr>
          <w:bCs/>
          <w:iCs/>
          <w:sz w:val="28"/>
          <w:szCs w:val="28"/>
        </w:rPr>
        <w:t xml:space="preserve">Những mặt hàng giảm gồm: </w:t>
      </w:r>
      <w:r>
        <w:rPr>
          <w:bCs/>
          <w:iCs/>
          <w:sz w:val="28"/>
          <w:szCs w:val="28"/>
          <w:lang w:val="vi-VN"/>
        </w:rPr>
        <w:t>Chè</w:t>
      </w:r>
      <w:r>
        <w:rPr>
          <w:bCs/>
          <w:iCs/>
          <w:sz w:val="28"/>
          <w:szCs w:val="28"/>
        </w:rPr>
        <w:t xml:space="preserve"> đạt 51 triệu USD (giảm 13,2%), </w:t>
      </w:r>
      <w:r>
        <w:rPr>
          <w:bCs/>
          <w:iCs/>
          <w:sz w:val="28"/>
          <w:szCs w:val="28"/>
          <w:lang w:val="vi-VN"/>
        </w:rPr>
        <w:t>nhóm hàng rau quả</w:t>
      </w:r>
      <w:r>
        <w:rPr>
          <w:bCs/>
          <w:iCs/>
          <w:sz w:val="28"/>
          <w:szCs w:val="28"/>
        </w:rPr>
        <w:t xml:space="preserve"> đạt khoảng 1,2 tỷ USD (giảm 14,6%), hạt điều ước đạt 889 triệu USD (giảm 6,7%)</w:t>
      </w:r>
      <w:r>
        <w:rPr>
          <w:bCs/>
          <w:iCs/>
          <w:sz w:val="28"/>
          <w:szCs w:val="28"/>
          <w:lang w:val="vi-VN"/>
        </w:rPr>
        <w:t>.</w:t>
      </w:r>
    </w:p>
    <w:p>
      <w:pPr>
        <w:pStyle w:val="Normal"/>
        <w:widowControl w:val="false"/>
        <w:autoSpaceDE w:val="false"/>
        <w:spacing w:before="100" w:after="0"/>
        <w:ind w:firstLine="720"/>
        <w:jc w:val="both"/>
        <w:rPr/>
      </w:pPr>
      <w:r>
        <w:rPr>
          <w:bCs/>
          <w:iCs/>
          <w:sz w:val="28"/>
          <w:szCs w:val="28"/>
        </w:rPr>
        <w:t>- Về thị trường xuất khẩu:</w:t>
      </w:r>
      <w:bookmarkStart w:id="13" w:name="_Hlk36195422"/>
      <w:r>
        <w:rPr>
          <w:sz w:val="28"/>
          <w:szCs w:val="28"/>
        </w:rPr>
        <w:t xml:space="preserve"> Ước giá trị XK nông, lâm, thủy sản 4 tháng đầu năm của Việt Nam tới các thị trường</w:t>
      </w:r>
      <w:r>
        <w:rPr>
          <w:rStyle w:val="FootnoteAnchor"/>
          <w:sz w:val="28"/>
          <w:szCs w:val="28"/>
          <w:vertAlign w:val="superscript"/>
        </w:rPr>
        <w:footnoteReference w:id="5"/>
      </w:r>
      <w:r>
        <w:rPr>
          <w:sz w:val="28"/>
          <w:szCs w:val="28"/>
        </w:rPr>
        <w:t xml:space="preserve"> thuộc khu vực châu Á (chiếm 41,0% thị phần), châu Mỹ (</w:t>
      </w:r>
      <w:r>
        <w:rPr>
          <w:sz w:val="28"/>
          <w:szCs w:val="28"/>
          <w:lang w:val="vi-VN"/>
        </w:rPr>
        <w:t>29,</w:t>
      </w:r>
      <w:r>
        <w:rPr>
          <w:sz w:val="28"/>
          <w:szCs w:val="28"/>
        </w:rPr>
        <w:t>7%), châu Âu (12,8%), châu Phi (1,8%) và châu Đại Dương (1,</w:t>
      </w:r>
      <w:r>
        <w:rPr>
          <w:sz w:val="28"/>
          <w:szCs w:val="28"/>
          <w:lang w:val="vi-VN"/>
        </w:rPr>
        <w:t>7</w:t>
      </w:r>
      <w:r>
        <w:rPr>
          <w:sz w:val="28"/>
          <w:szCs w:val="28"/>
        </w:rPr>
        <w:t xml:space="preserve">%). Thị trường xuất khẩu </w:t>
      </w:r>
      <w:r>
        <w:rPr>
          <w:i/>
          <w:sz w:val="28"/>
          <w:szCs w:val="28"/>
        </w:rPr>
        <w:t>lớn nhất</w:t>
      </w:r>
      <w:r>
        <w:rPr>
          <w:sz w:val="28"/>
          <w:szCs w:val="28"/>
        </w:rPr>
        <w:t xml:space="preserve"> là Hoa Kỳ đạt </w:t>
      </w:r>
      <w:r>
        <w:rPr>
          <w:sz w:val="28"/>
          <w:szCs w:val="28"/>
          <w:lang w:val="vi-VN"/>
        </w:rPr>
        <w:t>gần</w:t>
      </w:r>
      <w:r>
        <w:rPr>
          <w:sz w:val="28"/>
          <w:szCs w:val="28"/>
        </w:rPr>
        <w:t xml:space="preserve"> 4,9 tỷ USD (chiếm </w:t>
      </w:r>
      <w:r>
        <w:rPr>
          <w:sz w:val="28"/>
          <w:szCs w:val="28"/>
          <w:lang w:val="vi-VN"/>
        </w:rPr>
        <w:t>27,</w:t>
      </w:r>
      <w:r>
        <w:rPr>
          <w:sz w:val="28"/>
          <w:szCs w:val="28"/>
        </w:rPr>
        <w:t>3% thị phần), trong đó kim ngạch XK nhóm hàng gỗ và sản phẩm gỗ chiếm tới 6</w:t>
      </w:r>
      <w:r>
        <w:rPr>
          <w:sz w:val="28"/>
          <w:szCs w:val="28"/>
          <w:lang w:val="vi-VN"/>
        </w:rPr>
        <w:t>8,2</w:t>
      </w:r>
      <w:r>
        <w:rPr>
          <w:sz w:val="28"/>
          <w:szCs w:val="28"/>
        </w:rPr>
        <w:t xml:space="preserve">% tỷ trọng kim ngạch XK NLTS của Việt Nam tại thị trường này; đứng </w:t>
      </w:r>
      <w:r>
        <w:rPr>
          <w:i/>
          <w:sz w:val="28"/>
          <w:szCs w:val="28"/>
        </w:rPr>
        <w:t>thứ 2</w:t>
      </w:r>
      <w:r>
        <w:rPr>
          <w:sz w:val="28"/>
          <w:szCs w:val="28"/>
        </w:rPr>
        <w:t xml:space="preserve"> là thị trường Trung Quốc </w:t>
      </w:r>
      <w:r>
        <w:rPr>
          <w:sz w:val="28"/>
          <w:szCs w:val="28"/>
          <w:lang w:val="vi-VN"/>
        </w:rPr>
        <w:t>trên</w:t>
      </w:r>
      <w:r>
        <w:rPr>
          <w:sz w:val="28"/>
          <w:szCs w:val="28"/>
        </w:rPr>
        <w:t xml:space="preserve"> 3,2 tỷ USD (chiếm 18,1% thị phần) với kim ngạch xuất khẩu nhóm cao su chiếm 22,4</w:t>
      </w:r>
      <w:r>
        <w:rPr>
          <w:sz w:val="28"/>
          <w:szCs w:val="28"/>
          <w:lang w:val="vi-VN"/>
        </w:rPr>
        <w:t>%</w:t>
      </w:r>
      <w:r>
        <w:rPr>
          <w:sz w:val="28"/>
          <w:szCs w:val="28"/>
        </w:rPr>
        <w:t xml:space="preserve"> tỷ trọng kim ngạch XK NLTS</w:t>
      </w:r>
      <w:r>
        <w:rPr>
          <w:sz w:val="28"/>
          <w:szCs w:val="28"/>
          <w:lang w:val="vi-VN"/>
        </w:rPr>
        <w:t>;</w:t>
      </w:r>
      <w:r>
        <w:rPr>
          <w:sz w:val="28"/>
          <w:szCs w:val="28"/>
        </w:rPr>
        <w:t xml:space="preserve"> </w:t>
      </w:r>
      <w:r>
        <w:rPr>
          <w:i/>
          <w:sz w:val="28"/>
          <w:szCs w:val="28"/>
        </w:rPr>
        <w:t>thứ 3</w:t>
      </w:r>
      <w:r>
        <w:rPr>
          <w:sz w:val="28"/>
          <w:szCs w:val="28"/>
        </w:rPr>
        <w:t xml:space="preserve"> là thị trường Nhật Bản với giá trị XK đạt gần 1,3 tỷ USD (chiếm 7,1%) và XK nhóm sản phẩm gỗ lớn nhất (chiếm 44,0% giá trị XK NLTS); </w:t>
      </w:r>
      <w:r>
        <w:rPr>
          <w:i/>
          <w:sz w:val="28"/>
          <w:szCs w:val="28"/>
        </w:rPr>
        <w:t>thứ 4</w:t>
      </w:r>
      <w:r>
        <w:rPr>
          <w:sz w:val="28"/>
          <w:szCs w:val="28"/>
        </w:rPr>
        <w:t xml:space="preserve"> là thị trường Hàn Quốc với giá trị XK đạt khoảng 82</w:t>
      </w:r>
      <w:r>
        <w:rPr>
          <w:sz w:val="28"/>
          <w:szCs w:val="28"/>
          <w:lang w:val="vi-VN"/>
        </w:rPr>
        <w:t>2</w:t>
      </w:r>
      <w:r>
        <w:rPr>
          <w:sz w:val="28"/>
          <w:szCs w:val="28"/>
        </w:rPr>
        <w:t xml:space="preserve"> triệu USD (chiếm 4,6%) và XK nhóm sản phẩm gỗ lớn nhất (chiếm 43,9% giá trị XK NLTS);</w:t>
      </w:r>
    </w:p>
    <w:p>
      <w:pPr>
        <w:pStyle w:val="Normal"/>
        <w:widowControl w:val="false"/>
        <w:autoSpaceDE w:val="false"/>
        <w:spacing w:before="100" w:after="0"/>
        <w:ind w:firstLine="709"/>
        <w:jc w:val="both"/>
        <w:rPr>
          <w:sz w:val="28"/>
          <w:szCs w:val="28"/>
        </w:rPr>
      </w:pPr>
      <w:bookmarkEnd w:id="13"/>
      <w:r>
        <w:rPr>
          <w:iCs/>
          <w:sz w:val="28"/>
          <w:szCs w:val="28"/>
        </w:rPr>
        <w:t>b) Về nhập khẩu</w:t>
      </w:r>
    </w:p>
    <w:p>
      <w:pPr>
        <w:pStyle w:val="Normal"/>
        <w:widowControl w:val="false"/>
        <w:tabs>
          <w:tab w:val="clear" w:pos="720"/>
          <w:tab w:val="left" w:pos="3600" w:leader="none"/>
          <w:tab w:val="left" w:pos="4230" w:leader="none"/>
        </w:tabs>
        <w:autoSpaceDE w:val="false"/>
        <w:spacing w:before="100" w:after="0"/>
        <w:ind w:firstLine="720"/>
        <w:jc w:val="both"/>
        <w:rPr>
          <w:sz w:val="28"/>
          <w:szCs w:val="28"/>
        </w:rPr>
      </w:pPr>
      <w:r>
        <w:rPr>
          <w:sz w:val="28"/>
          <w:szCs w:val="28"/>
        </w:rPr>
        <w:t xml:space="preserve">Trong tháng 4, </w:t>
      </w:r>
      <w:r>
        <w:rPr>
          <w:sz w:val="28"/>
          <w:szCs w:val="28"/>
          <w:lang w:val="nl-NL"/>
        </w:rPr>
        <w:t xml:space="preserve">đã kiểm dịch thực vật XNK trên 47,4 nghìn lô hàng (NK là 23,5 nghìn lô, XK trên 23,9 nghìn lô) với trọng lượng gần 7,8 triệu tấn; kiểm tra ATTP hàng thực vật NK khoảng 13.98 nghìn lô, trọng lượng là 1,78 triệu tấn; kiểm tra </w:t>
      </w:r>
      <w:r>
        <w:rPr>
          <w:sz w:val="28"/>
          <w:szCs w:val="28"/>
        </w:rPr>
        <w:t xml:space="preserve">862 lô phân bón nhập khẩu; chủ yếu từ các nước Trung Quốc, Nhật Bản, Lào, Hàn Quốc, Hồng Kông, Mỹ, Thái Lan, Pháp,... </w:t>
      </w:r>
      <w:r>
        <w:rPr>
          <w:sz w:val="28"/>
          <w:szCs w:val="28"/>
          <w:highlight w:val="white"/>
        </w:rPr>
        <w:t>331 lô thuốc BVTV thành phẩm chủ yếu từ các nước Trung Quốc, Đức, Singapore, Mỹ, Ấn Độ, Nhật Bản, Thái Lan, Hàn Quốc,…</w:t>
      </w:r>
    </w:p>
    <w:p>
      <w:pPr>
        <w:pStyle w:val="Normal"/>
        <w:widowControl w:val="false"/>
        <w:tabs>
          <w:tab w:val="clear" w:pos="720"/>
          <w:tab w:val="left" w:pos="3600" w:leader="none"/>
          <w:tab w:val="left" w:pos="4230" w:leader="none"/>
        </w:tabs>
        <w:autoSpaceDE w:val="false"/>
        <w:spacing w:before="100" w:after="0"/>
        <w:ind w:firstLine="720"/>
        <w:jc w:val="both"/>
        <w:rPr>
          <w:sz w:val="28"/>
          <w:szCs w:val="28"/>
        </w:rPr>
      </w:pPr>
      <w:r>
        <w:rPr>
          <w:sz w:val="28"/>
          <w:szCs w:val="28"/>
        </w:rPr>
        <w:t xml:space="preserve">Tính chung 4 tháng đầu năm, kim ngạch NK các mặt hàng NLTS ước </w:t>
      </w:r>
      <w:r>
        <w:rPr>
          <w:sz w:val="28"/>
          <w:szCs w:val="28"/>
          <w:lang w:val="vi-VN"/>
        </w:rPr>
        <w:t>gần</w:t>
      </w:r>
      <w:r>
        <w:rPr>
          <w:sz w:val="28"/>
          <w:szCs w:val="28"/>
        </w:rPr>
        <w:t xml:space="preserve"> 13,9 tỷ USD, </w:t>
      </w:r>
      <w:r>
        <w:rPr>
          <w:sz w:val="28"/>
          <w:szCs w:val="28"/>
          <w:lang w:val="vi-VN"/>
        </w:rPr>
        <w:t xml:space="preserve">giảm </w:t>
      </w:r>
      <w:r>
        <w:rPr>
          <w:sz w:val="28"/>
          <w:szCs w:val="28"/>
        </w:rPr>
        <w:t>2,3% so với cùng kỳ năm 202</w:t>
      </w:r>
      <w:r>
        <w:rPr>
          <w:sz w:val="28"/>
          <w:szCs w:val="28"/>
          <w:lang w:val="vi-VN"/>
        </w:rPr>
        <w:t>1</w:t>
      </w:r>
      <w:r>
        <w:rPr>
          <w:sz w:val="28"/>
          <w:szCs w:val="28"/>
        </w:rPr>
        <w:t xml:space="preserve">. Trong đó, giá trị NK các mặt hàng nông sản chính ước đạt gần 8,8 tỷ USD, </w:t>
      </w:r>
      <w:r>
        <w:rPr>
          <w:sz w:val="28"/>
          <w:szCs w:val="28"/>
          <w:lang w:val="vi-VN"/>
        </w:rPr>
        <w:t>giảm 2,</w:t>
      </w:r>
      <w:r>
        <w:rPr>
          <w:sz w:val="28"/>
          <w:szCs w:val="28"/>
        </w:rPr>
        <w:t xml:space="preserve">9%; nhóm hàng thủy sản ước khoảng </w:t>
      </w:r>
      <w:r>
        <w:rPr>
          <w:sz w:val="28"/>
          <w:szCs w:val="28"/>
          <w:lang w:val="vi-VN"/>
        </w:rPr>
        <w:t>564,3</w:t>
      </w:r>
      <w:r>
        <w:rPr>
          <w:sz w:val="28"/>
          <w:szCs w:val="28"/>
        </w:rPr>
        <w:t xml:space="preserve"> triệu USD, tăng </w:t>
      </w:r>
      <w:r>
        <w:rPr>
          <w:sz w:val="28"/>
          <w:szCs w:val="28"/>
          <w:lang w:val="vi-VN"/>
        </w:rPr>
        <w:t>13,0</w:t>
      </w:r>
      <w:r>
        <w:rPr>
          <w:sz w:val="28"/>
          <w:szCs w:val="28"/>
        </w:rPr>
        <w:t xml:space="preserve">%; nhóm lâm sản chính khoảng 988,2 triệu USD, </w:t>
      </w:r>
      <w:r>
        <w:rPr>
          <w:sz w:val="28"/>
          <w:szCs w:val="28"/>
          <w:lang w:val="vi-VN"/>
        </w:rPr>
        <w:t>giảm</w:t>
      </w:r>
      <w:r>
        <w:rPr>
          <w:sz w:val="28"/>
          <w:szCs w:val="28"/>
        </w:rPr>
        <w:t xml:space="preserve"> 3,6%; nhóm sản phẩm chăn nuôi khoảng 979,8 triệu USD, </w:t>
      </w:r>
      <w:r>
        <w:rPr>
          <w:sz w:val="28"/>
          <w:szCs w:val="28"/>
          <w:lang w:val="vi-VN"/>
        </w:rPr>
        <w:t>giảm</w:t>
      </w:r>
      <w:r>
        <w:rPr>
          <w:sz w:val="28"/>
          <w:szCs w:val="28"/>
        </w:rPr>
        <w:t xml:space="preserve"> 14,9%; nhóm đầu vào sản xuất </w:t>
      </w:r>
      <w:r>
        <w:rPr>
          <w:sz w:val="28"/>
          <w:szCs w:val="28"/>
          <w:lang w:val="vi-VN"/>
        </w:rPr>
        <w:t xml:space="preserve">ước </w:t>
      </w:r>
      <w:r>
        <w:rPr>
          <w:sz w:val="28"/>
          <w:szCs w:val="28"/>
        </w:rPr>
        <w:t>gần 2,4 tỷ USD, tăng 4,0%</w:t>
      </w:r>
      <w:r>
        <w:rPr>
          <w:sz w:val="28"/>
          <w:szCs w:val="28"/>
          <w:lang w:val="vi-VN"/>
        </w:rPr>
        <w:t xml:space="preserve"> (</w:t>
      </w:r>
      <w:r>
        <w:rPr>
          <w:sz w:val="28"/>
          <w:szCs w:val="28"/>
        </w:rPr>
        <w:t xml:space="preserve">riêng giá trị NK thức ăn GS và nguyên liệu gần 1,5 tỷ USD (-11,9%), </w:t>
      </w:r>
      <w:r>
        <w:rPr>
          <w:sz w:val="28"/>
          <w:szCs w:val="28"/>
          <w:lang w:val="vi-VN"/>
        </w:rPr>
        <w:t xml:space="preserve">phân bón </w:t>
      </w:r>
      <w:r>
        <w:rPr>
          <w:sz w:val="28"/>
          <w:szCs w:val="28"/>
        </w:rPr>
        <w:t>khoảng 625,4 triệu USD (+73,3%))</w:t>
      </w:r>
      <w:r>
        <w:rPr>
          <w:rStyle w:val="FootnoteCharacters"/>
          <w:rStyle w:val="FootnoteAnchor"/>
          <w:sz w:val="28"/>
          <w:szCs w:val="28"/>
          <w:lang w:val="vi-VN"/>
        </w:rPr>
        <w:footnoteReference w:id="6"/>
      </w:r>
      <w:r>
        <w:rPr>
          <w:sz w:val="28"/>
          <w:szCs w:val="28"/>
        </w:rPr>
        <w:t>.</w:t>
      </w:r>
    </w:p>
    <w:p>
      <w:pPr>
        <w:pStyle w:val="Normal"/>
        <w:widowControl w:val="false"/>
        <w:tabs>
          <w:tab w:val="clear" w:pos="720"/>
          <w:tab w:val="left" w:pos="3600" w:leader="none"/>
          <w:tab w:val="left" w:pos="4230" w:leader="none"/>
        </w:tabs>
        <w:autoSpaceDE w:val="false"/>
        <w:spacing w:before="100" w:after="0"/>
        <w:ind w:firstLine="720"/>
        <w:jc w:val="both"/>
        <w:rPr>
          <w:sz w:val="28"/>
          <w:szCs w:val="28"/>
        </w:rPr>
      </w:pPr>
      <w:r>
        <w:rPr>
          <w:sz w:val="28"/>
          <w:szCs w:val="28"/>
        </w:rPr>
        <w:t>Sang đến tháng 4 Campuchia lại trở thành thị trường XK nông sản sang VN nhiều nhất đạt 1,6 tỷ USD, chiếm 11,4% thị phần</w:t>
      </w:r>
      <w:r>
        <w:rPr>
          <w:rStyle w:val="FootnoteCharacters"/>
          <w:rStyle w:val="FootnoteAnchor"/>
          <w:sz w:val="28"/>
          <w:szCs w:val="28"/>
        </w:rPr>
        <w:footnoteReference w:id="7"/>
      </w:r>
      <w:r>
        <w:rPr>
          <w:sz w:val="28"/>
          <w:szCs w:val="28"/>
        </w:rPr>
        <w:t xml:space="preserve"> (trong đó mặt hạt điều</w:t>
      </w:r>
      <w:r>
        <w:rPr>
          <w:sz w:val="28"/>
          <w:szCs w:val="28"/>
          <w:lang w:val="vi-VN"/>
        </w:rPr>
        <w:t xml:space="preserve"> </w:t>
      </w:r>
      <w:r>
        <w:rPr>
          <w:sz w:val="28"/>
          <w:szCs w:val="28"/>
        </w:rPr>
        <w:t>chiếm 50,8% giá trị); tiếp theo là Hoa Kỳ và Braxin đều đạt khoảng 1,1 triệu USD, chiếm</w:t>
      </w:r>
      <w:r>
        <w:rPr>
          <w:sz w:val="28"/>
          <w:szCs w:val="28"/>
          <w:lang w:val="vi-VN"/>
        </w:rPr>
        <w:t xml:space="preserve"> </w:t>
      </w:r>
      <w:r>
        <w:rPr>
          <w:sz w:val="28"/>
          <w:szCs w:val="28"/>
        </w:rPr>
        <w:t>8,1% (mặt hàng bông chiếm</w:t>
      </w:r>
      <w:r>
        <w:rPr>
          <w:sz w:val="28"/>
          <w:szCs w:val="28"/>
          <w:lang w:val="vi-VN"/>
        </w:rPr>
        <w:t xml:space="preserve"> khoảng</w:t>
      </w:r>
      <w:r>
        <w:rPr>
          <w:sz w:val="28"/>
          <w:szCs w:val="28"/>
        </w:rPr>
        <w:t xml:space="preserve"> 34,4% giá trị hàng từ Hoa Kỳ và 30,9% từ Braxin).</w:t>
      </w:r>
    </w:p>
    <w:p>
      <w:pPr>
        <w:pStyle w:val="Normal"/>
        <w:widowControl w:val="false"/>
        <w:spacing w:before="100" w:after="0"/>
        <w:ind w:firstLine="720"/>
        <w:jc w:val="both"/>
        <w:rPr/>
      </w:pPr>
      <w:bookmarkStart w:id="14" w:name="_Hlk36194168"/>
      <w:bookmarkEnd w:id="14"/>
      <w:r>
        <w:rPr>
          <w:b/>
          <w:sz w:val="28"/>
          <w:szCs w:val="28"/>
        </w:rPr>
        <w:t>3. Hợp tác quốc tế và p</w:t>
      </w:r>
      <w:r>
        <w:rPr>
          <w:b/>
          <w:iCs/>
          <w:sz w:val="28"/>
          <w:szCs w:val="28"/>
          <w:shd w:fill="FFFFFF" w:val="clear"/>
        </w:rPr>
        <w:t>hát triển thị trường</w:t>
      </w:r>
    </w:p>
    <w:p>
      <w:pPr>
        <w:pStyle w:val="Normal"/>
        <w:widowControl w:val="false"/>
        <w:spacing w:before="100" w:after="0"/>
        <w:ind w:firstLine="709"/>
        <w:jc w:val="both"/>
        <w:rPr>
          <w:rFonts w:eastAsia="Batang;바탕"/>
          <w:i/>
          <w:i/>
          <w:sz w:val="28"/>
          <w:szCs w:val="28"/>
          <w:lang w:eastAsia="ko-KR"/>
        </w:rPr>
      </w:pPr>
      <w:r>
        <w:rPr>
          <w:rFonts w:eastAsia="Batang;바탕"/>
          <w:sz w:val="28"/>
          <w:szCs w:val="28"/>
          <w:lang w:val="es-ES" w:eastAsia="ko-KR"/>
        </w:rPr>
        <w:t xml:space="preserve">Trong tháng, Bộ tiếp tục </w:t>
      </w:r>
      <w:r>
        <w:rPr>
          <w:sz w:val="28"/>
          <w:szCs w:val="28"/>
          <w:lang w:val="es-ES"/>
        </w:rPr>
        <w:t xml:space="preserve">trao đổi, cung cấp thông tin nhanh về giá cả, sản lượng và tình hình sản xuất, cung ứng các sản phẩm nông sản. </w:t>
      </w:r>
      <w:r>
        <w:rPr>
          <w:rFonts w:eastAsia="Batang;바탕"/>
          <w:sz w:val="28"/>
          <w:szCs w:val="28"/>
          <w:lang w:val="vi-VN" w:eastAsia="ko-KR"/>
        </w:rPr>
        <w:t>X</w:t>
      </w:r>
      <w:r>
        <w:rPr>
          <w:rFonts w:eastAsia="Batang;바탕"/>
          <w:sz w:val="28"/>
          <w:szCs w:val="28"/>
          <w:lang w:val="es-ES" w:eastAsia="ko-KR"/>
        </w:rPr>
        <w:t>ây dựng kế hoạch khảo sát tình hình tiêu thụ, phát triển thị trường nông sản tại các địa phương, các cửa khẩu biên giới</w:t>
      </w:r>
      <w:r>
        <w:rPr>
          <w:rFonts w:eastAsia="Batang;바탕"/>
          <w:sz w:val="28"/>
          <w:szCs w:val="28"/>
          <w:lang w:val="vi-VN" w:eastAsia="ko-KR"/>
        </w:rPr>
        <w:t>.</w:t>
      </w:r>
      <w:r>
        <w:rPr>
          <w:rFonts w:eastAsia="Batang;바탕"/>
          <w:sz w:val="28"/>
          <w:szCs w:val="28"/>
          <w:lang w:eastAsia="ko-KR"/>
        </w:rPr>
        <w:t xml:space="preserve"> Hỗ trợ </w:t>
      </w:r>
      <w:r>
        <w:rPr>
          <w:rFonts w:eastAsia="Batang;바탕"/>
          <w:sz w:val="28"/>
          <w:szCs w:val="28"/>
          <w:lang w:val="es-ES" w:eastAsia="ko-KR"/>
        </w:rPr>
        <w:t>các địa phương, ngành hàng tổ chức Hội nghị, Diễn đàn, sự kiện quảng bá nông sản (vải thiều, nhuyễn thể, sắn,…), kêu gọi đầu tư</w:t>
      </w:r>
      <w:r>
        <w:rPr>
          <w:rStyle w:val="FootnoteCharacters"/>
          <w:rStyle w:val="FootnoteAnchor"/>
          <w:rFonts w:eastAsia="Batang;바탕"/>
          <w:sz w:val="28"/>
          <w:szCs w:val="28"/>
          <w:lang w:val="es-ES" w:eastAsia="ko-KR"/>
        </w:rPr>
        <w:footnoteReference w:id="8"/>
      </w:r>
      <w:r>
        <w:rPr>
          <w:rFonts w:eastAsia="Batang;바탕"/>
          <w:sz w:val="28"/>
          <w:szCs w:val="28"/>
          <w:lang w:val="es-ES" w:eastAsia="ko-KR"/>
        </w:rPr>
        <w:t>. Làm việc với Cục Phát triển Doanh nghiệp (Bộ KH&amp;ĐT) về Sổ tay hướng dẫn CĐS cho doanh nghiệp nhỏ và vừa lĩnh vực nông nghiệp; Hỗ trợ, xây dựng giáo trình, tập huấn về “Chất lượng, ATTP, truy xuất nguồn gốc trong sản xuất, chế biến nông sản” thực hiện Quy trình số hóa 3 bước cho nông sản Việt.</w:t>
      </w:r>
    </w:p>
    <w:p>
      <w:pPr>
        <w:pStyle w:val="Normal"/>
        <w:widowControl w:val="false"/>
        <w:autoSpaceDE w:val="false"/>
        <w:spacing w:before="100" w:after="0"/>
        <w:ind w:firstLine="720"/>
        <w:jc w:val="both"/>
        <w:rPr>
          <w:sz w:val="28"/>
          <w:szCs w:val="28"/>
          <w:lang w:val="pt-BR"/>
        </w:rPr>
      </w:pPr>
      <w:r>
        <w:rPr>
          <w:sz w:val="28"/>
          <w:szCs w:val="28"/>
          <w:lang w:val="sv-SE"/>
        </w:rPr>
        <w:t xml:space="preserve">Tiếp tục đẩy mạnh các hoạt động hợp tác song phương, đa phương, mở cửa thị trường. </w:t>
      </w:r>
      <w:r>
        <w:rPr>
          <w:sz w:val="28"/>
          <w:szCs w:val="28"/>
        </w:rPr>
        <w:t>Chuẩn</w:t>
      </w:r>
      <w:r>
        <w:rPr>
          <w:sz w:val="28"/>
          <w:szCs w:val="28"/>
          <w:lang w:val="vi-VN"/>
        </w:rPr>
        <w:t xml:space="preserve"> bị </w:t>
      </w:r>
      <w:r>
        <w:rPr>
          <w:sz w:val="28"/>
          <w:szCs w:val="28"/>
        </w:rPr>
        <w:t xml:space="preserve">tổ chức Đoàn giao thương, quảng bá chuỗi cung ứng trái cây, thủy sản tại Trung Quốc. </w:t>
      </w:r>
      <w:r>
        <w:rPr>
          <w:sz w:val="28"/>
          <w:szCs w:val="28"/>
          <w:lang w:val="sv-SE"/>
        </w:rPr>
        <w:t xml:space="preserve">Tập trung đàm phán, hoàn thiện các thủ tục (đánh giá rủi ro, kiểm tra...) để thúc đẩy xuất khẩu xoài, thịt gà sang Hàn Quốc, </w:t>
      </w:r>
      <w:r>
        <w:rPr>
          <w:sz w:val="28"/>
          <w:szCs w:val="28"/>
        </w:rPr>
        <w:t xml:space="preserve">bưởi, chanh ta sang Newzealand; </w:t>
      </w:r>
      <w:r>
        <w:rPr>
          <w:sz w:val="28"/>
          <w:szCs w:val="28"/>
          <w:lang w:val="sv-SE"/>
        </w:rPr>
        <w:t xml:space="preserve">lông vũ, yến và sản phẩm từ yến, sữa và sản phẩm từ sữa sang Trung Quốc; mật ong sang EU; khảo sát vùng trồng bưởi, nhà máy chiếu xạ để thống nhất KH XK bưởi với Hoa Kỳ. </w:t>
      </w:r>
      <w:r>
        <w:rPr>
          <w:sz w:val="28"/>
          <w:szCs w:val="28"/>
        </w:rPr>
        <w:t>Cập nhật tình hình sử dụng chứng nhận điện tử về sức khỏe động vật (e-AH) cho Ban Thư ký ASEAN</w:t>
      </w:r>
      <w:r>
        <w:rPr>
          <w:sz w:val="28"/>
          <w:szCs w:val="28"/>
          <w:lang w:val="vi-VN"/>
        </w:rPr>
        <w:t xml:space="preserve">; </w:t>
      </w:r>
      <w:r>
        <w:rPr>
          <w:sz w:val="28"/>
          <w:szCs w:val="28"/>
          <w:shd w:fill="FFFFFF" w:val="clear"/>
          <w:lang w:val="vi-VN"/>
        </w:rPr>
        <w:t>C</w:t>
      </w:r>
      <w:r>
        <w:rPr>
          <w:sz w:val="28"/>
          <w:szCs w:val="28"/>
          <w:shd w:fill="FFFFFF" w:val="clear"/>
        </w:rPr>
        <w:t>huẩn bị cho cuộc họp Ủy ban SPS Hiệp định CPTPP</w:t>
      </w:r>
      <w:r>
        <w:rPr>
          <w:sz w:val="28"/>
          <w:szCs w:val="28"/>
          <w:shd w:fill="FFFFFF" w:val="clear"/>
          <w:lang w:val="vi-VN"/>
        </w:rPr>
        <w:t>,</w:t>
      </w:r>
      <w:r>
        <w:rPr>
          <w:sz w:val="28"/>
          <w:szCs w:val="28"/>
          <w:shd w:fill="FFFFFF" w:val="clear"/>
        </w:rPr>
        <w:t xml:space="preserve"> các vấn đề vướng mắc kỹ thuật; đề xuất mở cửa thị trường sản phẩm nông sản đối với các nước tham gia Hiệp định CPTPP.</w:t>
      </w:r>
    </w:p>
    <w:p>
      <w:pPr>
        <w:pStyle w:val="Normal"/>
        <w:widowControl w:val="false"/>
        <w:spacing w:before="100" w:after="0"/>
        <w:ind w:firstLine="709"/>
        <w:jc w:val="both"/>
        <w:rPr/>
      </w:pPr>
      <w:r>
        <w:rPr>
          <w:bCs/>
          <w:sz w:val="28"/>
          <w:szCs w:val="28"/>
          <w:lang w:val="it-IT"/>
        </w:rPr>
        <w:t>Tiếp tục h</w:t>
      </w:r>
      <w:r>
        <w:rPr>
          <w:sz w:val="28"/>
          <w:szCs w:val="28"/>
          <w:lang w:val="vi-VN"/>
        </w:rPr>
        <w:t xml:space="preserve">ướng dẫn </w:t>
      </w:r>
      <w:r>
        <w:rPr>
          <w:sz w:val="28"/>
          <w:szCs w:val="28"/>
        </w:rPr>
        <w:t xml:space="preserve">các đơn vị, doanh nghiệp thực hiện quy định </w:t>
      </w:r>
      <w:r>
        <w:rPr>
          <w:sz w:val="28"/>
          <w:szCs w:val="28"/>
          <w:lang w:val="vi-VN"/>
        </w:rPr>
        <w:t>Lệnh 248, 249 của Tổng cục Hải quan Trung Quốc</w:t>
      </w:r>
      <w:r>
        <w:rPr>
          <w:rStyle w:val="FootnoteCharacters"/>
          <w:rStyle w:val="FootnoteAnchor"/>
          <w:sz w:val="28"/>
          <w:szCs w:val="28"/>
          <w:lang w:val="vi-VN"/>
        </w:rPr>
        <w:footnoteReference w:id="9"/>
      </w:r>
      <w:r>
        <w:rPr>
          <w:sz w:val="28"/>
          <w:szCs w:val="28"/>
        </w:rPr>
        <w:t>. Trong tháng, đã tổng hợp được 78 thông báo dự thảo quy định về SPS; đã xử lý 11 cảnh báo của EU. Báo</w:t>
      </w:r>
      <w:r>
        <w:rPr>
          <w:sz w:val="28"/>
          <w:szCs w:val="28"/>
          <w:lang w:val="vi-VN"/>
        </w:rPr>
        <w:t xml:space="preserve"> cáo </w:t>
      </w:r>
      <w:r>
        <w:rPr>
          <w:sz w:val="28"/>
          <w:szCs w:val="28"/>
        </w:rPr>
        <w:t>TTCP</w:t>
      </w:r>
      <w:r>
        <w:rPr>
          <w:sz w:val="28"/>
          <w:szCs w:val="28"/>
          <w:lang w:val="vi-VN"/>
        </w:rPr>
        <w:t xml:space="preserve"> Tổng kết 13 năm thực hiện Quyết định </w:t>
      </w:r>
      <w:r>
        <w:rPr>
          <w:sz w:val="28"/>
          <w:szCs w:val="28"/>
        </w:rPr>
        <w:t xml:space="preserve">số </w:t>
      </w:r>
      <w:r>
        <w:rPr>
          <w:sz w:val="28"/>
          <w:szCs w:val="28"/>
          <w:lang w:val="vi-VN"/>
        </w:rPr>
        <w:t xml:space="preserve">147/2008/QĐ-TTg ngày 17/11/2008 về “Kế hoạch hành động quốc gia đẩy nhanh thực hiện cam kết đối với Hiệp định về </w:t>
      </w:r>
      <w:r>
        <w:rPr>
          <w:sz w:val="28"/>
          <w:szCs w:val="28"/>
        </w:rPr>
        <w:t>VS ATTP</w:t>
      </w:r>
      <w:r>
        <w:rPr>
          <w:sz w:val="28"/>
          <w:szCs w:val="28"/>
          <w:lang w:val="vi-VN"/>
        </w:rPr>
        <w:t xml:space="preserve"> và kiểm dịch động, thực vật đáp ứng nghĩa vụ thành viên Tổ chức Thương mại thế giới”; </w:t>
      </w:r>
    </w:p>
    <w:p>
      <w:pPr>
        <w:pStyle w:val="Normal"/>
        <w:widowControl w:val="false"/>
        <w:spacing w:before="100" w:after="0"/>
        <w:ind w:firstLine="709"/>
        <w:jc w:val="both"/>
        <w:rPr/>
      </w:pPr>
      <w:r>
        <w:rPr>
          <w:b/>
          <w:sz w:val="28"/>
          <w:szCs w:val="28"/>
        </w:rPr>
        <w:t>4</w:t>
      </w:r>
      <w:r>
        <w:rPr>
          <w:b/>
          <w:sz w:val="28"/>
          <w:szCs w:val="28"/>
          <w:lang w:val="vi-VN"/>
        </w:rPr>
        <w:t xml:space="preserve">. </w:t>
      </w:r>
      <w:r>
        <w:rPr>
          <w:b/>
          <w:sz w:val="28"/>
          <w:szCs w:val="28"/>
        </w:rPr>
        <w:t>Quản lý chất lượng, an toàn thực phẩm</w:t>
      </w:r>
    </w:p>
    <w:p>
      <w:pPr>
        <w:pStyle w:val="Normal"/>
        <w:widowControl w:val="false"/>
        <w:tabs>
          <w:tab w:val="clear" w:pos="720"/>
          <w:tab w:val="left" w:pos="709" w:leader="none"/>
        </w:tabs>
        <w:spacing w:before="100" w:after="0"/>
        <w:ind w:firstLine="709"/>
        <w:jc w:val="both"/>
        <w:rPr>
          <w:sz w:val="28"/>
          <w:szCs w:val="28"/>
          <w:lang w:val="cs-CZ"/>
        </w:rPr>
      </w:pPr>
      <w:r>
        <w:rPr>
          <w:bCs/>
          <w:sz w:val="28"/>
          <w:szCs w:val="28"/>
        </w:rPr>
        <w:t xml:space="preserve">Trong tháng, tập trung hướng dẫn địa phương, cơ sở sản xuất kinh doanh thực hiện nghiêm các quy định về quản lý chất lượng, an toàn thực phẩm. </w:t>
      </w:r>
      <w:r>
        <w:rPr>
          <w:sz w:val="28"/>
          <w:szCs w:val="28"/>
          <w:lang w:val="cs-CZ"/>
        </w:rPr>
        <w:t xml:space="preserve">Chủ động xử lý các sự cố mất an toàn thực phẩm; </w:t>
      </w:r>
      <w:r>
        <w:rPr>
          <w:sz w:val="28"/>
          <w:szCs w:val="28"/>
        </w:rPr>
        <w:t xml:space="preserve">đẩy mạnh xây dựng các chuỗi cung ứng thực phẩm an toàn, nhất là cho các đô thị lớn; </w:t>
      </w:r>
      <w:r>
        <w:rPr>
          <w:sz w:val="28"/>
          <w:szCs w:val="28"/>
          <w:lang w:val="sv-SE"/>
        </w:rPr>
        <w:t>triển khai các chương trình giám sát vệ sinh ATTP nông lâm thủy sản</w:t>
      </w:r>
      <w:r>
        <w:rPr>
          <w:sz w:val="28"/>
          <w:szCs w:val="28"/>
        </w:rPr>
        <w:t>.</w:t>
      </w:r>
    </w:p>
    <w:p>
      <w:pPr>
        <w:pStyle w:val="Normal"/>
        <w:widowControl w:val="false"/>
        <w:autoSpaceDE w:val="false"/>
        <w:spacing w:before="100" w:after="0"/>
        <w:ind w:firstLine="707"/>
        <w:jc w:val="both"/>
        <w:rPr>
          <w:sz w:val="28"/>
          <w:szCs w:val="28"/>
          <w:shd w:fill="FFFFFF" w:val="clear"/>
        </w:rPr>
      </w:pPr>
      <w:r>
        <w:rPr>
          <w:sz w:val="28"/>
          <w:szCs w:val="28"/>
          <w:shd w:fill="FFFFFF" w:val="clear"/>
          <w:lang w:val="sv-SE"/>
        </w:rPr>
        <w:t xml:space="preserve">Trong tháng 4 đã tổ chức lấy 196 mẫu thủy sản, kết quả 186 mẫu đạt yêu cầu; </w:t>
      </w:r>
      <w:r>
        <w:rPr>
          <w:sz w:val="28"/>
          <w:szCs w:val="28"/>
          <w:shd w:fill="FFFFFF" w:val="clear"/>
          <w:lang w:val="en-SG"/>
        </w:rPr>
        <w:t>các</w:t>
      </w:r>
      <w:r>
        <w:rPr>
          <w:sz w:val="28"/>
          <w:szCs w:val="28"/>
          <w:shd w:fill="FFFFFF" w:val="clear"/>
        </w:rPr>
        <w:t xml:space="preserve"> địa phương lấy 1.424</w:t>
      </w:r>
      <w:r>
        <w:rPr>
          <w:sz w:val="28"/>
          <w:szCs w:val="28"/>
          <w:shd w:fill="FFFFFF" w:val="clear"/>
          <w:lang w:val="en-SG"/>
        </w:rPr>
        <w:t xml:space="preserve"> </w:t>
      </w:r>
      <w:r>
        <w:rPr>
          <w:sz w:val="28"/>
          <w:szCs w:val="28"/>
          <w:shd w:fill="FFFFFF" w:val="clear"/>
        </w:rPr>
        <w:t xml:space="preserve">mẫu NLTS sau thu hoạch, phát hiện 24 mẫu vi phạm ATTP, chiếm 1,69%. </w:t>
      </w:r>
      <w:r>
        <w:rPr>
          <w:sz w:val="28"/>
          <w:szCs w:val="28"/>
          <w:shd w:fill="FFFFFF" w:val="clear"/>
          <w:lang w:val="sv-SE"/>
        </w:rPr>
        <w:t>Lũy kế, đã</w:t>
      </w:r>
      <w:r>
        <w:rPr>
          <w:sz w:val="28"/>
          <w:szCs w:val="28"/>
          <w:lang w:val="it-IT" w:eastAsia="en-US"/>
        </w:rPr>
        <w:t xml:space="preserve"> lấy 798 mẫu thủy sản, phát hiện 10 mẫu vi phạm (chiếm 1,25%), </w:t>
      </w:r>
      <w:r>
        <w:rPr>
          <w:sz w:val="28"/>
          <w:szCs w:val="28"/>
          <w:shd w:fill="FFFFFF" w:val="clear"/>
          <w:lang w:val="en-SG"/>
        </w:rPr>
        <w:t>các</w:t>
      </w:r>
      <w:r>
        <w:rPr>
          <w:sz w:val="28"/>
          <w:szCs w:val="28"/>
          <w:shd w:fill="FFFFFF" w:val="clear"/>
        </w:rPr>
        <w:t xml:space="preserve"> địa phương lấy 4.607</w:t>
      </w:r>
      <w:r>
        <w:rPr>
          <w:sz w:val="28"/>
          <w:szCs w:val="28"/>
          <w:shd w:fill="FFFFFF" w:val="clear"/>
          <w:lang w:val="en-SG"/>
        </w:rPr>
        <w:t xml:space="preserve"> </w:t>
      </w:r>
      <w:r>
        <w:rPr>
          <w:sz w:val="28"/>
          <w:szCs w:val="28"/>
          <w:shd w:fill="FFFFFF" w:val="clear"/>
        </w:rPr>
        <w:t>mẫu NLTS sau thu hoạch, phát hiện 162 mẫu vi phạm an toàn thực phẩm (chiếm 3,52%); giảm so với 4,49% so với CKNT.</w:t>
      </w:r>
    </w:p>
    <w:p>
      <w:pPr>
        <w:pStyle w:val="Normal"/>
        <w:widowControl w:val="false"/>
        <w:autoSpaceDE w:val="false"/>
        <w:spacing w:before="100" w:after="0"/>
        <w:ind w:firstLine="707"/>
        <w:jc w:val="both"/>
        <w:rPr>
          <w:b/>
          <w:b/>
          <w:sz w:val="28"/>
          <w:szCs w:val="28"/>
          <w:lang w:val="vi-VN"/>
        </w:rPr>
      </w:pPr>
      <w:r>
        <w:rPr>
          <w:b/>
          <w:sz w:val="28"/>
          <w:szCs w:val="28"/>
        </w:rPr>
        <w:t>5</w:t>
      </w:r>
      <w:r>
        <w:rPr>
          <w:b/>
          <w:sz w:val="28"/>
          <w:szCs w:val="28"/>
          <w:lang w:val="vi-VN"/>
        </w:rPr>
        <w:t>. Công tác thủy lợi, phòng chống thiên tai</w:t>
      </w:r>
    </w:p>
    <w:p>
      <w:pPr>
        <w:pStyle w:val="Normal"/>
        <w:widowControl w:val="false"/>
        <w:spacing w:before="100" w:after="0"/>
        <w:ind w:firstLine="707"/>
        <w:jc w:val="both"/>
        <w:rPr>
          <w:sz w:val="28"/>
          <w:szCs w:val="28"/>
        </w:rPr>
      </w:pPr>
      <w:r>
        <w:rPr>
          <w:bCs/>
          <w:sz w:val="28"/>
          <w:szCs w:val="28"/>
          <w:lang w:val="it-IT"/>
        </w:rPr>
        <w:t xml:space="preserve">Trong tháng, </w:t>
      </w:r>
      <w:r>
        <w:rPr>
          <w:sz w:val="28"/>
          <w:szCs w:val="28"/>
        </w:rPr>
        <w:t xml:space="preserve">tổ chức trực ban, theo dõi chặt chẽ diễn biến thời tiết, tình hình thiên tai và </w:t>
      </w:r>
      <w:r>
        <w:rPr>
          <w:sz w:val="28"/>
          <w:szCs w:val="28"/>
          <w:lang w:val="vi-VN"/>
        </w:rPr>
        <w:t xml:space="preserve">chỉ đạo các địa phương chủ động </w:t>
      </w:r>
      <w:r>
        <w:rPr>
          <w:sz w:val="28"/>
          <w:szCs w:val="28"/>
        </w:rPr>
        <w:t xml:space="preserve">triển khai </w:t>
      </w:r>
      <w:r>
        <w:rPr>
          <w:sz w:val="28"/>
          <w:szCs w:val="28"/>
          <w:lang w:val="vi-VN"/>
        </w:rPr>
        <w:t>các biện pháp ứng phó với mưa lớn, lũ quét, sạt lở đất, rét hại và gió mạnh trên biển</w:t>
      </w:r>
      <w:r>
        <w:rPr>
          <w:sz w:val="28"/>
          <w:szCs w:val="28"/>
        </w:rPr>
        <w:t>. Tham mưu TTCP ban hành c</w:t>
      </w:r>
      <w:r>
        <w:rPr>
          <w:sz w:val="28"/>
          <w:szCs w:val="28"/>
          <w:lang w:val="vi-VN"/>
        </w:rPr>
        <w:t>ông điện số 298/CĐ-TTg chỉ đạo tập trung khắc phục hậu quả mưa lũ các tỉnh miền Trung</w:t>
      </w:r>
      <w:r>
        <w:rPr>
          <w:sz w:val="28"/>
          <w:szCs w:val="28"/>
        </w:rPr>
        <w:t>; H</w:t>
      </w:r>
      <w:r>
        <w:rPr>
          <w:sz w:val="28"/>
          <w:szCs w:val="28"/>
          <w:lang w:val="vi-VN"/>
        </w:rPr>
        <w:t>ọp với các Bộ</w:t>
      </w:r>
      <w:r>
        <w:rPr>
          <w:sz w:val="28"/>
          <w:szCs w:val="28"/>
        </w:rPr>
        <w:t>,</w:t>
      </w:r>
      <w:r>
        <w:rPr>
          <w:sz w:val="28"/>
          <w:szCs w:val="28"/>
          <w:lang w:val="vi-VN"/>
        </w:rPr>
        <w:t xml:space="preserve"> ngành và tỉnh Kon Tum về chủ động ứng phó động đất</w:t>
      </w:r>
      <w:r>
        <w:rPr>
          <w:sz w:val="28"/>
          <w:szCs w:val="28"/>
        </w:rPr>
        <w:t>.</w:t>
      </w:r>
    </w:p>
    <w:p>
      <w:pPr>
        <w:pStyle w:val="Normal"/>
        <w:widowControl w:val="false"/>
        <w:spacing w:before="100" w:after="0"/>
        <w:ind w:firstLine="707"/>
        <w:jc w:val="both"/>
        <w:rPr>
          <w:sz w:val="28"/>
          <w:szCs w:val="28"/>
          <w:lang w:val="nl-NL"/>
        </w:rPr>
      </w:pPr>
      <w:r>
        <w:rPr>
          <w:rStyle w:val="Fontstyle01"/>
          <w:rFonts w:eastAsia="Calibri" w:cs="Times New Roman"/>
          <w:color w:val="000000"/>
        </w:rPr>
        <w:t xml:space="preserve">Tổ chức thành công Hội nghị </w:t>
      </w:r>
      <w:r>
        <w:rPr>
          <w:sz w:val="28"/>
          <w:szCs w:val="28"/>
          <w:lang w:val="it-IT"/>
        </w:rPr>
        <w:t xml:space="preserve">toàn quốc về công tác phòng, chống thiên tai và TKCN năm 2022. </w:t>
      </w:r>
      <w:r>
        <w:rPr>
          <w:sz w:val="28"/>
          <w:szCs w:val="28"/>
        </w:rPr>
        <w:t xml:space="preserve">Hoàn thiện Dự thảo 1 Nghị định sửa đổi Nghị định </w:t>
      </w:r>
      <w:r>
        <w:rPr>
          <w:rStyle w:val="Fontstyle01"/>
          <w:rFonts w:cs="Times New Roman"/>
          <w:color w:val="000000"/>
        </w:rPr>
        <w:t>số 02/2017/NĐ-CP ngày 09/01/2017</w:t>
      </w:r>
      <w:r>
        <w:rPr>
          <w:sz w:val="28"/>
          <w:szCs w:val="28"/>
          <w:lang w:val="vi-VN"/>
        </w:rPr>
        <w:t xml:space="preserve">; </w:t>
      </w:r>
      <w:r>
        <w:rPr>
          <w:sz w:val="28"/>
          <w:szCs w:val="28"/>
          <w:lang w:val="nl-NL"/>
        </w:rPr>
        <w:t xml:space="preserve">Chương trình tổng thể PCTT quốc gia theo ý kiến các Bộ, ngành. </w:t>
      </w:r>
    </w:p>
    <w:p>
      <w:pPr>
        <w:pStyle w:val="Normal"/>
        <w:widowControl w:val="false"/>
        <w:tabs>
          <w:tab w:val="clear" w:pos="720"/>
          <w:tab w:val="left" w:pos="0" w:leader="none"/>
          <w:tab w:val="left" w:pos="567" w:leader="none"/>
        </w:tabs>
        <w:spacing w:before="100" w:after="0"/>
        <w:jc w:val="both"/>
        <w:rPr/>
      </w:pPr>
      <w:r>
        <w:rPr>
          <w:sz w:val="28"/>
          <w:szCs w:val="28"/>
          <w:lang w:val="vi-VN"/>
        </w:rPr>
        <w:tab/>
        <w:tab/>
        <w:t xml:space="preserve">Trong tháng 4, nước ta đã chịu ảnh hưởng của 12 trận mưa lớn; 10 trận mưa dông, lốc, sét; 12 trận động đất và 02 vụ sạt lở bờ sông; </w:t>
      </w:r>
      <w:r>
        <w:rPr>
          <w:sz w:val="28"/>
          <w:szCs w:val="28"/>
        </w:rPr>
        <w:t>làm</w:t>
      </w:r>
      <w:r>
        <w:rPr>
          <w:sz w:val="28"/>
          <w:szCs w:val="28"/>
          <w:lang w:val="vi-VN"/>
        </w:rPr>
        <w:t xml:space="preserve"> 10 người chết, mất tích; 07 người bị thương; 91.673</w:t>
      </w:r>
      <w:r>
        <w:rPr>
          <w:sz w:val="28"/>
          <w:szCs w:val="28"/>
        </w:rPr>
        <w:t xml:space="preserve"> </w:t>
      </w:r>
      <w:r>
        <w:rPr>
          <w:sz w:val="28"/>
          <w:szCs w:val="28"/>
          <w:lang w:val="vi-VN"/>
        </w:rPr>
        <w:t>ha lúa, 17.835</w:t>
      </w:r>
      <w:r>
        <w:rPr>
          <w:sz w:val="28"/>
          <w:szCs w:val="28"/>
        </w:rPr>
        <w:t xml:space="preserve"> </w:t>
      </w:r>
      <w:r>
        <w:rPr>
          <w:sz w:val="28"/>
          <w:szCs w:val="28"/>
          <w:lang w:val="vi-VN"/>
        </w:rPr>
        <w:t>ha hoa màu, 160.000 cây cảnh và 1.100</w:t>
      </w:r>
      <w:r>
        <w:rPr>
          <w:sz w:val="28"/>
          <w:szCs w:val="28"/>
        </w:rPr>
        <w:t xml:space="preserve"> </w:t>
      </w:r>
      <w:r>
        <w:rPr>
          <w:sz w:val="28"/>
          <w:szCs w:val="28"/>
          <w:lang w:val="vi-VN"/>
        </w:rPr>
        <w:t>ha cây trồng khác thiệt hại; 16 con gia súc bị chết; 2.340</w:t>
      </w:r>
      <w:r>
        <w:rPr>
          <w:sz w:val="28"/>
          <w:szCs w:val="28"/>
        </w:rPr>
        <w:t xml:space="preserve"> </w:t>
      </w:r>
      <w:r>
        <w:rPr>
          <w:sz w:val="28"/>
          <w:szCs w:val="28"/>
          <w:lang w:val="vi-VN"/>
        </w:rPr>
        <w:t>ha nuôi trồng thuỷ sản thiệt hại; 278 ghe, thuyền bị chìm, hư hỏng; 2712 lồng bè nuôi trồng thủy sản bị thiệt hại.</w:t>
      </w:r>
      <w:r>
        <w:rPr>
          <w:sz w:val="28"/>
          <w:szCs w:val="28"/>
        </w:rPr>
        <w:t xml:space="preserve"> </w:t>
      </w:r>
      <w:r>
        <w:rPr>
          <w:sz w:val="28"/>
          <w:szCs w:val="28"/>
          <w:lang w:val="vi-VN"/>
        </w:rPr>
        <w:t>Thiệt hại về kinh tế ước tính khoảng 1.389 tỷ đồng</w:t>
      </w:r>
      <w:r>
        <w:rPr>
          <w:sz w:val="28"/>
          <w:szCs w:val="28"/>
        </w:rPr>
        <w:t>;</w:t>
      </w:r>
      <w:r>
        <w:rPr>
          <w:sz w:val="28"/>
          <w:szCs w:val="28"/>
          <w:lang w:val="vi-VN"/>
        </w:rPr>
        <w:t xml:space="preserve"> thiệt hại 4 tháng đầu năm khoảng 1.507 tỷ đồng.</w:t>
      </w:r>
    </w:p>
    <w:p>
      <w:pPr>
        <w:pStyle w:val="Normal"/>
        <w:widowControl w:val="false"/>
        <w:spacing w:before="100" w:after="0"/>
        <w:ind w:firstLine="720"/>
        <w:jc w:val="both"/>
        <w:rPr/>
      </w:pPr>
      <w:bookmarkStart w:id="15" w:name="_Hlk36194168"/>
      <w:bookmarkEnd w:id="15"/>
      <w:r>
        <w:rPr>
          <w:b/>
          <w:sz w:val="28"/>
          <w:szCs w:val="28"/>
        </w:rPr>
        <w:t>6</w:t>
      </w:r>
      <w:r>
        <w:rPr>
          <w:b/>
          <w:sz w:val="28"/>
          <w:szCs w:val="28"/>
          <w:lang w:val="vi-VN"/>
        </w:rPr>
        <w:t>. Đầu tư xây dựng cơ bản</w:t>
      </w:r>
    </w:p>
    <w:p>
      <w:pPr>
        <w:pStyle w:val="Normal"/>
        <w:tabs>
          <w:tab w:val="clear" w:pos="720"/>
          <w:tab w:val="left" w:pos="1800" w:leader="none"/>
        </w:tabs>
        <w:spacing w:before="100" w:after="0"/>
        <w:ind w:firstLine="720"/>
        <w:jc w:val="both"/>
        <w:rPr>
          <w:sz w:val="28"/>
          <w:szCs w:val="28"/>
          <w:lang w:eastAsia="zh-CN"/>
        </w:rPr>
      </w:pPr>
      <w:r>
        <w:rPr>
          <w:rFonts w:eastAsia="MS Mincho;Yu Gothic UI"/>
          <w:sz w:val="28"/>
          <w:szCs w:val="28"/>
          <w:lang w:eastAsia="ja-JP"/>
        </w:rPr>
        <w:t>Rà soát, phân nhóm các dự án gộp để có phương án điều chỉnh nhằm đẩy nhanh tiến độ thực hiện</w:t>
      </w:r>
      <w:r>
        <w:rPr>
          <w:rFonts w:eastAsia="MS Mincho;Yu Gothic UI"/>
          <w:iCs/>
          <w:sz w:val="28"/>
          <w:szCs w:val="28"/>
          <w:lang w:eastAsia="ja-JP"/>
        </w:rPr>
        <w:t xml:space="preserve">; </w:t>
      </w:r>
      <w:r>
        <w:rPr>
          <w:rFonts w:eastAsia="MS Mincho;Yu Gothic UI"/>
          <w:sz w:val="28"/>
          <w:szCs w:val="28"/>
          <w:lang w:eastAsia="ja-JP"/>
        </w:rPr>
        <w:t xml:space="preserve">Yêu cầu các chủ dự án, chủ đầu tư lập cam kết giải ngân phù hợp nguồn vốn đã được phân bổ làm cơ sở theo dõi, đôn đốc hàng tháng, hàng quý. </w:t>
      </w:r>
      <w:r>
        <w:rPr>
          <w:sz w:val="28"/>
          <w:szCs w:val="28"/>
          <w:lang w:eastAsia="zh-CN"/>
        </w:rPr>
        <w:t>Đôn đốc các chủ đầu tư khẩn trương hoàn thiện hồ sơ BCNCKT các dự án khởi công trong năm 2022; đôn đốc các địa phương hoàn thiện thủ tục chuyển đổi mục đích sử dụng rừng cho 09 dự án</w:t>
      </w:r>
      <w:r>
        <w:rPr>
          <w:rStyle w:val="FootnoteCharacters"/>
          <w:rStyle w:val="FootnoteAnchor"/>
          <w:sz w:val="28"/>
          <w:szCs w:val="28"/>
          <w:lang w:eastAsia="zh-CN"/>
        </w:rPr>
        <w:footnoteReference w:id="10"/>
      </w:r>
      <w:r>
        <w:rPr>
          <w:sz w:val="28"/>
          <w:szCs w:val="28"/>
          <w:lang w:eastAsia="zh-CN"/>
        </w:rPr>
        <w:t xml:space="preserve">; </w:t>
      </w:r>
      <w:r>
        <w:rPr>
          <w:bCs/>
          <w:sz w:val="28"/>
          <w:szCs w:val="28"/>
        </w:rPr>
        <w:t>điều chỉnh chủ trương đầu tư, điều chỉnh dự án đầu cho 03 dự án</w:t>
      </w:r>
      <w:r>
        <w:rPr>
          <w:rStyle w:val="FootnoteCharacters"/>
          <w:rStyle w:val="FootnoteAnchor"/>
          <w:bCs/>
          <w:sz w:val="28"/>
          <w:szCs w:val="28"/>
        </w:rPr>
        <w:footnoteReference w:id="11"/>
      </w:r>
      <w:r>
        <w:rPr>
          <w:bCs/>
          <w:sz w:val="28"/>
          <w:szCs w:val="28"/>
        </w:rPr>
        <w:t>.</w:t>
      </w:r>
    </w:p>
    <w:p>
      <w:pPr>
        <w:pStyle w:val="TextBodyIndent"/>
        <w:widowControl w:val="false"/>
        <w:spacing w:before="100" w:after="0"/>
        <w:ind w:firstLine="601"/>
        <w:rPr>
          <w:rFonts w:ascii="Times New Roman" w:hAnsi="Times New Roman" w:cs="Times New Roman"/>
          <w:sz w:val="28"/>
          <w:szCs w:val="28"/>
        </w:rPr>
      </w:pPr>
      <w:r>
        <w:rPr>
          <w:rFonts w:cs="Times New Roman" w:ascii="Times New Roman" w:hAnsi="Times New Roman"/>
          <w:sz w:val="28"/>
          <w:szCs w:val="28"/>
          <w:lang w:val="en-US"/>
        </w:rPr>
        <w:t xml:space="preserve">4 tháng đầu năm, Bộ </w:t>
      </w:r>
      <w:r>
        <w:rPr>
          <w:rFonts w:cs="Times New Roman" w:ascii="Times New Roman" w:hAnsi="Times New Roman"/>
          <w:sz w:val="28"/>
          <w:szCs w:val="28"/>
          <w:lang w:val="af-ZA"/>
        </w:rPr>
        <w:t xml:space="preserve">đã phân bổ hết 6.438 tỷ đồng, trong đó, </w:t>
      </w:r>
      <w:r>
        <w:rPr>
          <w:rFonts w:cs="Times New Roman" w:ascii="Times New Roman" w:hAnsi="Times New Roman"/>
          <w:sz w:val="28"/>
          <w:szCs w:val="28"/>
        </w:rPr>
        <w:t>vốn trong nước là 4.538 tỷ đồng, vốn ODA 1.900 tỷ đồng</w:t>
      </w:r>
      <w:r>
        <w:rPr>
          <w:rFonts w:cs="Times New Roman" w:ascii="Times New Roman" w:hAnsi="Times New Roman"/>
          <w:sz w:val="28"/>
          <w:szCs w:val="28"/>
          <w:lang w:val="en-US"/>
        </w:rPr>
        <w:t xml:space="preserve"> và khối lượng giải ngân đạt khoảng 15,1%, cụ thể:</w:t>
      </w:r>
    </w:p>
    <w:p>
      <w:pPr>
        <w:pStyle w:val="Normal"/>
        <w:widowControl w:val="false"/>
        <w:shd w:fill="FFFFFF" w:val="clear"/>
        <w:spacing w:before="120" w:after="0"/>
        <w:ind w:right="113" w:firstLine="720"/>
        <w:jc w:val="right"/>
        <w:textAlignment w:val="baseline"/>
        <w:rPr>
          <w:i/>
          <w:i/>
          <w:sz w:val="28"/>
          <w:szCs w:val="28"/>
          <w:lang w:val="af-ZA"/>
        </w:rPr>
      </w:pPr>
      <w:r>
        <w:rPr>
          <w:i/>
          <w:sz w:val="28"/>
          <w:szCs w:val="28"/>
          <w:lang w:val="af-ZA"/>
        </w:rPr>
        <w:t>Đơn vị: Tỷ đồng</w:t>
      </w:r>
    </w:p>
    <w:tbl>
      <w:tblPr>
        <w:tblW w:w="8749" w:type="dxa"/>
        <w:jc w:val="center"/>
        <w:tblInd w:w="0" w:type="dxa"/>
        <w:tblLayout w:type="fixed"/>
        <w:tblCellMar>
          <w:top w:w="0" w:type="dxa"/>
          <w:left w:w="108" w:type="dxa"/>
          <w:bottom w:w="0" w:type="dxa"/>
          <w:right w:w="108" w:type="dxa"/>
        </w:tblCellMar>
      </w:tblPr>
      <w:tblGrid>
        <w:gridCol w:w="2567"/>
        <w:gridCol w:w="1326"/>
        <w:gridCol w:w="1747"/>
        <w:gridCol w:w="1266"/>
        <w:gridCol w:w="1843"/>
      </w:tblGrid>
      <w:tr>
        <w:trPr>
          <w:trHeight w:val="585" w:hRule="atLeast"/>
        </w:trPr>
        <w:tc>
          <w:tcPr>
            <w:tcW w:w="256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b/>
                <w:b/>
                <w:sz w:val="28"/>
                <w:szCs w:val="28"/>
              </w:rPr>
            </w:pPr>
            <w:r>
              <w:rPr>
                <w:b/>
                <w:sz w:val="28"/>
                <w:szCs w:val="28"/>
              </w:rPr>
              <w:t>Nội dung</w:t>
            </w:r>
          </w:p>
        </w:tc>
        <w:tc>
          <w:tcPr>
            <w:tcW w:w="132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b/>
                <w:b/>
                <w:bCs/>
                <w:sz w:val="28"/>
                <w:szCs w:val="28"/>
              </w:rPr>
            </w:pPr>
            <w:r>
              <w:rPr>
                <w:b/>
                <w:bCs/>
                <w:sz w:val="28"/>
                <w:szCs w:val="28"/>
              </w:rPr>
              <w:t>KH 2022 được giao</w:t>
            </w:r>
          </w:p>
        </w:tc>
        <w:tc>
          <w:tcPr>
            <w:tcW w:w="174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b/>
                <w:b/>
                <w:bCs/>
                <w:sz w:val="28"/>
                <w:szCs w:val="28"/>
              </w:rPr>
            </w:pPr>
            <w:r>
              <w:rPr>
                <w:b/>
                <w:bCs/>
                <w:sz w:val="28"/>
                <w:szCs w:val="28"/>
              </w:rPr>
              <w:t>KH 2022 Bộ đã phân bổ</w:t>
            </w:r>
          </w:p>
        </w:tc>
        <w:tc>
          <w:tcPr>
            <w:tcW w:w="310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b/>
                <w:b/>
                <w:bCs/>
                <w:sz w:val="28"/>
                <w:szCs w:val="28"/>
              </w:rPr>
            </w:pPr>
            <w:r>
              <w:rPr>
                <w:b/>
                <w:bCs/>
                <w:sz w:val="28"/>
                <w:szCs w:val="28"/>
              </w:rPr>
              <w:t>Dự kiến giải ngân từ đầu năm đến hết 30/4</w:t>
            </w:r>
          </w:p>
        </w:tc>
      </w:tr>
      <w:tr>
        <w:trPr>
          <w:trHeight w:val="356" w:hRule="atLeast"/>
        </w:trPr>
        <w:tc>
          <w:tcPr>
            <w:tcW w:w="25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0"/>
              <w:rPr>
                <w:b/>
                <w:b/>
                <w:bCs/>
                <w:sz w:val="28"/>
                <w:szCs w:val="28"/>
              </w:rPr>
            </w:pPr>
            <w:r>
              <w:rPr>
                <w:b/>
                <w:bCs/>
                <w:sz w:val="28"/>
                <w:szCs w:val="28"/>
              </w:rPr>
            </w:r>
          </w:p>
        </w:tc>
        <w:tc>
          <w:tcPr>
            <w:tcW w:w="132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0"/>
              <w:rPr>
                <w:b/>
                <w:b/>
                <w:bCs/>
                <w:sz w:val="28"/>
                <w:szCs w:val="28"/>
              </w:rPr>
            </w:pPr>
            <w:r>
              <w:rPr>
                <w:b/>
                <w:bCs/>
                <w:sz w:val="28"/>
                <w:szCs w:val="28"/>
              </w:rPr>
            </w:r>
          </w:p>
        </w:tc>
        <w:tc>
          <w:tcPr>
            <w:tcW w:w="17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0"/>
              <w:rPr>
                <w:b/>
                <w:b/>
                <w:bCs/>
                <w:sz w:val="28"/>
                <w:szCs w:val="28"/>
              </w:rPr>
            </w:pPr>
            <w:r>
              <w:rPr>
                <w:b/>
                <w:bCs/>
                <w:sz w:val="28"/>
                <w:szCs w:val="28"/>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sz w:val="28"/>
                <w:szCs w:val="28"/>
              </w:rPr>
            </w:pPr>
            <w:r>
              <w:rPr>
                <w:sz w:val="28"/>
                <w:szCs w:val="28"/>
              </w:rPr>
              <w:t>Số vốn</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iCs/>
                <w:sz w:val="28"/>
                <w:szCs w:val="28"/>
              </w:rPr>
            </w:pPr>
            <w:r>
              <w:rPr>
                <w:iCs/>
                <w:sz w:val="28"/>
                <w:szCs w:val="28"/>
              </w:rPr>
              <w:t>Tỷ lệ %</w:t>
            </w:r>
          </w:p>
        </w:tc>
      </w:tr>
      <w:tr>
        <w:trPr>
          <w:trHeight w:val="300" w:hRule="atLeast"/>
        </w:trPr>
        <w:tc>
          <w:tcPr>
            <w:tcW w:w="25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rPr>
                <w:b/>
                <w:b/>
                <w:sz w:val="28"/>
                <w:szCs w:val="28"/>
              </w:rPr>
            </w:pPr>
            <w:r>
              <w:rPr>
                <w:b/>
                <w:sz w:val="28"/>
                <w:szCs w:val="28"/>
              </w:rPr>
              <w:t>Tổng</w:t>
            </w:r>
          </w:p>
        </w:tc>
        <w:tc>
          <w:tcPr>
            <w:tcW w:w="1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
                <w:b/>
                <w:sz w:val="28"/>
                <w:szCs w:val="28"/>
              </w:rPr>
            </w:pPr>
            <w:r>
              <w:rPr>
                <w:b/>
                <w:sz w:val="28"/>
                <w:szCs w:val="28"/>
              </w:rPr>
              <w:t>6.438</w:t>
            </w:r>
          </w:p>
        </w:tc>
        <w:tc>
          <w:tcPr>
            <w:tcW w:w="17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
                <w:b/>
                <w:sz w:val="28"/>
                <w:szCs w:val="28"/>
              </w:rPr>
            </w:pPr>
            <w:r>
              <w:rPr>
                <w:b/>
                <w:sz w:val="28"/>
                <w:szCs w:val="28"/>
              </w:rPr>
              <w:t>6.438</w:t>
            </w:r>
          </w:p>
        </w:tc>
        <w:tc>
          <w:tcPr>
            <w:tcW w:w="12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pPr>
            <w:r>
              <w:rPr>
                <w:b/>
                <w:sz w:val="28"/>
                <w:szCs w:val="28"/>
              </w:rPr>
              <w:t xml:space="preserve">973,5 </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
                <w:b/>
                <w:sz w:val="28"/>
                <w:szCs w:val="28"/>
              </w:rPr>
            </w:pPr>
            <w:r>
              <w:rPr>
                <w:b/>
                <w:sz w:val="28"/>
                <w:szCs w:val="28"/>
              </w:rPr>
              <w:t>15,1%</w:t>
            </w:r>
          </w:p>
        </w:tc>
      </w:tr>
      <w:tr>
        <w:trPr>
          <w:trHeight w:val="300" w:hRule="atLeast"/>
        </w:trPr>
        <w:tc>
          <w:tcPr>
            <w:tcW w:w="25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rPr>
                <w:sz w:val="28"/>
                <w:szCs w:val="28"/>
              </w:rPr>
            </w:pPr>
            <w:r>
              <w:rPr>
                <w:sz w:val="28"/>
                <w:szCs w:val="28"/>
              </w:rPr>
              <w:t>Vốn trong nước</w:t>
            </w:r>
          </w:p>
        </w:tc>
        <w:tc>
          <w:tcPr>
            <w:tcW w:w="1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pPr>
            <w:r>
              <w:rPr>
                <w:sz w:val="28"/>
                <w:szCs w:val="28"/>
              </w:rPr>
              <w:t>4.538</w:t>
            </w:r>
          </w:p>
        </w:tc>
        <w:tc>
          <w:tcPr>
            <w:tcW w:w="17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sz w:val="28"/>
                <w:szCs w:val="28"/>
              </w:rPr>
            </w:pPr>
            <w:r>
              <w:rPr>
                <w:sz w:val="28"/>
                <w:szCs w:val="28"/>
              </w:rPr>
              <w:t>4.538</w:t>
            </w:r>
          </w:p>
        </w:tc>
        <w:tc>
          <w:tcPr>
            <w:tcW w:w="12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Cs/>
                <w:sz w:val="28"/>
                <w:szCs w:val="28"/>
              </w:rPr>
            </w:pPr>
            <w:r>
              <w:rPr>
                <w:bCs/>
                <w:sz w:val="28"/>
                <w:szCs w:val="28"/>
              </w:rPr>
              <w:t xml:space="preserve">515,2 </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Cs/>
                <w:sz w:val="28"/>
                <w:szCs w:val="28"/>
              </w:rPr>
            </w:pPr>
            <w:r>
              <w:rPr>
                <w:bCs/>
                <w:sz w:val="28"/>
                <w:szCs w:val="28"/>
              </w:rPr>
              <w:t>16,3%</w:t>
            </w:r>
          </w:p>
        </w:tc>
      </w:tr>
      <w:tr>
        <w:trPr>
          <w:trHeight w:val="300" w:hRule="atLeast"/>
        </w:trPr>
        <w:tc>
          <w:tcPr>
            <w:tcW w:w="25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rPr>
                <w:sz w:val="28"/>
                <w:szCs w:val="28"/>
              </w:rPr>
            </w:pPr>
            <w:r>
              <w:rPr>
                <w:sz w:val="28"/>
                <w:szCs w:val="28"/>
              </w:rPr>
              <w:t>Vốn ODA</w:t>
            </w:r>
          </w:p>
        </w:tc>
        <w:tc>
          <w:tcPr>
            <w:tcW w:w="1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sz w:val="28"/>
                <w:szCs w:val="28"/>
              </w:rPr>
            </w:pPr>
            <w:r>
              <w:rPr>
                <w:sz w:val="28"/>
                <w:szCs w:val="28"/>
              </w:rPr>
              <w:t>1.900</w:t>
            </w:r>
          </w:p>
        </w:tc>
        <w:tc>
          <w:tcPr>
            <w:tcW w:w="17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sz w:val="28"/>
                <w:szCs w:val="28"/>
              </w:rPr>
            </w:pPr>
            <w:r>
              <w:rPr>
                <w:sz w:val="28"/>
                <w:szCs w:val="28"/>
              </w:rPr>
              <w:t>1.900</w:t>
            </w:r>
          </w:p>
        </w:tc>
        <w:tc>
          <w:tcPr>
            <w:tcW w:w="12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Cs/>
                <w:sz w:val="28"/>
                <w:szCs w:val="28"/>
              </w:rPr>
            </w:pPr>
            <w:r>
              <w:rPr>
                <w:bCs/>
                <w:sz w:val="28"/>
                <w:szCs w:val="28"/>
              </w:rPr>
              <w:t>458,3</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Cs/>
                <w:sz w:val="28"/>
                <w:szCs w:val="28"/>
              </w:rPr>
            </w:pPr>
            <w:r>
              <w:rPr>
                <w:bCs/>
                <w:sz w:val="28"/>
                <w:szCs w:val="28"/>
              </w:rPr>
              <w:t>14%</w:t>
            </w:r>
          </w:p>
        </w:tc>
      </w:tr>
    </w:tbl>
    <w:p>
      <w:pPr>
        <w:pStyle w:val="Normal"/>
        <w:widowControl w:val="false"/>
        <w:shd w:fill="FFFFFF" w:val="clear"/>
        <w:spacing w:before="120" w:after="0"/>
        <w:jc w:val="both"/>
        <w:textAlignment w:val="baseline"/>
        <w:rPr/>
      </w:pPr>
      <w:r>
        <w:rPr>
          <w:sz w:val="28"/>
          <w:szCs w:val="28"/>
          <w:lang w:val="af-ZA"/>
        </w:rPr>
        <w:tab/>
      </w:r>
      <w:r>
        <w:rPr>
          <w:b/>
          <w:sz w:val="28"/>
          <w:szCs w:val="28"/>
        </w:rPr>
        <w:t>7</w:t>
      </w:r>
      <w:r>
        <w:rPr>
          <w:b/>
          <w:sz w:val="28"/>
          <w:szCs w:val="28"/>
          <w:lang w:val="vi-VN"/>
        </w:rPr>
        <w:t>. Phát triển nông thôn và xây dựng nông thôn mới</w:t>
      </w:r>
    </w:p>
    <w:p>
      <w:pPr>
        <w:pStyle w:val="Normal"/>
        <w:spacing w:before="120" w:after="0"/>
        <w:ind w:firstLine="720"/>
        <w:jc w:val="both"/>
        <w:rPr>
          <w:sz w:val="28"/>
          <w:szCs w:val="28"/>
        </w:rPr>
      </w:pPr>
      <w:r>
        <w:rPr>
          <w:sz w:val="28"/>
          <w:szCs w:val="28"/>
        </w:rPr>
        <w:t>Đến nay</w:t>
      </w:r>
      <w:r>
        <w:rPr>
          <w:sz w:val="28"/>
          <w:szCs w:val="28"/>
          <w:lang w:val="vi-VN"/>
        </w:rPr>
        <w:t>, cả nước có 18.</w:t>
      </w:r>
      <w:r>
        <w:rPr>
          <w:sz w:val="28"/>
          <w:szCs w:val="28"/>
        </w:rPr>
        <w:t>460</w:t>
      </w:r>
      <w:r>
        <w:rPr>
          <w:sz w:val="28"/>
          <w:szCs w:val="28"/>
          <w:lang w:val="vi-VN"/>
        </w:rPr>
        <w:t xml:space="preserve"> HTX nông nghiệp, </w:t>
      </w:r>
      <w:r>
        <w:rPr>
          <w:sz w:val="28"/>
          <w:szCs w:val="28"/>
        </w:rPr>
        <w:t xml:space="preserve">tỷ lệ </w:t>
      </w:r>
      <w:r>
        <w:rPr>
          <w:sz w:val="28"/>
          <w:szCs w:val="28"/>
          <w:lang w:val="vi-VN"/>
        </w:rPr>
        <w:t>HTX hoạt động hiệu quả</w:t>
      </w:r>
      <w:r>
        <w:rPr>
          <w:sz w:val="28"/>
          <w:szCs w:val="28"/>
        </w:rPr>
        <w:t xml:space="preserve"> </w:t>
      </w:r>
      <w:r>
        <w:rPr>
          <w:sz w:val="28"/>
          <w:szCs w:val="28"/>
          <w:lang w:val="vi-VN"/>
        </w:rPr>
        <w:t xml:space="preserve">chiếm </w:t>
      </w:r>
      <w:r>
        <w:rPr>
          <w:sz w:val="28"/>
          <w:szCs w:val="28"/>
        </w:rPr>
        <w:t>trên</w:t>
      </w:r>
      <w:r>
        <w:rPr>
          <w:sz w:val="28"/>
          <w:szCs w:val="28"/>
          <w:lang w:val="vi-VN"/>
        </w:rPr>
        <w:t xml:space="preserve"> </w:t>
      </w:r>
      <w:r>
        <w:rPr>
          <w:sz w:val="28"/>
          <w:szCs w:val="28"/>
        </w:rPr>
        <w:t>60</w:t>
      </w:r>
      <w:r>
        <w:rPr>
          <w:sz w:val="28"/>
          <w:szCs w:val="28"/>
          <w:lang w:val="vi-VN"/>
        </w:rPr>
        <w:t>% tổng số HTX NN cả nước.</w:t>
      </w:r>
      <w:r>
        <w:rPr>
          <w:sz w:val="28"/>
          <w:szCs w:val="28"/>
        </w:rPr>
        <w:t xml:space="preserve"> Tháng 4, tổ chức thành công Hội nghị triển khai Đề án thí điểm xây dựng vùng nguyên liệu nông, lâm sản đạt chuẩn phục vụ tiêu thụ trong nước và xuất khẩu giai đoạn 2022-2025 tại thành phố Hồ Chí Minh; xây dựng kế hoạch, nội dung tổ chức 05 Hội nghị xúc tiến đầu tư tại 05 vùng nguyên liệu</w:t>
      </w:r>
      <w:r>
        <w:rPr>
          <w:rStyle w:val="FootnoteCharacters"/>
          <w:rStyle w:val="FootnoteAnchor"/>
          <w:sz w:val="28"/>
          <w:szCs w:val="28"/>
        </w:rPr>
        <w:footnoteReference w:id="12"/>
      </w:r>
      <w:r>
        <w:rPr>
          <w:sz w:val="28"/>
          <w:szCs w:val="28"/>
        </w:rPr>
        <w:t xml:space="preserve">. </w:t>
      </w:r>
      <w:r>
        <w:rPr>
          <w:bCs/>
          <w:iCs/>
          <w:sz w:val="28"/>
          <w:szCs w:val="28"/>
        </w:rPr>
        <w:t>Xây dựng Nghị quyết của Chính phủ về phát triển HTX nông nghiệp phục vụ cơ cấu lại ngành nông nghiệp và xây dựng NTM.</w:t>
      </w:r>
    </w:p>
    <w:p>
      <w:pPr>
        <w:pStyle w:val="Normal"/>
        <w:widowControl w:val="false"/>
        <w:spacing w:before="100" w:after="0"/>
        <w:ind w:firstLine="720"/>
        <w:jc w:val="both"/>
        <w:rPr>
          <w:sz w:val="28"/>
          <w:szCs w:val="28"/>
        </w:rPr>
      </w:pPr>
      <w:r>
        <w:rPr>
          <w:iCs/>
          <w:sz w:val="28"/>
          <w:szCs w:val="28"/>
          <w:lang w:val="vi-VN"/>
        </w:rPr>
        <w:t xml:space="preserve">Trình Chính phủ phê duyệt Đề án </w:t>
      </w:r>
      <w:r>
        <w:rPr>
          <w:iCs/>
          <w:sz w:val="28"/>
          <w:szCs w:val="28"/>
        </w:rPr>
        <w:t>nâng cao năng lực thích ứng với Biến đổi khí hậu cho HTX</w:t>
      </w:r>
      <w:r>
        <w:rPr>
          <w:iCs/>
          <w:sz w:val="28"/>
          <w:szCs w:val="28"/>
          <w:lang w:val="vi-VN"/>
        </w:rPr>
        <w:t xml:space="preserve"> nông </w:t>
      </w:r>
      <w:r>
        <w:rPr>
          <w:iCs/>
          <w:sz w:val="28"/>
          <w:szCs w:val="28"/>
        </w:rPr>
        <w:t xml:space="preserve">nghiệp </w:t>
      </w:r>
      <w:r>
        <w:rPr>
          <w:iCs/>
          <w:sz w:val="28"/>
          <w:szCs w:val="28"/>
          <w:lang w:val="vi-VN"/>
        </w:rPr>
        <w:t xml:space="preserve">vùng </w:t>
      </w:r>
      <w:r>
        <w:rPr>
          <w:iCs/>
          <w:sz w:val="28"/>
          <w:szCs w:val="28"/>
        </w:rPr>
        <w:t>ĐBSCL</w:t>
      </w:r>
      <w:r>
        <w:rPr>
          <w:iCs/>
          <w:sz w:val="28"/>
          <w:szCs w:val="28"/>
          <w:lang w:val="vi-VN"/>
        </w:rPr>
        <w:t xml:space="preserve"> giai đoạn 2021-2025; Họp Ban chỉ đạo và ra mắt Văn phòng điều phối nông nghiệp, nông thôn vùng ĐBSCL giai đoạn 2020-2025.</w:t>
      </w:r>
      <w:r>
        <w:rPr>
          <w:iCs/>
          <w:sz w:val="28"/>
          <w:szCs w:val="28"/>
        </w:rPr>
        <w:t xml:space="preserve"> </w:t>
      </w:r>
    </w:p>
    <w:p>
      <w:pPr>
        <w:pStyle w:val="Normal"/>
        <w:widowControl w:val="false"/>
        <w:spacing w:before="100" w:after="0"/>
        <w:ind w:firstLine="720"/>
        <w:jc w:val="both"/>
        <w:rPr>
          <w:sz w:val="28"/>
          <w:szCs w:val="28"/>
          <w:shd w:fill="FFFFFF" w:val="clear"/>
        </w:rPr>
      </w:pPr>
      <w:r>
        <w:rPr>
          <w:sz w:val="28"/>
          <w:szCs w:val="28"/>
          <w:lang w:val="af-ZA"/>
        </w:rPr>
        <w:t xml:space="preserve">Hiện, cả nước có </w:t>
      </w:r>
      <w:r>
        <w:rPr>
          <w:bCs/>
          <w:sz w:val="28"/>
          <w:szCs w:val="28"/>
          <w:lang w:val="af-ZA"/>
        </w:rPr>
        <w:t>5.706 xã</w:t>
      </w:r>
      <w:r>
        <w:rPr>
          <w:sz w:val="28"/>
          <w:szCs w:val="28"/>
          <w:lang w:val="af-ZA"/>
        </w:rPr>
        <w:t>/8.2</w:t>
      </w:r>
      <w:r>
        <w:rPr>
          <w:sz w:val="28"/>
          <w:szCs w:val="28"/>
          <w:lang w:val="vi-VN"/>
        </w:rPr>
        <w:t>27</w:t>
      </w:r>
      <w:r>
        <w:rPr>
          <w:sz w:val="28"/>
          <w:szCs w:val="28"/>
          <w:lang w:val="af-ZA"/>
        </w:rPr>
        <w:t xml:space="preserve"> xã </w:t>
      </w:r>
      <w:r>
        <w:rPr>
          <w:bCs/>
          <w:sz w:val="28"/>
          <w:szCs w:val="28"/>
          <w:lang w:val="af-ZA"/>
        </w:rPr>
        <w:t>(</w:t>
      </w:r>
      <w:r>
        <w:rPr>
          <w:bCs/>
          <w:sz w:val="28"/>
          <w:szCs w:val="28"/>
          <w:lang w:val="vi-VN"/>
        </w:rPr>
        <w:t>69</w:t>
      </w:r>
      <w:r>
        <w:rPr>
          <w:bCs/>
          <w:sz w:val="28"/>
          <w:szCs w:val="28"/>
          <w:lang w:val="af-ZA"/>
        </w:rPr>
        <w:t>,</w:t>
      </w:r>
      <w:r>
        <w:rPr>
          <w:bCs/>
          <w:sz w:val="28"/>
          <w:szCs w:val="28"/>
        </w:rPr>
        <w:t>4</w:t>
      </w:r>
      <w:r>
        <w:rPr>
          <w:bCs/>
          <w:sz w:val="28"/>
          <w:szCs w:val="28"/>
          <w:lang w:val="af-ZA"/>
        </w:rPr>
        <w:t>%)</w:t>
      </w:r>
      <w:r>
        <w:rPr>
          <w:sz w:val="28"/>
          <w:szCs w:val="28"/>
          <w:lang w:val="af-ZA"/>
        </w:rPr>
        <w:t xml:space="preserve"> đạt chuẩn nông thôn mới</w:t>
      </w:r>
      <w:r>
        <w:rPr>
          <w:sz w:val="28"/>
          <w:szCs w:val="28"/>
          <w:shd w:fill="FFFFFF" w:val="clear"/>
        </w:rPr>
        <w:t>, tăng 2</w:t>
      </w:r>
      <w:r>
        <w:rPr>
          <w:sz w:val="28"/>
          <w:szCs w:val="28"/>
          <w:shd w:fill="FFFFFF" w:val="clear"/>
          <w:lang w:val="vi-VN"/>
        </w:rPr>
        <w:t>3</w:t>
      </w:r>
      <w:r>
        <w:rPr>
          <w:sz w:val="28"/>
          <w:szCs w:val="28"/>
          <w:shd w:fill="FFFFFF" w:val="clear"/>
        </w:rPr>
        <w:t xml:space="preserve"> xã so với tháng trước; có 663 xã đạt chuẩn NTM nâng cao; </w:t>
      </w:r>
      <w:r>
        <w:rPr>
          <w:sz w:val="28"/>
          <w:szCs w:val="28"/>
          <w:lang w:val="de-DE"/>
        </w:rPr>
        <w:t>bình quân cả nước đạt 1</w:t>
      </w:r>
      <w:r>
        <w:rPr>
          <w:sz w:val="28"/>
          <w:szCs w:val="28"/>
          <w:lang w:val="vi-VN"/>
        </w:rPr>
        <w:t>7</w:t>
      </w:r>
      <w:r>
        <w:rPr>
          <w:sz w:val="28"/>
          <w:szCs w:val="28"/>
          <w:lang w:val="de-DE"/>
        </w:rPr>
        <w:t xml:space="preserve"> tiêu chí/xã;</w:t>
      </w:r>
      <w:r>
        <w:rPr>
          <w:sz w:val="28"/>
          <w:szCs w:val="28"/>
          <w:shd w:fill="FFFFFF" w:val="clear"/>
        </w:rPr>
        <w:t xml:space="preserve"> có </w:t>
      </w:r>
      <w:r>
        <w:rPr>
          <w:bCs/>
          <w:sz w:val="28"/>
          <w:szCs w:val="28"/>
          <w:shd w:fill="FFFFFF" w:val="clear"/>
        </w:rPr>
        <w:t>22</w:t>
      </w:r>
      <w:r>
        <w:rPr>
          <w:bCs/>
          <w:sz w:val="28"/>
          <w:szCs w:val="28"/>
          <w:shd w:fill="FFFFFF" w:val="clear"/>
          <w:lang w:val="vi-VN"/>
        </w:rPr>
        <w:t>5</w:t>
      </w:r>
      <w:r>
        <w:rPr>
          <w:sz w:val="28"/>
          <w:szCs w:val="28"/>
          <w:shd w:fill="FFFFFF" w:val="clear"/>
        </w:rPr>
        <w:t xml:space="preserve"> đơn vị cấp huyện thuộc 5</w:t>
      </w:r>
      <w:r>
        <w:rPr>
          <w:sz w:val="28"/>
          <w:szCs w:val="28"/>
          <w:shd w:fill="FFFFFF" w:val="clear"/>
          <w:lang w:val="vi-VN"/>
        </w:rPr>
        <w:t>5</w:t>
      </w:r>
      <w:r>
        <w:rPr>
          <w:sz w:val="28"/>
          <w:szCs w:val="28"/>
          <w:shd w:fill="FFFFFF" w:val="clear"/>
        </w:rPr>
        <w:t xml:space="preserve"> tỉnh, thành phố hoàn thành nhiệm vụ/đạt chuẩn NTM. Có </w:t>
      </w:r>
      <w:r>
        <w:rPr>
          <w:bCs/>
          <w:sz w:val="28"/>
          <w:szCs w:val="28"/>
          <w:shd w:fill="FFFFFF" w:val="clear"/>
          <w:lang w:val="vi-VN"/>
        </w:rPr>
        <w:t>1</w:t>
      </w:r>
      <w:r>
        <w:rPr>
          <w:bCs/>
          <w:sz w:val="28"/>
          <w:szCs w:val="28"/>
          <w:shd w:fill="FFFFFF" w:val="clear"/>
        </w:rPr>
        <w:t>6</w:t>
      </w:r>
      <w:r>
        <w:rPr>
          <w:sz w:val="28"/>
          <w:szCs w:val="28"/>
          <w:shd w:fill="FFFFFF" w:val="clear"/>
        </w:rPr>
        <w:t xml:space="preserve"> tỉnh</w:t>
      </w:r>
      <w:r>
        <w:rPr>
          <w:rStyle w:val="FootnoteCharacters"/>
          <w:rStyle w:val="FootnoteAnchor"/>
          <w:sz w:val="28"/>
          <w:szCs w:val="28"/>
          <w:shd w:fill="FFFFFF" w:val="clear"/>
        </w:rPr>
        <w:footnoteReference w:id="13"/>
      </w:r>
      <w:r>
        <w:rPr>
          <w:sz w:val="28"/>
          <w:szCs w:val="28"/>
          <w:shd w:fill="FFFFFF" w:val="clear"/>
        </w:rPr>
        <w:t xml:space="preserve"> có 100% số xã đạt chuẩn NTM. Có 63 tỉnh/thành phố đánh giá, phân hạng và Quyết định công nhận </w:t>
      </w:r>
      <w:r>
        <w:rPr>
          <w:sz w:val="28"/>
          <w:szCs w:val="28"/>
        </w:rPr>
        <w:t xml:space="preserve">7.463 </w:t>
      </w:r>
      <w:r>
        <w:rPr>
          <w:sz w:val="28"/>
          <w:szCs w:val="28"/>
          <w:shd w:fill="FFFFFF" w:val="clear"/>
        </w:rPr>
        <w:t xml:space="preserve">sản phẩm OCOP với </w:t>
      </w:r>
      <w:r>
        <w:rPr>
          <w:bCs/>
          <w:sz w:val="28"/>
          <w:szCs w:val="28"/>
          <w:shd w:fill="FFFFFF" w:val="clear"/>
        </w:rPr>
        <w:t>4.061</w:t>
      </w:r>
      <w:r>
        <w:rPr>
          <w:sz w:val="28"/>
          <w:szCs w:val="28"/>
          <w:shd w:fill="FFFFFF" w:val="clear"/>
        </w:rPr>
        <w:t xml:space="preserve"> chủ thể tham gia. </w:t>
      </w:r>
    </w:p>
    <w:p>
      <w:pPr>
        <w:pStyle w:val="Normal"/>
        <w:spacing w:before="100" w:after="0"/>
        <w:ind w:firstLine="720"/>
        <w:jc w:val="both"/>
        <w:rPr/>
      </w:pPr>
      <w:r>
        <w:rPr>
          <w:bCs/>
          <w:sz w:val="28"/>
          <w:szCs w:val="28"/>
          <w:lang w:val="de-DE" w:eastAsia="ja-JP"/>
        </w:rPr>
        <w:t xml:space="preserve">Tổ chức Hội nghị </w:t>
      </w:r>
      <w:r>
        <w:rPr>
          <w:sz w:val="28"/>
          <w:szCs w:val="28"/>
        </w:rPr>
        <w:t>toàn quốc triển khai các Chương trình mục tiêu quốc gia giai đoạn 2021-2025</w:t>
      </w:r>
      <w:r>
        <w:rPr>
          <w:bCs/>
          <w:sz w:val="28"/>
          <w:szCs w:val="28"/>
          <w:lang w:val="de-DE" w:eastAsia="ja-JP"/>
        </w:rPr>
        <w:t xml:space="preserve">. Diễn đàn OCOP vùng Đồng bằng sông Cửu Long. </w:t>
      </w:r>
      <w:r>
        <w:rPr>
          <w:bCs/>
          <w:iCs/>
          <w:sz w:val="28"/>
          <w:szCs w:val="28"/>
        </w:rPr>
        <w:t xml:space="preserve">Ban hành Kế hoạch triển khai Chương trình mục tiêu quốc gia xây dựng nông thôn mới giai đoạn 2021-2025 (Quyết định số 1395/QĐ-BNN-VPĐP ngày 15/4/2022). </w:t>
      </w:r>
      <w:r>
        <w:rPr>
          <w:sz w:val="28"/>
          <w:szCs w:val="28"/>
          <w:shd w:fill="FFFFFF" w:val="clear"/>
        </w:rPr>
        <w:t>H</w:t>
      </w:r>
      <w:r>
        <w:rPr>
          <w:iCs/>
          <w:sz w:val="28"/>
          <w:szCs w:val="28"/>
        </w:rPr>
        <w:t>oàn thành hồ sơ trình TTCP xem xét, phê duyệt 05/05 chương trình chuyên đề thuộc Chương trình NTM</w:t>
      </w:r>
      <w:r>
        <w:rPr>
          <w:rStyle w:val="FootnoteCharacters"/>
          <w:rStyle w:val="FootnoteAnchor"/>
          <w:iCs/>
          <w:sz w:val="28"/>
          <w:szCs w:val="28"/>
        </w:rPr>
        <w:footnoteReference w:id="14"/>
      </w:r>
      <w:r>
        <w:rPr>
          <w:iCs/>
          <w:sz w:val="28"/>
          <w:szCs w:val="28"/>
        </w:rPr>
        <w:t xml:space="preserve">; đang hoàn thiện 02 </w:t>
      </w:r>
      <w:r>
        <w:rPr>
          <w:bCs/>
          <w:iCs/>
          <w:sz w:val="28"/>
          <w:szCs w:val="28"/>
        </w:rPr>
        <w:t xml:space="preserve">Quyết định của TTCP; 01 Thông tư của Bộ </w:t>
      </w:r>
      <w:r>
        <w:rPr>
          <w:bCs/>
          <w:sz w:val="28"/>
          <w:szCs w:val="28"/>
        </w:rPr>
        <w:t>hướng dẫn thực hiện một số nội dung của Chương trình;…</w:t>
      </w:r>
    </w:p>
    <w:p>
      <w:pPr>
        <w:pStyle w:val="Normal"/>
        <w:widowControl w:val="false"/>
        <w:spacing w:before="100" w:after="0"/>
        <w:ind w:firstLine="720"/>
        <w:jc w:val="both"/>
        <w:rPr>
          <w:bCs/>
          <w:iCs/>
          <w:sz w:val="28"/>
          <w:szCs w:val="28"/>
          <w:lang w:val="es-ES"/>
        </w:rPr>
      </w:pPr>
      <w:r>
        <w:rPr>
          <w:b/>
          <w:bCs/>
          <w:sz w:val="28"/>
          <w:szCs w:val="28"/>
        </w:rPr>
        <w:t xml:space="preserve">8. </w:t>
      </w:r>
      <w:r>
        <w:rPr>
          <w:b/>
          <w:sz w:val="28"/>
          <w:szCs w:val="28"/>
        </w:rPr>
        <w:t>Công tác khác</w:t>
      </w:r>
    </w:p>
    <w:p>
      <w:pPr>
        <w:pStyle w:val="TextBody"/>
        <w:widowControl w:val="false"/>
        <w:spacing w:before="100" w:after="0"/>
        <w:ind w:firstLine="720"/>
        <w:rPr/>
      </w:pPr>
      <w:r>
        <w:rPr>
          <w:bCs/>
          <w:iCs/>
          <w:color w:val="000000"/>
          <w:sz w:val="28"/>
          <w:szCs w:val="28"/>
          <w:lang w:val="sv-SE"/>
        </w:rPr>
        <w:t xml:space="preserve">a) Kế hoạch, tài chính: </w:t>
      </w:r>
      <w:bookmarkStart w:id="16" w:name="_Hlk83738233"/>
      <w:r>
        <w:rPr>
          <w:bCs/>
          <w:iCs/>
          <w:color w:val="000000"/>
          <w:sz w:val="28"/>
          <w:szCs w:val="28"/>
        </w:rPr>
        <w:t>K</w:t>
      </w:r>
      <w:r>
        <w:rPr>
          <w:bCs/>
          <w:iCs/>
          <w:color w:val="000000"/>
          <w:sz w:val="28"/>
          <w:szCs w:val="28"/>
          <w:lang w:val="vi-VN"/>
        </w:rPr>
        <w:t xml:space="preserve">hẩn trương </w:t>
      </w:r>
      <w:r>
        <w:rPr>
          <w:bCs/>
          <w:iCs/>
          <w:color w:val="000000"/>
          <w:sz w:val="28"/>
          <w:szCs w:val="28"/>
        </w:rPr>
        <w:t xml:space="preserve">hoàn thiện </w:t>
      </w:r>
      <w:r>
        <w:rPr>
          <w:bCs/>
          <w:iCs/>
          <w:color w:val="000000"/>
          <w:sz w:val="28"/>
          <w:szCs w:val="28"/>
          <w:lang w:val="sv-SE"/>
        </w:rPr>
        <w:t xml:space="preserve">kế hoạch triển khai thực hiện </w:t>
      </w:r>
      <w:bookmarkEnd w:id="16"/>
      <w:r>
        <w:rPr>
          <w:bCs/>
          <w:iCs/>
          <w:color w:val="000000"/>
          <w:sz w:val="28"/>
          <w:szCs w:val="28"/>
          <w:lang w:val="sv-SE"/>
        </w:rPr>
        <w:t>Chiến lược Phát triển nông nghiệp, nông thôn bền vững</w:t>
      </w:r>
      <w:r>
        <w:rPr>
          <w:bCs/>
          <w:iCs/>
          <w:color w:val="000000"/>
          <w:sz w:val="28"/>
          <w:szCs w:val="28"/>
          <w:lang w:val="vi-VN"/>
        </w:rPr>
        <w:t xml:space="preserve"> giai đoạn 2021-2030, tầm nhìn đến năm 2050</w:t>
      </w:r>
      <w:r>
        <w:rPr>
          <w:bCs/>
          <w:iCs/>
          <w:color w:val="000000"/>
          <w:sz w:val="28"/>
          <w:szCs w:val="28"/>
          <w:lang w:val="sv-SE"/>
        </w:rPr>
        <w:t>; Chuẩn bị tổ chức Hội nghị Thúc đẩy phát triển nông nghiệp bền vững vùng Tây Nguyên.</w:t>
      </w:r>
    </w:p>
    <w:p>
      <w:pPr>
        <w:pStyle w:val="TextBody"/>
        <w:widowControl w:val="false"/>
        <w:spacing w:before="100" w:after="0"/>
        <w:ind w:firstLine="709"/>
        <w:rPr/>
      </w:pPr>
      <w:r>
        <w:rPr>
          <w:bCs/>
          <w:iCs/>
          <w:color w:val="000000"/>
          <w:sz w:val="28"/>
          <w:szCs w:val="28"/>
          <w:lang w:val="da-DK"/>
        </w:rPr>
        <w:t xml:space="preserve">b) Quy hoạch: </w:t>
      </w:r>
      <w:bookmarkStart w:id="17" w:name="_Hlk83738245"/>
      <w:r>
        <w:rPr>
          <w:color w:val="000000"/>
          <w:sz w:val="28"/>
          <w:szCs w:val="28"/>
          <w:shd w:fill="FFFFFF" w:val="clear"/>
        </w:rPr>
        <w:t>QH Phòng chống thiên tai và thủy lợi; QH Lâm nghiệp đã thành đã lập HĐTĐ, đang lấy ý kiến các thành viên hội đồng để hoàn thiện và xin lịch họp. QH bảo vệ và khai thác nguồn lợi thủy sản đã thực hiện xong việc lấy ý kiến, đang trình thành lập HĐTĐ. QH Hệ thống cảng cá, khu neo đậu tránh trú bão cho tàu cá đang hoàn thiện để chuẩn bị xin ý kiến rộng rãi (cần đẩy nhanh tiến độ).</w:t>
      </w:r>
    </w:p>
    <w:p>
      <w:pPr>
        <w:pStyle w:val="TextBody"/>
        <w:widowControl w:val="false"/>
        <w:spacing w:before="100" w:after="0"/>
        <w:ind w:firstLine="709"/>
        <w:rPr/>
      </w:pPr>
      <w:bookmarkEnd w:id="17"/>
      <w:r>
        <w:rPr>
          <w:color w:val="000000"/>
          <w:sz w:val="28"/>
          <w:szCs w:val="28"/>
        </w:rPr>
        <w:t xml:space="preserve">c) </w:t>
      </w:r>
      <w:r>
        <w:rPr>
          <w:bCs/>
          <w:iCs/>
          <w:color w:val="000000"/>
          <w:sz w:val="28"/>
          <w:szCs w:val="28"/>
          <w:lang w:val="pt-BR"/>
        </w:rPr>
        <w:t xml:space="preserve">Tổ chức bộ máy: </w:t>
      </w:r>
      <w:r>
        <w:rPr>
          <w:color w:val="000000"/>
          <w:sz w:val="28"/>
          <w:szCs w:val="28"/>
        </w:rPr>
        <w:t>Báo cáo Ban Tổ chức TW về tổng kết thực hiện quy định chức năng, nhiệm vụ, quyền hạn, cơ cấu tổ chức, mối quan hệ công tác của đảng đoàn, Ban cán sự đảng ở Trung ương. Báo cáo giải trình tiếp thu ý kiến các Bộ, ngành về Dự thảo Nghị định quy định chức năng, nhiệm vụ, quyền hạn và cơ cấu tổ chức của Bộ. Tổ chức thẩm định Chiến lược phát triển 03 trường đại học.</w:t>
      </w:r>
    </w:p>
    <w:p>
      <w:pPr>
        <w:pStyle w:val="Contents"/>
        <w:spacing w:before="100" w:after="0"/>
        <w:rPr/>
      </w:pPr>
      <w:r>
        <w:rPr>
          <w:bCs/>
          <w:lang w:val="pt-BR"/>
        </w:rPr>
        <w:t xml:space="preserve">d) </w:t>
      </w:r>
      <w:r>
        <w:rPr/>
        <w:t xml:space="preserve">Khoa học công nghệ: Tổ chức diễn đàn Lộ trình hướng tới phát triển nông nghiệp tuần hoàn tại Việt Nam. Năm 2022, Bộ triển khai xây dựng </w:t>
      </w:r>
      <w:r>
        <w:rPr>
          <w:bCs/>
        </w:rPr>
        <w:t>272</w:t>
      </w:r>
      <w:r>
        <w:rPr/>
        <w:t xml:space="preserve"> nhiệm vụ xây dựng TC, QC. Tháng 4, đề nghị công bố: </w:t>
      </w:r>
      <w:r>
        <w:rPr>
          <w:bCs/>
        </w:rPr>
        <w:t>44</w:t>
      </w:r>
      <w:r>
        <w:rPr/>
        <w:t xml:space="preserve"> TC</w:t>
      </w:r>
      <w:r>
        <w:rPr>
          <w:vertAlign w:val="superscript"/>
        </w:rPr>
        <w:t xml:space="preserve"> </w:t>
      </w:r>
      <w:r>
        <w:rPr/>
        <w:t>(Chăn nuôi: 13, Thú y: 13, Thủy lợi: 02, Lâm nghiệp: 10, Chế biến: 01); thẩm định và cấp số hiệu  01 TC lĩnh vực Thủy lợi; nghiệm thu và đề nghị thẩm định: 09 TC (Thủy lợi: 01, BVTV: 08). Lũy kế 4 tháng đầu năm,</w:t>
      </w:r>
      <w:r>
        <w:rPr>
          <w:bCs/>
        </w:rPr>
        <w:t xml:space="preserve"> công bố 59 TCVN; 32 hồ sơ TCQC</w:t>
      </w:r>
      <w:r>
        <w:rPr/>
        <w:t xml:space="preserve"> đã được thẩm định và cấp số hiệu</w:t>
      </w:r>
      <w:r>
        <w:rPr>
          <w:rStyle w:val="FootnoteCharacters"/>
          <w:rStyle w:val="FootnoteAnchor"/>
        </w:rPr>
        <w:footnoteReference w:id="15"/>
      </w:r>
      <w:r>
        <w:rPr>
          <w:lang w:val="vi-VN"/>
        </w:rPr>
        <w:t>.</w:t>
      </w:r>
      <w:r>
        <w:rPr/>
        <w:t xml:space="preserve"> Như vậy, đến nay ngành Nông nghiệp và PTNT đã có 1.241 TCVN và 232 QCVN.   </w:t>
      </w:r>
    </w:p>
    <w:p>
      <w:pPr>
        <w:pStyle w:val="Normal"/>
        <w:widowControl w:val="false"/>
        <w:spacing w:before="100" w:after="0"/>
        <w:rPr>
          <w:b/>
          <w:b/>
          <w:sz w:val="28"/>
          <w:szCs w:val="28"/>
          <w:lang w:val="sv-SE"/>
        </w:rPr>
      </w:pPr>
      <w:r>
        <w:rPr>
          <w:sz w:val="28"/>
          <w:szCs w:val="28"/>
          <w:lang w:val="nb-NO"/>
        </w:rPr>
        <w:tab/>
      </w:r>
      <w:r>
        <w:rPr>
          <w:b/>
          <w:iCs/>
          <w:sz w:val="28"/>
          <w:szCs w:val="28"/>
          <w:lang w:val="sv-SE"/>
        </w:rPr>
        <w:t xml:space="preserve">II. </w:t>
      </w:r>
      <w:r>
        <w:rPr>
          <w:b/>
          <w:sz w:val="28"/>
          <w:szCs w:val="28"/>
          <w:lang w:val="sv-SE"/>
        </w:rPr>
        <w:t>NHIỆM VỤ CÔNG TÁC THÁNG 5</w:t>
      </w:r>
    </w:p>
    <w:p>
      <w:pPr>
        <w:pStyle w:val="Normal"/>
        <w:widowControl w:val="false"/>
        <w:spacing w:before="100" w:after="0"/>
        <w:ind w:firstLine="720"/>
        <w:jc w:val="both"/>
        <w:rPr>
          <w:sz w:val="28"/>
          <w:szCs w:val="28"/>
          <w:lang w:val="es-ES"/>
        </w:rPr>
      </w:pPr>
      <w:r>
        <w:rPr>
          <w:bCs/>
          <w:sz w:val="28"/>
          <w:szCs w:val="28"/>
        </w:rPr>
        <w:t>C</w:t>
      </w:r>
      <w:r>
        <w:rPr>
          <w:sz w:val="28"/>
          <w:szCs w:val="28"/>
          <w:lang w:val="es-ES"/>
        </w:rPr>
        <w:t xml:space="preserve">ác đơn vị tiếp tục triển khai các nhiệm vụ được giao tại </w:t>
      </w:r>
      <w:r>
        <w:rPr>
          <w:sz w:val="28"/>
          <w:szCs w:val="28"/>
        </w:rPr>
        <w:t>Quyết định số 106</w:t>
      </w:r>
      <w:r>
        <w:rPr>
          <w:bCs/>
          <w:sz w:val="28"/>
          <w:szCs w:val="28"/>
        </w:rPr>
        <w:t xml:space="preserve">/QĐ-BNN-KH ngày 12/01/2022 </w:t>
      </w:r>
      <w:r>
        <w:rPr>
          <w:sz w:val="28"/>
          <w:szCs w:val="28"/>
        </w:rPr>
        <w:t xml:space="preserve">về kế hoạch thực hiện Nghị quyết số 01/NQ-CP ngày 08/01/2022 của Chính phủ về nhiệm vụ, giải pháp chủ yếu thực hiện kế hoạch phát triển kinh tế - xã hội và dự toán ngân sách nhà nước năm </w:t>
      </w:r>
      <w:bookmarkStart w:id="18" w:name="_Hlk65160270"/>
      <w:r>
        <w:rPr>
          <w:sz w:val="28"/>
          <w:szCs w:val="28"/>
        </w:rPr>
        <w:t>2022</w:t>
      </w:r>
      <w:r>
        <w:rPr>
          <w:sz w:val="28"/>
          <w:szCs w:val="28"/>
          <w:lang w:val="es-ES"/>
        </w:rPr>
        <w:t>; nhiệm vụ được giao khác tại các thông báo kết luận của Bộ; tập trung xây dựng và ban hành văn bản quy phạm, đề án, chương trình theo đúng kế hoạch đã đề ra. Cụ thể từng lĩnh vực như sau:</w:t>
      </w:r>
    </w:p>
    <w:p>
      <w:pPr>
        <w:pStyle w:val="Normal"/>
        <w:widowControl w:val="false"/>
        <w:spacing w:before="100" w:after="0"/>
        <w:ind w:firstLine="720"/>
        <w:jc w:val="both"/>
        <w:rPr>
          <w:b/>
          <w:b/>
          <w:bCs/>
          <w:sz w:val="28"/>
          <w:szCs w:val="28"/>
          <w:lang w:val="it-IT"/>
        </w:rPr>
      </w:pPr>
      <w:bookmarkEnd w:id="18"/>
      <w:r>
        <w:rPr>
          <w:b/>
          <w:bCs/>
          <w:sz w:val="28"/>
          <w:szCs w:val="28"/>
          <w:lang w:val="it-IT"/>
        </w:rPr>
        <w:t>1. Trồng trọt, bảo vệ thực vật</w:t>
      </w:r>
    </w:p>
    <w:p>
      <w:pPr>
        <w:pStyle w:val="Normal"/>
        <w:widowControl w:val="false"/>
        <w:spacing w:before="100" w:after="0"/>
        <w:ind w:firstLine="720"/>
        <w:jc w:val="both"/>
        <w:rPr/>
      </w:pPr>
      <w:bookmarkStart w:id="19" w:name="_Hlk54711409"/>
      <w:r>
        <w:rPr>
          <w:sz w:val="28"/>
          <w:szCs w:val="28"/>
        </w:rPr>
        <w:t xml:space="preserve">Theo dõi sát tình hình thời tiết khí tượng, thủy văn để </w:t>
      </w:r>
      <w:r>
        <w:rPr>
          <w:sz w:val="28"/>
          <w:szCs w:val="28"/>
          <w:lang w:val="sv-SE"/>
        </w:rPr>
        <w:t>chỉ đạo thời vụ, cơ cấu cây trồng phù hợp</w:t>
      </w:r>
      <w:r>
        <w:rPr>
          <w:sz w:val="28"/>
          <w:szCs w:val="28"/>
        </w:rPr>
        <w:t>.</w:t>
      </w:r>
      <w:bookmarkEnd w:id="19"/>
      <w:r>
        <w:rPr>
          <w:sz w:val="28"/>
          <w:szCs w:val="28"/>
        </w:rPr>
        <w:t xml:space="preserve"> Trong đó: </w:t>
      </w:r>
    </w:p>
    <w:p>
      <w:pPr>
        <w:pStyle w:val="Normal"/>
        <w:widowControl w:val="false"/>
        <w:spacing w:before="100" w:after="0"/>
        <w:ind w:firstLine="720"/>
        <w:jc w:val="both"/>
        <w:rPr>
          <w:iCs/>
          <w:sz w:val="28"/>
          <w:szCs w:val="28"/>
        </w:rPr>
      </w:pPr>
      <w:r>
        <w:rPr>
          <w:i/>
          <w:sz w:val="28"/>
          <w:szCs w:val="28"/>
        </w:rPr>
        <w:t>- Lúa:</w:t>
      </w:r>
      <w:r>
        <w:rPr>
          <w:sz w:val="28"/>
          <w:szCs w:val="28"/>
        </w:rPr>
        <w:t xml:space="preserve"> C</w:t>
      </w:r>
      <w:r>
        <w:rPr>
          <w:sz w:val="28"/>
          <w:szCs w:val="28"/>
          <w:lang w:val="vi-VN"/>
        </w:rPr>
        <w:t>ác tỉnh phía Nam</w:t>
      </w:r>
      <w:r>
        <w:rPr>
          <w:sz w:val="28"/>
          <w:szCs w:val="28"/>
        </w:rPr>
        <w:t xml:space="preserve"> </w:t>
      </w:r>
      <w:bookmarkStart w:id="20" w:name="_Hlk65160374"/>
      <w:r>
        <w:rPr>
          <w:sz w:val="28"/>
          <w:szCs w:val="28"/>
        </w:rPr>
        <w:t>tập trung</w:t>
      </w:r>
      <w:r>
        <w:rPr>
          <w:sz w:val="28"/>
          <w:szCs w:val="28"/>
          <w:lang w:val="vi-VN"/>
        </w:rPr>
        <w:t xml:space="preserve"> thu hoạch lúa Đông Xuân</w:t>
      </w:r>
      <w:r>
        <w:rPr>
          <w:sz w:val="28"/>
          <w:szCs w:val="28"/>
        </w:rPr>
        <w:t xml:space="preserve">, </w:t>
      </w:r>
      <w:bookmarkEnd w:id="20"/>
      <w:r>
        <w:rPr>
          <w:sz w:val="28"/>
          <w:szCs w:val="28"/>
        </w:rPr>
        <w:t>xuống giống và chăm sóc lúa Hè Thu</w:t>
      </w:r>
      <w:bookmarkStart w:id="21" w:name="_Hlk65160423"/>
      <w:r>
        <w:rPr>
          <w:sz w:val="28"/>
          <w:szCs w:val="28"/>
        </w:rPr>
        <w:t xml:space="preserve">. </w:t>
      </w:r>
      <w:bookmarkEnd w:id="21"/>
      <w:r>
        <w:rPr>
          <w:sz w:val="28"/>
          <w:szCs w:val="28"/>
        </w:rPr>
        <w:t xml:space="preserve">Các địa phương phía Bắc </w:t>
      </w:r>
      <w:bookmarkStart w:id="22" w:name="_Hlk65160402"/>
      <w:r>
        <w:rPr>
          <w:sz w:val="28"/>
          <w:szCs w:val="28"/>
        </w:rPr>
        <w:t>tiếp tục chăm sóc và thu hoạch lúa Đông Xuân</w:t>
      </w:r>
      <w:bookmarkEnd w:id="22"/>
      <w:r>
        <w:rPr>
          <w:sz w:val="28"/>
          <w:szCs w:val="28"/>
        </w:rPr>
        <w:t xml:space="preserve">; </w:t>
      </w:r>
      <w:r>
        <w:rPr>
          <w:sz w:val="28"/>
          <w:szCs w:val="28"/>
          <w:lang w:val="vi-VN"/>
        </w:rPr>
        <w:t>Chuẩn bị tổ chức Hội thảo về sản xuất lúa Thu Đông tại các tỉnh ĐBSCL</w:t>
      </w:r>
      <w:r>
        <w:rPr>
          <w:sz w:val="28"/>
          <w:szCs w:val="28"/>
        </w:rPr>
        <w:t xml:space="preserve">, </w:t>
      </w:r>
      <w:r>
        <w:rPr>
          <w:sz w:val="28"/>
          <w:szCs w:val="28"/>
          <w:lang w:val="vi-VN"/>
        </w:rPr>
        <w:t xml:space="preserve">Hội nghị sơ kết sản xuất lúa vụ </w:t>
      </w:r>
      <w:r>
        <w:rPr>
          <w:sz w:val="28"/>
          <w:szCs w:val="28"/>
        </w:rPr>
        <w:t>Đông Xuân</w:t>
      </w:r>
      <w:r>
        <w:rPr>
          <w:sz w:val="28"/>
          <w:szCs w:val="28"/>
          <w:lang w:val="vi-VN"/>
        </w:rPr>
        <w:t xml:space="preserve"> 2021-2022 và kế hoạch sản xuất vụ Hè Thu, vụ Mùa 2022 các tỉnh phía Bắc.</w:t>
      </w:r>
      <w:r>
        <w:rPr>
          <w:sz w:val="28"/>
          <w:szCs w:val="28"/>
        </w:rPr>
        <w:t xml:space="preserve"> R</w:t>
      </w:r>
      <w:r>
        <w:rPr>
          <w:sz w:val="28"/>
          <w:szCs w:val="28"/>
          <w:lang w:val="vi-VN"/>
        </w:rPr>
        <w:t>à soát, đánh giá và hoàn chỉnh kế hoạch sản xuất lúa vụ Hè Thu, Mùa</w:t>
      </w:r>
      <w:r>
        <w:rPr>
          <w:sz w:val="28"/>
          <w:szCs w:val="28"/>
        </w:rPr>
        <w:t xml:space="preserve">. </w:t>
      </w:r>
    </w:p>
    <w:p>
      <w:pPr>
        <w:pStyle w:val="Normal"/>
        <w:widowControl w:val="false"/>
        <w:spacing w:before="100" w:after="0"/>
        <w:ind w:firstLine="720"/>
        <w:jc w:val="both"/>
        <w:rPr/>
      </w:pPr>
      <w:r>
        <w:rPr>
          <w:iCs/>
          <w:sz w:val="28"/>
          <w:szCs w:val="28"/>
        </w:rPr>
        <w:t>- Cây công nghiệp, cây ăn quả:</w:t>
      </w:r>
      <w:r>
        <w:rPr>
          <w:sz w:val="28"/>
          <w:szCs w:val="28"/>
          <w:lang w:val="vi-VN"/>
        </w:rPr>
        <w:t xml:space="preserve"> Tiếp tục </w:t>
      </w:r>
      <w:bookmarkStart w:id="23" w:name="_Hlk65160480"/>
      <w:r>
        <w:rPr>
          <w:sz w:val="28"/>
          <w:szCs w:val="28"/>
        </w:rPr>
        <w:t>theo dõi,</w:t>
      </w:r>
      <w:r>
        <w:rPr>
          <w:sz w:val="28"/>
          <w:szCs w:val="28"/>
          <w:lang w:val="vi-VN"/>
        </w:rPr>
        <w:t xml:space="preserve"> </w:t>
      </w:r>
      <w:r>
        <w:rPr>
          <w:sz w:val="28"/>
          <w:szCs w:val="28"/>
        </w:rPr>
        <w:t xml:space="preserve">chỉ đạo sản xuất các cây công nghiệp, cây ăn quả, đặc biệt đối với </w:t>
      </w:r>
      <w:r>
        <w:rPr>
          <w:sz w:val="28"/>
          <w:szCs w:val="28"/>
          <w:lang w:val="vi-VN"/>
        </w:rPr>
        <w:t xml:space="preserve">cây ăn quả chủ lực phục vụ xuất khẩu như thanh long, nhãn, xoài, chôm chôm, sầu riêng để có chỉ đạo rải vụ các đối tượng cây trồng này phù hợp với thị trường tiêu thụ, có giá bán tốt và hiệu quả kinh tế cao. </w:t>
      </w:r>
      <w:bookmarkStart w:id="24" w:name="_Hlk65160517"/>
      <w:bookmarkStart w:id="25" w:name="_Hlk49343697"/>
      <w:bookmarkEnd w:id="23"/>
      <w:r>
        <w:rPr>
          <w:sz w:val="28"/>
          <w:szCs w:val="28"/>
          <w:lang w:val="vi-VN"/>
        </w:rPr>
        <w:t>Nắm bắt tình hình sản xuất và ước sản lượng điều niên vụ 2021 – 2022;</w:t>
      </w:r>
      <w:r>
        <w:rPr>
          <w:sz w:val="28"/>
          <w:szCs w:val="28"/>
        </w:rPr>
        <w:t xml:space="preserve"> </w:t>
      </w:r>
      <w:r>
        <w:rPr>
          <w:sz w:val="28"/>
          <w:szCs w:val="28"/>
          <w:lang w:val="vi-VN"/>
        </w:rPr>
        <w:t>tình hình chuyển đổi đất lúa sang trồng cây ăn quả và cây trồng hàng năm, nuôi trồng thủy sản tại các tỉnh.</w:t>
      </w:r>
      <w:r>
        <w:rPr>
          <w:sz w:val="28"/>
          <w:szCs w:val="28"/>
        </w:rPr>
        <w:t xml:space="preserve"> </w:t>
      </w:r>
      <w:r>
        <w:rPr>
          <w:sz w:val="28"/>
          <w:szCs w:val="28"/>
          <w:lang w:val="vi-VN"/>
        </w:rPr>
        <w:t>Triển khai các thủ tục mua bù dự trữ qu</w:t>
      </w:r>
      <w:r>
        <w:rPr>
          <w:sz w:val="28"/>
          <w:szCs w:val="28"/>
        </w:rPr>
        <w:t>ốc</w:t>
      </w:r>
      <w:r>
        <w:rPr>
          <w:sz w:val="28"/>
          <w:szCs w:val="28"/>
          <w:lang w:val="vi-VN"/>
        </w:rPr>
        <w:t xml:space="preserve"> gia hạt giống cây trồng năm 2022</w:t>
      </w:r>
      <w:r>
        <w:rPr>
          <w:sz w:val="28"/>
          <w:szCs w:val="28"/>
        </w:rPr>
        <w:t>.</w:t>
      </w:r>
    </w:p>
    <w:p>
      <w:pPr>
        <w:pStyle w:val="Normal"/>
        <w:widowControl w:val="false"/>
        <w:spacing w:before="100" w:after="0"/>
        <w:ind w:firstLine="720"/>
        <w:jc w:val="both"/>
        <w:rPr>
          <w:spacing w:val="-2"/>
          <w:sz w:val="28"/>
          <w:szCs w:val="28"/>
          <w:lang w:val="af-ZA"/>
        </w:rPr>
      </w:pPr>
      <w:r>
        <w:rPr>
          <w:spacing w:val="-2"/>
          <w:sz w:val="28"/>
          <w:szCs w:val="28"/>
        </w:rPr>
        <w:t xml:space="preserve">- </w:t>
      </w:r>
      <w:r>
        <w:rPr>
          <w:spacing w:val="-2"/>
          <w:sz w:val="28"/>
          <w:szCs w:val="28"/>
          <w:lang w:val="es-ES"/>
        </w:rPr>
        <w:t xml:space="preserve">Tăng cường công tác bảo vệ thực vật, </w:t>
      </w:r>
      <w:r>
        <w:rPr>
          <w:spacing w:val="-2"/>
          <w:sz w:val="28"/>
          <w:szCs w:val="28"/>
          <w:lang w:val="sv-SE"/>
        </w:rPr>
        <w:t xml:space="preserve">tổ chức trực ban chỉ đạo công tác phòng chống dịch và kịp thời xử lý các vùng dịch phát sinh; </w:t>
      </w:r>
      <w:bookmarkEnd w:id="24"/>
      <w:r>
        <w:rPr>
          <w:spacing w:val="-2"/>
          <w:sz w:val="28"/>
          <w:szCs w:val="28"/>
          <w:lang w:val="sv-SE"/>
        </w:rPr>
        <w:t>đặc biệt lưu ý</w:t>
      </w:r>
      <w:r>
        <w:rPr>
          <w:spacing w:val="-2"/>
          <w:sz w:val="28"/>
          <w:szCs w:val="28"/>
          <w:lang w:val="af-ZA"/>
        </w:rPr>
        <w:t xml:space="preserve"> các sinh vật gây hại trên lúa và cây trồng khác (ngô, rau màu, sắn, điều, hồ tiêu, cà phê,... </w:t>
      </w:r>
    </w:p>
    <w:p>
      <w:pPr>
        <w:pStyle w:val="Normal"/>
        <w:widowControl w:val="false"/>
        <w:spacing w:before="100" w:after="0"/>
        <w:ind w:firstLine="720"/>
        <w:jc w:val="both"/>
        <w:rPr>
          <w:spacing w:val="-4"/>
          <w:sz w:val="28"/>
          <w:szCs w:val="28"/>
          <w:lang w:val="af-ZA"/>
        </w:rPr>
      </w:pPr>
      <w:r>
        <w:rPr>
          <w:spacing w:val="-4"/>
          <w:sz w:val="28"/>
          <w:szCs w:val="28"/>
          <w:lang w:val="af-ZA"/>
        </w:rPr>
        <w:t xml:space="preserve">- </w:t>
      </w:r>
      <w:r>
        <w:rPr>
          <w:spacing w:val="-4"/>
          <w:sz w:val="28"/>
          <w:szCs w:val="28"/>
          <w:lang w:val="nb-NO"/>
        </w:rPr>
        <w:t>Tăng cường kiểm tra, kiểm soát tốt ngăn chặn đối tượng KDTV, sinh vật gây hại lạ đi theo hàng hóa nhập khẩu, đồng thời đáp ứng yêu cầu KDTV đối với hàng hóa xuất khẩu; s</w:t>
      </w:r>
      <w:r>
        <w:rPr>
          <w:bCs/>
          <w:spacing w:val="-4"/>
          <w:sz w:val="28"/>
          <w:szCs w:val="28"/>
          <w:lang w:val="it-IT"/>
        </w:rPr>
        <w:t xml:space="preserve">iết chặt và tăng cường công tác quản lý </w:t>
      </w:r>
      <w:r>
        <w:rPr>
          <w:bCs/>
          <w:spacing w:val="-4"/>
          <w:sz w:val="28"/>
          <w:szCs w:val="28"/>
          <w:lang w:val="vi-VN"/>
        </w:rPr>
        <w:t>đăng ký</w:t>
      </w:r>
      <w:r>
        <w:rPr>
          <w:bCs/>
          <w:spacing w:val="-4"/>
          <w:sz w:val="28"/>
          <w:szCs w:val="28"/>
        </w:rPr>
        <w:t xml:space="preserve">, </w:t>
      </w:r>
      <w:r>
        <w:rPr>
          <w:bCs/>
          <w:spacing w:val="-4"/>
          <w:sz w:val="28"/>
          <w:szCs w:val="28"/>
          <w:lang w:val="vi-VN"/>
        </w:rPr>
        <w:t xml:space="preserve">khảo nghiệm </w:t>
      </w:r>
      <w:r>
        <w:rPr>
          <w:bCs/>
          <w:spacing w:val="-4"/>
          <w:sz w:val="28"/>
          <w:szCs w:val="28"/>
          <w:lang w:val="it-IT"/>
        </w:rPr>
        <w:t>thuốc BVTV</w:t>
      </w:r>
      <w:r>
        <w:rPr>
          <w:bCs/>
          <w:spacing w:val="-4"/>
          <w:sz w:val="28"/>
          <w:szCs w:val="28"/>
        </w:rPr>
        <w:t>; r</w:t>
      </w:r>
      <w:r>
        <w:rPr>
          <w:bCs/>
          <w:spacing w:val="-4"/>
          <w:sz w:val="28"/>
          <w:szCs w:val="28"/>
          <w:lang w:val="vi-VN"/>
        </w:rPr>
        <w:t>à soát danh mục thuốc BVTV được phép sử dụng ở Việt Nam</w:t>
      </w:r>
      <w:r>
        <w:rPr>
          <w:bCs/>
          <w:spacing w:val="-4"/>
          <w:sz w:val="28"/>
          <w:szCs w:val="28"/>
        </w:rPr>
        <w:t>.</w:t>
      </w:r>
    </w:p>
    <w:p>
      <w:pPr>
        <w:pStyle w:val="Normal"/>
        <w:widowControl w:val="false"/>
        <w:spacing w:before="100" w:after="0"/>
        <w:ind w:firstLine="720"/>
        <w:jc w:val="both"/>
        <w:rPr>
          <w:b/>
          <w:b/>
          <w:sz w:val="28"/>
          <w:szCs w:val="28"/>
          <w:lang w:val="sv-SE"/>
        </w:rPr>
      </w:pPr>
      <w:bookmarkEnd w:id="25"/>
      <w:r>
        <w:rPr>
          <w:b/>
          <w:sz w:val="28"/>
          <w:szCs w:val="28"/>
          <w:lang w:val="sv-SE"/>
        </w:rPr>
        <w:t>2. Chăn nuôi, thú y</w:t>
      </w:r>
    </w:p>
    <w:p>
      <w:pPr>
        <w:pStyle w:val="Normal"/>
        <w:widowControl w:val="false"/>
        <w:shd w:fill="FFFFFF" w:val="clear"/>
        <w:spacing w:before="100" w:after="0"/>
        <w:ind w:firstLine="709"/>
        <w:jc w:val="both"/>
        <w:rPr>
          <w:sz w:val="28"/>
          <w:szCs w:val="28"/>
        </w:rPr>
      </w:pPr>
      <w:bookmarkStart w:id="26" w:name="_Hlk65160552"/>
      <w:bookmarkEnd w:id="26"/>
      <w:r>
        <w:rPr>
          <w:sz w:val="28"/>
          <w:szCs w:val="28"/>
          <w:lang w:val="sv-SE"/>
        </w:rPr>
        <w:t>- Tập trung chỉ đạo đồng bộ các giải pháp tiếp tục tháo gỡ khó khăn, thúc đẩy phát triển chăn nuôi, đảm bảo nguồn cung thực phẩm; tiếp tục hỗ trợ phát triển, hỗ trợ tiêu thụ, lưu thông sản phẩm của các doanh nghiệp, cơ sở sản xuất chăn nuôi. Tăng cường chỉ đạo triển khai nhanh mô hình chăn nuôi an toàn sinh học, an toàn dịch bệnh trên các đối tượng vật nuôi, nhất là đối với chăn nuôi lợn.</w:t>
      </w:r>
    </w:p>
    <w:p>
      <w:pPr>
        <w:pStyle w:val="Normal"/>
        <w:widowControl w:val="false"/>
        <w:shd w:fill="FFFFFF" w:val="clear"/>
        <w:spacing w:before="100" w:after="0"/>
        <w:ind w:firstLine="709"/>
        <w:jc w:val="both"/>
        <w:rPr/>
      </w:pPr>
      <w:bookmarkStart w:id="27" w:name="_Hlk65160541"/>
      <w:bookmarkEnd w:id="27"/>
      <w:r>
        <w:rPr>
          <w:sz w:val="28"/>
          <w:szCs w:val="28"/>
        </w:rPr>
        <w:t xml:space="preserve">- Tăng cường giám sát quản lý chất lượng vật tư lĩnh vực chăn nuôi, đặc biệt là kiểm soát an toàn thực phẩm. Phối hợp với các đơn vị chức năng có liên quan tiến hành xử lý các vụ việc vi phạm về chất lượng giống vật nuôi, thức ăn chăn nuôi… </w:t>
      </w:r>
    </w:p>
    <w:p>
      <w:pPr>
        <w:pStyle w:val="Normal"/>
        <w:widowControl w:val="false"/>
        <w:shd w:fill="FFFFFF" w:val="clear"/>
        <w:spacing w:before="100" w:after="0"/>
        <w:ind w:firstLine="709"/>
        <w:jc w:val="both"/>
        <w:rPr>
          <w:sz w:val="28"/>
          <w:szCs w:val="28"/>
        </w:rPr>
      </w:pPr>
      <w:r>
        <w:rPr>
          <w:sz w:val="28"/>
          <w:szCs w:val="28"/>
        </w:rPr>
        <w:t xml:space="preserve">- </w:t>
      </w:r>
      <w:r>
        <w:rPr>
          <w:bCs/>
          <w:sz w:val="28"/>
          <w:szCs w:val="28"/>
          <w:lang w:val="sv-SE"/>
        </w:rPr>
        <w:t xml:space="preserve">Hướng dẫn kỹ thuật phòng chống thiên tai cho đàn gia súc, gia </w:t>
      </w:r>
      <w:r>
        <w:rPr>
          <w:sz w:val="28"/>
          <w:szCs w:val="28"/>
          <w:lang w:val="sv-SE"/>
        </w:rPr>
        <w:t>cầm trước, trong và khôi phục sản xuất sau mưa lũ; đặc biệt là các tỉnh miền núi phía Bắc, Bắc Trung bộ và Tây Nguyên.</w:t>
      </w:r>
    </w:p>
    <w:p>
      <w:pPr>
        <w:pStyle w:val="Normal"/>
        <w:widowControl w:val="false"/>
        <w:spacing w:before="100" w:after="0"/>
        <w:ind w:firstLine="720"/>
        <w:jc w:val="both"/>
        <w:rPr>
          <w:sz w:val="28"/>
          <w:szCs w:val="28"/>
          <w:lang w:val="es-ES"/>
        </w:rPr>
      </w:pPr>
      <w:bookmarkStart w:id="28" w:name="_Hlk65160552"/>
      <w:bookmarkStart w:id="29" w:name="_Hlk65160541"/>
      <w:bookmarkStart w:id="30" w:name="_Hlk65160582"/>
      <w:bookmarkEnd w:id="28"/>
      <w:bookmarkEnd w:id="29"/>
      <w:r>
        <w:rPr>
          <w:sz w:val="28"/>
          <w:szCs w:val="28"/>
          <w:lang w:val="es-ES"/>
        </w:rPr>
        <w:t>- Theo dõi tình hình dịch bệnh ở các địa phương đặc biệt đối với bệnh nguy hiểm như DTLCP, CGC, LMLM, Tai xanh, Viêm da nổi cục. Đôn đốc, hướng dẫn các địa phương thực hiện công tác phòng, chống dịch bệnh theo đúng quy định.</w:t>
      </w:r>
      <w:r>
        <w:rPr>
          <w:rStyle w:val="BodyTextChar1"/>
          <w:sz w:val="28"/>
          <w:szCs w:val="28"/>
          <w:lang w:val="sv-SE" w:eastAsia="vi-VN"/>
        </w:rPr>
        <w:t xml:space="preserve"> </w:t>
      </w:r>
      <w:bookmarkEnd w:id="30"/>
      <w:r>
        <w:rPr>
          <w:rStyle w:val="StrongEmphasis"/>
          <w:b w:val="false"/>
          <w:bCs w:val="false"/>
          <w:sz w:val="28"/>
          <w:szCs w:val="28"/>
          <w:lang w:val="nl-NL"/>
        </w:rPr>
        <w:t>R</w:t>
      </w:r>
      <w:r>
        <w:rPr>
          <w:rStyle w:val="StrongEmphasis"/>
          <w:b w:val="false"/>
          <w:bCs w:val="false"/>
          <w:sz w:val="28"/>
          <w:szCs w:val="28"/>
          <w:lang w:val="vi-VN"/>
        </w:rPr>
        <w:t>à soát</w:t>
      </w:r>
      <w:r>
        <w:rPr>
          <w:rStyle w:val="StrongEmphasis"/>
          <w:b w:val="false"/>
          <w:bCs w:val="false"/>
          <w:sz w:val="28"/>
          <w:szCs w:val="28"/>
          <w:lang w:val="nl-NL"/>
        </w:rPr>
        <w:t xml:space="preserve"> và</w:t>
      </w:r>
      <w:r>
        <w:rPr>
          <w:rStyle w:val="StrongEmphasis"/>
          <w:b w:val="false"/>
          <w:bCs w:val="false"/>
          <w:sz w:val="28"/>
          <w:szCs w:val="28"/>
          <w:lang w:val="vi-VN"/>
        </w:rPr>
        <w:t xml:space="preserve"> cập nhật Danh mục thuốc thú y đã được cấp phép lưu hành tại Việt Nam</w:t>
      </w:r>
      <w:r>
        <w:rPr>
          <w:rStyle w:val="StrongEmphasis"/>
          <w:b w:val="false"/>
          <w:bCs w:val="false"/>
          <w:sz w:val="28"/>
          <w:szCs w:val="28"/>
        </w:rPr>
        <w:t xml:space="preserve">; </w:t>
      </w:r>
      <w:r>
        <w:rPr>
          <w:sz w:val="28"/>
          <w:szCs w:val="28"/>
          <w:lang w:val="pt-BR"/>
        </w:rPr>
        <w:t>kiểm tra, cấp giấy chứng nhận đủ điều kiện sản xuất, nhập khẩu thuốc thú y cho các cơ sở sản xuất, kinh doanh, nhập khẩu thuốc thú y.</w:t>
      </w:r>
    </w:p>
    <w:p>
      <w:pPr>
        <w:pStyle w:val="Normal"/>
        <w:widowControl w:val="false"/>
        <w:tabs>
          <w:tab w:val="clear" w:pos="720"/>
          <w:tab w:val="left" w:pos="6837" w:leader="none"/>
        </w:tabs>
        <w:spacing w:before="100" w:after="0"/>
        <w:ind w:firstLine="720"/>
        <w:jc w:val="both"/>
        <w:rPr/>
      </w:pPr>
      <w:r>
        <w:rPr>
          <w:b/>
          <w:bCs/>
          <w:sz w:val="28"/>
          <w:szCs w:val="28"/>
        </w:rPr>
        <w:t>3.</w:t>
      </w:r>
      <w:r>
        <w:rPr>
          <w:b/>
          <w:bCs/>
          <w:sz w:val="28"/>
          <w:szCs w:val="28"/>
          <w:lang w:val="vi-VN"/>
        </w:rPr>
        <w:t xml:space="preserve"> Thuỷ sản </w:t>
        <w:tab/>
      </w:r>
    </w:p>
    <w:p>
      <w:pPr>
        <w:pStyle w:val="Normal"/>
        <w:widowControl w:val="false"/>
        <w:spacing w:before="100" w:after="0"/>
        <w:ind w:firstLine="720"/>
        <w:jc w:val="both"/>
        <w:rPr>
          <w:sz w:val="28"/>
          <w:szCs w:val="28"/>
        </w:rPr>
      </w:pPr>
      <w:r>
        <w:rPr>
          <w:sz w:val="28"/>
          <w:szCs w:val="28"/>
          <w:lang w:val="pt-BR"/>
        </w:rPr>
        <w:t>- Tiếp tục hướng dẫn các địa phương t</w:t>
      </w:r>
      <w:r>
        <w:rPr>
          <w:sz w:val="28"/>
          <w:szCs w:val="28"/>
        </w:rPr>
        <w:t xml:space="preserve">ập trung phát triển nuôi trồng các đối tượng nuôi chủ lực </w:t>
      </w:r>
      <w:r>
        <w:rPr>
          <w:sz w:val="28"/>
          <w:szCs w:val="28"/>
          <w:lang w:val="pt-BR"/>
        </w:rPr>
        <w:t xml:space="preserve">và các đối tượng nuôi </w:t>
      </w:r>
      <w:r>
        <w:rPr>
          <w:sz w:val="28"/>
          <w:szCs w:val="28"/>
        </w:rPr>
        <w:t>có giá trị kinh tế cao theo hướng nâng cao giá trị</w:t>
      </w:r>
      <w:r>
        <w:rPr>
          <w:sz w:val="28"/>
          <w:szCs w:val="28"/>
          <w:lang w:val="pt-BR"/>
        </w:rPr>
        <w:t xml:space="preserve"> thương mại và phát triển bền vững. </w:t>
      </w:r>
      <w:r>
        <w:rPr>
          <w:sz w:val="28"/>
          <w:szCs w:val="28"/>
          <w:lang w:val="vi-VN"/>
        </w:rPr>
        <w:t xml:space="preserve">Tiếp thu, giải trình </w:t>
      </w:r>
      <w:r>
        <w:rPr>
          <w:sz w:val="28"/>
          <w:szCs w:val="28"/>
        </w:rPr>
        <w:t>và hoàn thiện</w:t>
      </w:r>
      <w:r>
        <w:rPr>
          <w:sz w:val="28"/>
          <w:szCs w:val="28"/>
          <w:lang w:val="vi-VN"/>
        </w:rPr>
        <w:t xml:space="preserve"> </w:t>
      </w:r>
      <w:r>
        <w:rPr>
          <w:sz w:val="28"/>
          <w:szCs w:val="28"/>
        </w:rPr>
        <w:t>C</w:t>
      </w:r>
      <w:r>
        <w:rPr>
          <w:sz w:val="28"/>
          <w:szCs w:val="28"/>
          <w:lang w:val="vi-VN"/>
        </w:rPr>
        <w:t>hương trình phát triển nuôi trồng thủy sản giai đoạn 2021-2030; hướng dẫn thực hiện quan trắc môi trường năm 2022.</w:t>
      </w:r>
      <w:r>
        <w:rPr>
          <w:sz w:val="28"/>
          <w:szCs w:val="28"/>
        </w:rPr>
        <w:t xml:space="preserve"> T</w:t>
      </w:r>
      <w:r>
        <w:rPr>
          <w:sz w:val="28"/>
          <w:szCs w:val="28"/>
          <w:lang w:val="vi-VN"/>
        </w:rPr>
        <w:t>ổ chức Hội nghị phát triển nuôi biển bền vững năm 2022</w:t>
      </w:r>
      <w:r>
        <w:rPr>
          <w:sz w:val="28"/>
          <w:szCs w:val="28"/>
        </w:rPr>
        <w:t>.</w:t>
      </w:r>
    </w:p>
    <w:p>
      <w:pPr>
        <w:pStyle w:val="Normal"/>
        <w:widowControl w:val="false"/>
        <w:spacing w:before="100" w:after="0"/>
        <w:ind w:firstLine="720"/>
        <w:jc w:val="both"/>
        <w:rPr>
          <w:sz w:val="28"/>
          <w:szCs w:val="28"/>
        </w:rPr>
      </w:pPr>
      <w:bookmarkStart w:id="31" w:name="_Hlk65160725"/>
      <w:bookmarkEnd w:id="31"/>
      <w:r>
        <w:rPr>
          <w:sz w:val="28"/>
          <w:szCs w:val="28"/>
        </w:rPr>
        <w:t xml:space="preserve">- </w:t>
      </w:r>
      <w:r>
        <w:rPr>
          <w:sz w:val="28"/>
          <w:szCs w:val="28"/>
          <w:lang w:val="vi-VN"/>
        </w:rPr>
        <w:t>Theo dõi</w:t>
      </w:r>
      <w:r>
        <w:rPr>
          <w:sz w:val="28"/>
          <w:szCs w:val="28"/>
        </w:rPr>
        <w:t xml:space="preserve"> </w:t>
      </w:r>
      <w:r>
        <w:rPr>
          <w:sz w:val="28"/>
          <w:szCs w:val="28"/>
          <w:lang w:val="vi-VN"/>
        </w:rPr>
        <w:t xml:space="preserve">diễn biến thời tiết, dự báo ngư trường, tình hình khai thác hải sản của ngư dân trên các vùng biển để kịp thời hỗ trợ ngư dân yên tâm sản xuất an toàn, hiệu quả. </w:t>
      </w:r>
      <w:r>
        <w:rPr>
          <w:sz w:val="28"/>
          <w:szCs w:val="28"/>
        </w:rPr>
        <w:t xml:space="preserve">Tiếp tục </w:t>
      </w:r>
      <w:r>
        <w:rPr>
          <w:sz w:val="28"/>
          <w:szCs w:val="28"/>
          <w:lang w:val="vi-VN"/>
        </w:rPr>
        <w:t>hoàn thiện Chương trình quốc gia Phát triển khai thác thủy sản hiệu quả bền vững giai đoạn 2021-2030</w:t>
      </w:r>
      <w:r>
        <w:rPr>
          <w:sz w:val="28"/>
          <w:szCs w:val="28"/>
        </w:rPr>
        <w:t xml:space="preserve">. </w:t>
      </w:r>
      <w:r>
        <w:rPr>
          <w:sz w:val="28"/>
          <w:szCs w:val="28"/>
          <w:lang w:val="vi-VN"/>
        </w:rPr>
        <w:t>Chuẩn bị đàm phán trực tuyến với phía Trung Quốc về hợp tác nghề cá trong vịnh Bắc Bộ.</w:t>
      </w:r>
      <w:r>
        <w:rPr>
          <w:sz w:val="28"/>
          <w:szCs w:val="28"/>
        </w:rPr>
        <w:t xml:space="preserve"> </w:t>
      </w:r>
    </w:p>
    <w:p>
      <w:pPr>
        <w:pStyle w:val="Normal"/>
        <w:widowControl w:val="false"/>
        <w:spacing w:before="100" w:after="0"/>
        <w:ind w:firstLine="709"/>
        <w:jc w:val="both"/>
        <w:rPr>
          <w:sz w:val="28"/>
          <w:szCs w:val="28"/>
          <w:lang w:val="vi-VN"/>
        </w:rPr>
      </w:pPr>
      <w:bookmarkStart w:id="32" w:name="_Hlk65160725"/>
      <w:bookmarkEnd w:id="32"/>
      <w:r>
        <w:rPr>
          <w:sz w:val="28"/>
          <w:szCs w:val="28"/>
          <w:lang w:val="vi-VN"/>
        </w:rPr>
        <w:t xml:space="preserve">- </w:t>
      </w:r>
      <w:r>
        <w:rPr>
          <w:sz w:val="28"/>
          <w:szCs w:val="28"/>
        </w:rPr>
        <w:t>T</w:t>
      </w:r>
      <w:r>
        <w:rPr>
          <w:sz w:val="28"/>
          <w:szCs w:val="28"/>
          <w:lang w:val="vi-VN"/>
        </w:rPr>
        <w:t>ổ chức buổi lễ thả giống tái tạo nguồn lợi thuỷ sản tại Vịnh Bắc Bộ;</w:t>
      </w:r>
      <w:r>
        <w:rPr>
          <w:sz w:val="28"/>
          <w:szCs w:val="28"/>
        </w:rPr>
        <w:t xml:space="preserve"> </w:t>
      </w:r>
      <w:r>
        <w:rPr>
          <w:sz w:val="28"/>
          <w:szCs w:val="28"/>
          <w:lang w:val="vi-VN"/>
        </w:rPr>
        <w:t xml:space="preserve">ký kết Quy chế phối hợp thực hiện nhiệm vụ thả giống tái tạo nguồn lợi thuỷ sản tại </w:t>
      </w:r>
      <w:r>
        <w:rPr>
          <w:sz w:val="28"/>
          <w:szCs w:val="28"/>
        </w:rPr>
        <w:t>ĐBSCL</w:t>
      </w:r>
      <w:r>
        <w:rPr>
          <w:sz w:val="28"/>
          <w:szCs w:val="28"/>
          <w:lang w:val="vi-VN"/>
        </w:rPr>
        <w:t>.</w:t>
      </w:r>
      <w:r>
        <w:rPr>
          <w:sz w:val="28"/>
          <w:szCs w:val="28"/>
        </w:rPr>
        <w:t xml:space="preserve"> H</w:t>
      </w:r>
      <w:r>
        <w:rPr>
          <w:sz w:val="28"/>
          <w:szCs w:val="28"/>
          <w:lang w:val="vi-VN"/>
        </w:rPr>
        <w:t>oàn thiện chế độ chính sách cho lực lượng Kiểm ngư</w:t>
      </w:r>
      <w:r>
        <w:rPr>
          <w:sz w:val="28"/>
          <w:szCs w:val="28"/>
        </w:rPr>
        <w:t xml:space="preserve">; </w:t>
      </w:r>
      <w:r>
        <w:rPr>
          <w:sz w:val="28"/>
          <w:szCs w:val="28"/>
          <w:lang w:val="vi-VN"/>
        </w:rPr>
        <w:t xml:space="preserve">sửa đổi bổ sung các Quy chế quản lý, Định mức kinh tế kỹ thuật chuyên ngành kiểm ngư.. </w:t>
      </w:r>
    </w:p>
    <w:p>
      <w:pPr>
        <w:pStyle w:val="ColorfulListAccent11"/>
        <w:widowControl w:val="false"/>
        <w:tabs>
          <w:tab w:val="clear" w:pos="720"/>
          <w:tab w:val="left" w:pos="990" w:leader="none"/>
        </w:tabs>
        <w:spacing w:before="100" w:after="0"/>
        <w:ind w:left="0" w:firstLine="720"/>
        <w:contextualSpacing w:val="false"/>
        <w:jc w:val="both"/>
        <w:rPr/>
      </w:pPr>
      <w:r>
        <w:rPr>
          <w:b/>
          <w:szCs w:val="28"/>
          <w:lang w:val="sv-SE"/>
        </w:rPr>
        <w:t xml:space="preserve">4. Lâm nghiệp </w:t>
      </w:r>
    </w:p>
    <w:p>
      <w:pPr>
        <w:pStyle w:val="ListParagraph"/>
        <w:widowControl w:val="false"/>
        <w:spacing w:lineRule="auto" w:line="240" w:before="100" w:after="0"/>
        <w:ind w:left="0" w:firstLine="709"/>
        <w:contextualSpacing w:val="false"/>
        <w:jc w:val="both"/>
        <w:rPr/>
      </w:pPr>
      <w:bookmarkStart w:id="33" w:name="_Hlk65160762"/>
      <w:bookmarkEnd w:id="33"/>
      <w:r>
        <w:rPr>
          <w:rFonts w:eastAsia="Times New Roman"/>
          <w:szCs w:val="28"/>
          <w:lang w:val="de-DE" w:eastAsia="de-DE"/>
        </w:rPr>
        <w:t>- Chỉ đạo, đôn đốc Chi cục Kiểm lâm các tỉnh thực hiện các biện pháp PCCCR, bố trí lực lượng thường trực tại các vùng rừng có nguy cơ cháy cao</w:t>
      </w:r>
      <w:r>
        <w:rPr>
          <w:rFonts w:eastAsia="Times New Roman"/>
          <w:bCs/>
          <w:szCs w:val="28"/>
          <w:lang w:val="de-DE" w:eastAsia="de-DE"/>
        </w:rPr>
        <w:t>; duy trì thường trực công tác phòng cháy, chữa cháy rừng, đảm bảo 24/24 giờ tại Cục Kiểm lâm và các Chi cục Kiểm lâm vùng.</w:t>
      </w:r>
      <w:r>
        <w:rPr>
          <w:rFonts w:eastAsia="Times New Roman"/>
          <w:szCs w:val="28"/>
          <w:lang w:val="de-DE" w:eastAsia="de-DE"/>
        </w:rPr>
        <w:t xml:space="preserve"> </w:t>
      </w:r>
    </w:p>
    <w:p>
      <w:pPr>
        <w:pStyle w:val="ListParagraph"/>
        <w:widowControl w:val="false"/>
        <w:spacing w:lineRule="auto" w:line="240" w:before="100" w:after="0"/>
        <w:ind w:left="0" w:firstLine="709"/>
        <w:contextualSpacing w:val="false"/>
        <w:jc w:val="both"/>
        <w:rPr/>
      </w:pPr>
      <w:r>
        <w:rPr>
          <w:rFonts w:eastAsia="Times New Roman"/>
          <w:szCs w:val="28"/>
          <w:lang w:val="de-DE" w:eastAsia="de-DE"/>
        </w:rPr>
        <w:t>- Phối hợp với các phương tiện thông tin đại chúng tuyên truyền, cảnh báo nguy cơ cháy rừng sâu rộng; Triển khai hệ thống thông tin liên lạc trong trực cháy, chỉ huy chữa cháy rừng đến các tỉnh, huyện vùng trọng điểm.</w:t>
      </w:r>
    </w:p>
    <w:p>
      <w:pPr>
        <w:pStyle w:val="Normal"/>
        <w:widowControl w:val="false"/>
        <w:shd w:fill="FFFFFF" w:val="clear"/>
        <w:tabs>
          <w:tab w:val="clear" w:pos="720"/>
          <w:tab w:val="left" w:pos="851" w:leader="none"/>
        </w:tabs>
        <w:spacing w:before="100" w:after="0"/>
        <w:ind w:firstLine="709"/>
        <w:jc w:val="both"/>
        <w:rPr/>
      </w:pPr>
      <w:r>
        <w:rPr>
          <w:sz w:val="28"/>
          <w:szCs w:val="28"/>
        </w:rPr>
        <w:t>- Tiếp tục chỉ đạo, đôn đốc các địa phương chuẩn bị cây giống và hiện trường để trồng rừng theo kế hoạch năm 2022. Hoàn thiện và</w:t>
      </w:r>
      <w:r>
        <w:rPr>
          <w:sz w:val="28"/>
          <w:szCs w:val="28"/>
          <w:lang w:val="vi-VN"/>
        </w:rPr>
        <w:t xml:space="preserve"> </w:t>
      </w:r>
      <w:r>
        <w:rPr>
          <w:sz w:val="28"/>
          <w:szCs w:val="28"/>
        </w:rPr>
        <w:t xml:space="preserve">phối hợp với Văn phòng Chính phủ, các bộ liên quan để trình Thủ tướng Chính phủ phê duyệt </w:t>
      </w:r>
      <w:r>
        <w:rPr>
          <w:sz w:val="28"/>
          <w:szCs w:val="28"/>
          <w:lang w:val="vi-VN"/>
        </w:rPr>
        <w:t>Báo cáo nghiên cứu khả thi Chương trình phát triển Lâm nghiệp bền vững giai đoạn 2021-2025</w:t>
      </w:r>
      <w:r>
        <w:rPr>
          <w:sz w:val="28"/>
          <w:szCs w:val="28"/>
        </w:rPr>
        <w:t xml:space="preserve"> và Đề án thí điểm cho thuê môi trường rừng để nuôi trồng, phát triển cây dược liệu. </w:t>
      </w:r>
    </w:p>
    <w:p>
      <w:pPr>
        <w:pStyle w:val="Normal"/>
        <w:widowControl w:val="false"/>
        <w:spacing w:before="100" w:after="0"/>
        <w:ind w:firstLine="709"/>
        <w:jc w:val="both"/>
        <w:rPr/>
      </w:pPr>
      <w:bookmarkStart w:id="34" w:name="_Hlk65160762"/>
      <w:bookmarkEnd w:id="34"/>
      <w:r>
        <w:rPr>
          <w:b/>
          <w:bCs/>
          <w:sz w:val="28"/>
          <w:szCs w:val="28"/>
          <w:lang w:val="sv-SE"/>
        </w:rPr>
        <w:t>5. Thủy lợi, phòng chống thiên tai</w:t>
      </w:r>
    </w:p>
    <w:p>
      <w:pPr>
        <w:pStyle w:val="Normal"/>
        <w:widowControl w:val="false"/>
        <w:spacing w:before="100" w:after="0"/>
        <w:ind w:firstLine="720"/>
        <w:jc w:val="both"/>
        <w:rPr/>
      </w:pPr>
      <w:bookmarkStart w:id="35" w:name="_Hlk62819938"/>
      <w:bookmarkStart w:id="36" w:name="_Hlk57618114"/>
      <w:bookmarkStart w:id="37" w:name="_Hlk54712029"/>
      <w:bookmarkEnd w:id="35"/>
      <w:bookmarkEnd w:id="36"/>
      <w:bookmarkEnd w:id="37"/>
      <w:r>
        <w:rPr>
          <w:sz w:val="28"/>
          <w:szCs w:val="28"/>
        </w:rPr>
        <w:t>- Theo dõi chặt chẽ tình hình thời tiết, nguồn nước để chỉ đạo ứng phó kịp thời, hỗ trợ các cấp chính quyền và người dân chủ động phòng tránh thiên tai; Chỉ đạo các địa phương tăng cường công tác quản lý, vận hành đảm bảo an toàn đập, hồ chứa thủy lợi, tăng cường các giải pháp phòng, chống thiên tai</w:t>
      </w:r>
      <w:r>
        <w:rPr>
          <w:sz w:val="28"/>
          <w:szCs w:val="28"/>
          <w:shd w:fill="FFFFFF" w:val="clear"/>
        </w:rPr>
        <w:t xml:space="preserve"> hiệu quả, giảm thiểu thiệt hại đến mức thấp nhất cho kinh tế, sản xuất, đời sống người dân.</w:t>
      </w:r>
      <w:r>
        <w:rPr>
          <w:b/>
          <w:sz w:val="28"/>
          <w:szCs w:val="28"/>
          <w:shd w:fill="FFFFFF" w:val="clear"/>
        </w:rPr>
        <w:t xml:space="preserve"> </w:t>
      </w:r>
    </w:p>
    <w:p>
      <w:pPr>
        <w:pStyle w:val="Normal"/>
        <w:widowControl w:val="false"/>
        <w:spacing w:before="100" w:after="0"/>
        <w:ind w:firstLine="567"/>
        <w:jc w:val="both"/>
        <w:rPr>
          <w:sz w:val="28"/>
          <w:szCs w:val="28"/>
          <w:lang w:val="af-ZA"/>
        </w:rPr>
      </w:pPr>
      <w:r>
        <w:rPr>
          <w:rStyle w:val="Fontstyle01"/>
          <w:rFonts w:cs="Times New Roman"/>
          <w:color w:val="000000"/>
        </w:rPr>
        <w:t>- Tổ chức lấy ý kiến rộng rãi Nghị định sửa đổi, bổ sung một số điều của Nghị định số 02/2017/NĐ-CP ngày 09/01/2017</w:t>
      </w:r>
      <w:r>
        <w:rPr>
          <w:sz w:val="28"/>
          <w:szCs w:val="28"/>
          <w:lang w:val="af-ZA"/>
        </w:rPr>
        <w:t xml:space="preserve">. </w:t>
      </w:r>
      <w:r>
        <w:rPr>
          <w:sz w:val="28"/>
          <w:szCs w:val="28"/>
          <w:lang w:val="it-IT"/>
        </w:rPr>
        <w:t>Chỉnh sửa, hoàn thiện Chương trình tổng thể phòng, chống thiên tai quốc gia. Rà soát Quy hoạch phòng, chống lũ và quy hoạch đê điều hệ thống sông Hồng, sông Thái Bình</w:t>
      </w:r>
    </w:p>
    <w:p>
      <w:pPr>
        <w:pStyle w:val="Normal"/>
        <w:spacing w:before="100" w:after="0"/>
        <w:ind w:firstLine="567"/>
        <w:jc w:val="both"/>
        <w:rPr/>
      </w:pPr>
      <w:r>
        <w:rPr>
          <w:sz w:val="28"/>
          <w:szCs w:val="28"/>
        </w:rPr>
        <w:t>- Theo dõi chặt chẽ tình hình xâm nhập mặn mùa khô 2021-2022 tại khu vực Đồng bằng sông Cửu Long, kịp thời cung cấp cho các địa phương tổ chức sản xuất. Tổ chức họp Hội đồng thẩm định của Thủ tướng về Quy hoạch phòng, chống thiên tai và Thủy lợi giai đoạn 2021-2030, tầm nhìn 2045. Hoàn thành Hồ sơ và các nội dung về Đề án “An ninh nguồn nước và an toàn đập, hồ chứa giai đoạn 2021-2025, tầm nhìn 2045” để báo cáo Bộ Chính trị.</w:t>
      </w:r>
    </w:p>
    <w:p>
      <w:pPr>
        <w:pStyle w:val="Default"/>
        <w:widowControl w:val="false"/>
        <w:tabs>
          <w:tab w:val="clear" w:pos="720"/>
          <w:tab w:val="left" w:pos="6855" w:leader="none"/>
        </w:tabs>
        <w:spacing w:before="100" w:after="0"/>
        <w:ind w:firstLine="709"/>
        <w:jc w:val="both"/>
        <w:rPr>
          <w:b/>
          <w:b/>
          <w:color w:val="000000"/>
          <w:sz w:val="28"/>
          <w:szCs w:val="28"/>
        </w:rPr>
      </w:pPr>
      <w:bookmarkStart w:id="38" w:name="_Hlk62819938"/>
      <w:bookmarkStart w:id="39" w:name="_Hlk57618114"/>
      <w:bookmarkStart w:id="40" w:name="_Hlk54712029"/>
      <w:bookmarkEnd w:id="38"/>
      <w:bookmarkEnd w:id="39"/>
      <w:bookmarkEnd w:id="40"/>
      <w:r>
        <w:rPr>
          <w:b/>
          <w:color w:val="000000"/>
          <w:sz w:val="28"/>
          <w:szCs w:val="28"/>
          <w:lang w:val="nb-NO"/>
        </w:rPr>
        <w:t>6.</w:t>
      </w:r>
      <w:r>
        <w:rPr>
          <w:b/>
          <w:color w:val="000000"/>
          <w:sz w:val="28"/>
          <w:szCs w:val="28"/>
          <w:lang w:val="vi-VN"/>
        </w:rPr>
        <w:t xml:space="preserve"> </w:t>
      </w:r>
      <w:bookmarkStart w:id="41" w:name="_Hlk83830014"/>
      <w:r>
        <w:rPr>
          <w:b/>
          <w:color w:val="000000"/>
          <w:sz w:val="28"/>
          <w:szCs w:val="28"/>
          <w:lang w:val="vi-VN"/>
        </w:rPr>
        <w:t xml:space="preserve">Hợp tác quốc tế và </w:t>
      </w:r>
      <w:r>
        <w:rPr>
          <w:b/>
          <w:color w:val="000000"/>
          <w:sz w:val="28"/>
          <w:szCs w:val="28"/>
          <w:lang w:val="nb-NO"/>
        </w:rPr>
        <w:t>phát triển thị trường</w:t>
      </w:r>
      <w:bookmarkEnd w:id="41"/>
      <w:r>
        <w:rPr>
          <w:b/>
          <w:color w:val="000000"/>
          <w:sz w:val="28"/>
          <w:szCs w:val="28"/>
          <w:lang w:val="vi-VN"/>
        </w:rPr>
        <w:t xml:space="preserve"> </w:t>
      </w:r>
    </w:p>
    <w:p>
      <w:pPr>
        <w:pStyle w:val="Normal"/>
        <w:widowControl w:val="false"/>
        <w:tabs>
          <w:tab w:val="clear" w:pos="720"/>
          <w:tab w:val="left" w:pos="993" w:leader="none"/>
        </w:tabs>
        <w:spacing w:before="100" w:after="0"/>
        <w:ind w:firstLine="709"/>
        <w:jc w:val="both"/>
        <w:rPr>
          <w:sz w:val="28"/>
          <w:szCs w:val="28"/>
        </w:rPr>
      </w:pPr>
      <w:bookmarkStart w:id="42" w:name="_Hlk83738554"/>
      <w:bookmarkStart w:id="43" w:name="_Hlk62819997"/>
      <w:bookmarkEnd w:id="43"/>
      <w:r>
        <w:rPr>
          <w:rFonts w:eastAsia="Batang;바탕"/>
          <w:sz w:val="28"/>
          <w:szCs w:val="28"/>
          <w:lang w:val="es-ES" w:eastAsia="ko-KR"/>
        </w:rPr>
        <w:t xml:space="preserve">- Theo dõi, nắm bắt và tổng hợp thông tin, số liệu về giá cả, tình hình sản xuất, nguồn cung các mặt hàng nông sản tại các địa phương và tăng cường hỗ trợ kết nối, thúc đẩy chế biến, tiêu thụ trong nước và xuất khẩu (đặc biệt tại các cửa khẩu). </w:t>
      </w:r>
      <w:bookmarkEnd w:id="42"/>
      <w:r>
        <w:rPr>
          <w:sz w:val="28"/>
          <w:szCs w:val="28"/>
          <w:lang w:val="es-ES"/>
        </w:rPr>
        <w:t>Triển khai cập nhật hệ thống phần mềm dữ liệu cung cầu nông sản từ địa phương. Tổ chức khóa đào tạo tập huấn về “Chất lượng, ATTP, truy xuất nguồn gốc trong sản xuất, chế biến nông sản” – bước đầu của</w:t>
      </w:r>
      <w:r>
        <w:rPr>
          <w:rFonts w:eastAsia="Batang;바탕"/>
          <w:sz w:val="28"/>
          <w:szCs w:val="28"/>
          <w:lang w:val="es-ES" w:eastAsia="ko-KR"/>
        </w:rPr>
        <w:t xml:space="preserve"> Quy trình số hóa 3 bước cho nông sản Việt; chuẩn bị </w:t>
      </w:r>
      <w:r>
        <w:rPr>
          <w:sz w:val="28"/>
          <w:szCs w:val="28"/>
        </w:rPr>
        <w:t xml:space="preserve">Hội thảo phổ biến </w:t>
      </w:r>
      <w:r>
        <w:rPr>
          <w:sz w:val="28"/>
          <w:szCs w:val="28"/>
          <w:lang w:val="vi-VN"/>
        </w:rPr>
        <w:t>05</w:t>
      </w:r>
      <w:r>
        <w:rPr>
          <w:sz w:val="28"/>
          <w:szCs w:val="28"/>
        </w:rPr>
        <w:t xml:space="preserve"> quy trình</w:t>
      </w:r>
      <w:r>
        <w:rPr>
          <w:sz w:val="28"/>
          <w:szCs w:val="28"/>
          <w:lang w:val="vi-VN"/>
        </w:rPr>
        <w:t xml:space="preserve"> sản xuất nông nghiệp hữu cơ</w:t>
      </w:r>
      <w:r>
        <w:rPr>
          <w:sz w:val="28"/>
          <w:szCs w:val="28"/>
          <w:lang w:val="es-ES"/>
        </w:rPr>
        <w:t xml:space="preserve"> </w:t>
      </w:r>
    </w:p>
    <w:p>
      <w:pPr>
        <w:pStyle w:val="Normal"/>
        <w:widowControl w:val="false"/>
        <w:tabs>
          <w:tab w:val="clear" w:pos="720"/>
          <w:tab w:val="left" w:pos="709" w:leader="none"/>
        </w:tabs>
        <w:spacing w:before="100" w:after="0"/>
        <w:jc w:val="both"/>
        <w:rPr>
          <w:sz w:val="28"/>
          <w:szCs w:val="28"/>
          <w:lang w:val="es-ES"/>
        </w:rPr>
      </w:pPr>
      <w:r>
        <w:rPr>
          <w:sz w:val="28"/>
          <w:szCs w:val="28"/>
          <w:lang w:val="es-ES"/>
        </w:rPr>
        <w:tab/>
      </w:r>
      <w:bookmarkStart w:id="44" w:name="_Hlk83738571"/>
      <w:r>
        <w:rPr>
          <w:sz w:val="28"/>
          <w:szCs w:val="28"/>
          <w:lang w:val="es-ES"/>
        </w:rPr>
        <w:t xml:space="preserve">- Tiếp tục thúc đẩy mở cửa thị trường nông sản với các nước; kịp thời cung cấp các thông tin, các quy định thị trường, kiểm soát xuất nhập khẩu Việt Nam-Trung Quốc. Chuẩn bị </w:t>
      </w:r>
      <w:r>
        <w:rPr>
          <w:sz w:val="28"/>
          <w:szCs w:val="28"/>
        </w:rPr>
        <w:t xml:space="preserve">tổ chức Đoàn giao thương, quảng bá chuỗi cung ứng trái cây, thủy sản tại Trung Quốc thuộc chương trình Xúc tiến thương mại quốc gia. Đàm phán để </w:t>
      </w:r>
      <w:r>
        <w:rPr>
          <w:sz w:val="28"/>
          <w:szCs w:val="28"/>
          <w:lang w:val="pt-BR"/>
        </w:rPr>
        <w:t>xuất khẩu chôm chôm, chanh, bưởi từ Việt Nam sang NewZealand</w:t>
      </w:r>
      <w:r>
        <w:rPr>
          <w:rFonts w:eastAsia="Batang;바탕"/>
          <w:sz w:val="28"/>
          <w:szCs w:val="28"/>
          <w:lang w:val="es-ES" w:eastAsia="ko-KR"/>
        </w:rPr>
        <w:t xml:space="preserve"> Chuẩn bị nội dung làm việc song phương với Anh, Đức, Pháp, Tây Ban Nha, Hàn Quốc. Xây dựng Đề án thúc đẩy xuất khẩu nông lâm thủy sản đi EU, Hoa Kỳ, Trung Quốc, Nhật Bản.</w:t>
      </w:r>
    </w:p>
    <w:p>
      <w:pPr>
        <w:pStyle w:val="Normal"/>
        <w:widowControl w:val="false"/>
        <w:tabs>
          <w:tab w:val="clear" w:pos="720"/>
          <w:tab w:val="left" w:pos="560" w:leader="none"/>
        </w:tabs>
        <w:autoSpaceDE w:val="false"/>
        <w:spacing w:before="100" w:after="0"/>
        <w:ind w:right="-90" w:firstLine="709"/>
        <w:jc w:val="both"/>
        <w:rPr/>
      </w:pPr>
      <w:bookmarkEnd w:id="44"/>
      <w:r>
        <w:rPr>
          <w:sz w:val="28"/>
          <w:szCs w:val="28"/>
        </w:rPr>
        <w:t xml:space="preserve">- Tiếp tục tổng hợp các thông báo và cảnh báo từ các đối tác thương mại và các nước thành viên WTO, phản hồi các góp ý đối với dự thảo biện pháp SPS mới của Việt Nam đã thông báo với WTO; </w:t>
      </w:r>
      <w:r>
        <w:rPr>
          <w:sz w:val="28"/>
          <w:szCs w:val="28"/>
          <w:lang w:val="vi-VN"/>
        </w:rPr>
        <w:t>tháo gỡ vướng mắc với TCHQ</w:t>
      </w:r>
      <w:r>
        <w:rPr>
          <w:sz w:val="28"/>
          <w:szCs w:val="28"/>
        </w:rPr>
        <w:t xml:space="preserve"> Trung Quốc</w:t>
      </w:r>
      <w:r>
        <w:rPr>
          <w:sz w:val="28"/>
          <w:szCs w:val="28"/>
          <w:lang w:val="vi-VN"/>
        </w:rPr>
        <w:t xml:space="preserve"> </w:t>
      </w:r>
      <w:r>
        <w:rPr>
          <w:sz w:val="28"/>
          <w:szCs w:val="28"/>
        </w:rPr>
        <w:t xml:space="preserve">phù hợp quy định </w:t>
      </w:r>
      <w:r>
        <w:rPr>
          <w:sz w:val="28"/>
          <w:szCs w:val="28"/>
          <w:lang w:val="vi-VN"/>
        </w:rPr>
        <w:t>Lệnh 248, 249.</w:t>
      </w:r>
      <w:r>
        <w:rPr>
          <w:sz w:val="28"/>
          <w:szCs w:val="28"/>
        </w:rPr>
        <w:t xml:space="preserve"> </w:t>
      </w:r>
    </w:p>
    <w:p>
      <w:pPr>
        <w:pStyle w:val="Normal"/>
        <w:widowControl w:val="false"/>
        <w:spacing w:before="100" w:after="0"/>
        <w:ind w:firstLine="700"/>
        <w:jc w:val="both"/>
        <w:rPr/>
      </w:pPr>
      <w:bookmarkStart w:id="45" w:name="_Hlk62819997"/>
      <w:bookmarkEnd w:id="45"/>
      <w:r>
        <w:rPr>
          <w:rStyle w:val="StrongEmphasis"/>
          <w:bCs w:val="false"/>
          <w:sz w:val="28"/>
          <w:szCs w:val="28"/>
        </w:rPr>
        <w:t>7. Quản lý chất lượng và an toàn vệ sinh thực phẩm</w:t>
        <w:tab/>
      </w:r>
    </w:p>
    <w:p>
      <w:pPr>
        <w:pStyle w:val="Linh11"/>
        <w:tabs>
          <w:tab w:val="clear" w:pos="720"/>
          <w:tab w:val="left" w:pos="709" w:leader="none"/>
        </w:tabs>
        <w:spacing w:lineRule="auto" w:line="240" w:before="100" w:after="0"/>
        <w:ind w:firstLine="709"/>
        <w:jc w:val="both"/>
        <w:rPr/>
      </w:pPr>
      <w:r>
        <w:rPr>
          <w:b w:val="false"/>
          <w:lang w:val="sv-SE"/>
        </w:rPr>
        <w:t>- Tổ chức Hội nghị phổ biến, triển khai Đề án “Đảm bảo an toàn thực phẩm, nâng cao chất lượng nông lâm thủy sản giai đoạn 2021-2030” và ký kết Chương trình phối hợp giữa Bộ Nông nghiệp và PTNT với UBND TP.Cần Thơ về đảm bảo an toàn thực phẩm, nâng cao chất lượng nông, lâm, thủy sản giai đoạn 2022-2025.</w:t>
      </w:r>
    </w:p>
    <w:p>
      <w:pPr>
        <w:pStyle w:val="Normal"/>
        <w:widowControl w:val="false"/>
        <w:spacing w:before="100" w:after="0"/>
        <w:ind w:firstLine="720"/>
        <w:jc w:val="both"/>
        <w:rPr/>
      </w:pPr>
      <w:r>
        <w:rPr>
          <w:sz w:val="28"/>
          <w:szCs w:val="28"/>
          <w:lang w:val="it-IT"/>
        </w:rPr>
        <w:t xml:space="preserve">- Đôn đốc các địa phương tiếp tục triển khai nghiêm công tác bảo đảm an toàn thực phẩm; </w:t>
      </w:r>
      <w:r>
        <w:rPr>
          <w:sz w:val="28"/>
          <w:szCs w:val="28"/>
          <w:lang w:val="sv-SE"/>
        </w:rPr>
        <w:t xml:space="preserve">hướng dẫn, hỗ trợ doanh nghiệp khôi phục sản xuất kinh doanh đảm bảo chất lượng, an toàn thực phẩm và phòng chống Covid trong tình hình mới. </w:t>
      </w:r>
    </w:p>
    <w:p>
      <w:pPr>
        <w:pStyle w:val="Normal"/>
        <w:widowControl w:val="false"/>
        <w:spacing w:before="100" w:after="0"/>
        <w:ind w:firstLine="720"/>
        <w:jc w:val="both"/>
        <w:rPr/>
      </w:pPr>
      <w:r>
        <w:rPr>
          <w:sz w:val="28"/>
          <w:szCs w:val="28"/>
          <w:lang w:val="pt-BR"/>
        </w:rPr>
        <w:t>- H</w:t>
      </w:r>
      <w:r>
        <w:rPr>
          <w:sz w:val="28"/>
          <w:szCs w:val="28"/>
        </w:rPr>
        <w:t xml:space="preserve">ướng dẫn các địa phương </w:t>
      </w:r>
      <w:r>
        <w:rPr>
          <w:sz w:val="28"/>
          <w:szCs w:val="28"/>
          <w:lang w:val="sv-SE"/>
        </w:rPr>
        <w:t>tập trung nguồn lực t</w:t>
      </w:r>
      <w:r>
        <w:rPr>
          <w:bCs/>
          <w:sz w:val="28"/>
          <w:szCs w:val="28"/>
          <w:lang w:val="nl-NL"/>
        </w:rPr>
        <w:t xml:space="preserve">iếp tục nhân rộng số lượng, mở rộng quy mô chuỗi cung ứng nông lâm thủy sản an toàn; </w:t>
      </w:r>
      <w:r>
        <w:rPr>
          <w:sz w:val="28"/>
          <w:szCs w:val="28"/>
          <w:lang w:val="sv-SE"/>
        </w:rPr>
        <w:t>vận động cơ sở sản xuất, sơ chế, kinh doanh nhỏ lẻ ký cam kết và tuân thủ quy định ATTP</w:t>
      </w:r>
      <w:r>
        <w:rPr>
          <w:bCs/>
          <w:sz w:val="28"/>
          <w:szCs w:val="28"/>
          <w:lang w:val="nl-NL"/>
        </w:rPr>
        <w:t xml:space="preserve">. </w:t>
      </w:r>
    </w:p>
    <w:p>
      <w:pPr>
        <w:pStyle w:val="Normal"/>
        <w:widowControl w:val="false"/>
        <w:spacing w:before="100" w:after="0"/>
        <w:ind w:firstLine="720"/>
        <w:jc w:val="both"/>
        <w:rPr/>
      </w:pPr>
      <w:r>
        <w:rPr>
          <w:sz w:val="28"/>
          <w:szCs w:val="28"/>
          <w:lang w:val="nl-NL"/>
        </w:rPr>
        <w:t>- D</w:t>
      </w:r>
      <w:r>
        <w:rPr>
          <w:sz w:val="28"/>
          <w:szCs w:val="28"/>
          <w:lang w:val="sv-SE"/>
        </w:rPr>
        <w:t xml:space="preserve">uy trì triển khai các chương trình giám sát vệ sinh ATTP nông lâm thủy sản trong bối cảnh COVID-19 để kịp thời cảnh báo, xử lý vi phạm theo quy định. </w:t>
      </w:r>
      <w:r>
        <w:rPr>
          <w:bCs/>
          <w:sz w:val="28"/>
          <w:szCs w:val="28"/>
          <w:lang w:val="sv-SE"/>
        </w:rPr>
        <w:t xml:space="preserve">Chủ động tiếp nhận thông tin, </w:t>
      </w:r>
      <w:r>
        <w:rPr>
          <w:bCs/>
          <w:sz w:val="28"/>
          <w:szCs w:val="28"/>
          <w:lang w:val="nl-NL"/>
        </w:rPr>
        <w:t xml:space="preserve">thanh tra đột xuất, xử lý kịp thời, nghiêm túc các vi phạm về ATTP. </w:t>
      </w:r>
    </w:p>
    <w:p>
      <w:pPr>
        <w:pStyle w:val="Normal"/>
        <w:widowControl w:val="false"/>
        <w:spacing w:before="100" w:after="0"/>
        <w:ind w:firstLine="720"/>
        <w:jc w:val="both"/>
        <w:rPr>
          <w:sz w:val="28"/>
          <w:szCs w:val="28"/>
          <w:lang w:val="it-IT"/>
        </w:rPr>
      </w:pPr>
      <w:r>
        <w:rPr>
          <w:bCs/>
          <w:sz w:val="28"/>
          <w:szCs w:val="28"/>
          <w:lang w:val="nl-NL"/>
        </w:rPr>
        <w:t xml:space="preserve">- </w:t>
      </w:r>
      <w:r>
        <w:rPr>
          <w:bCs/>
          <w:iCs/>
          <w:sz w:val="28"/>
          <w:szCs w:val="28"/>
          <w:lang w:val="sv-SE"/>
        </w:rPr>
        <w:t>Cung cấp kịp thời, chính xác cho các Báo,</w:t>
      </w:r>
      <w:r>
        <w:rPr>
          <w:sz w:val="28"/>
          <w:szCs w:val="28"/>
          <w:lang w:val="nl-NL"/>
        </w:rPr>
        <w:t xml:space="preserve"> Đài thông tin quản lý chất lượng vật tư nông nghiệp, đảm bảo ATTP nông lâm thủy sản; </w:t>
      </w:r>
      <w:r>
        <w:rPr>
          <w:sz w:val="28"/>
          <w:szCs w:val="28"/>
          <w:lang w:val="sv-SE"/>
        </w:rPr>
        <w:t xml:space="preserve">phối hợp phổ biến pháp luật chất lượng, ATTP, truyền thông quảng bá sản xuất, kinh doanh nông lâm thủy sản đảm bảo chất lượng, an toàn. </w:t>
      </w:r>
    </w:p>
    <w:p>
      <w:pPr>
        <w:pStyle w:val="Normal"/>
        <w:widowControl w:val="false"/>
        <w:spacing w:before="100" w:after="0"/>
        <w:ind w:firstLine="720"/>
        <w:jc w:val="both"/>
        <w:rPr/>
      </w:pPr>
      <w:r>
        <w:rPr>
          <w:b/>
          <w:bCs/>
          <w:sz w:val="28"/>
          <w:szCs w:val="28"/>
          <w:lang w:val="nb-NO"/>
        </w:rPr>
        <w:t>8. Phát triển nông thôn và xây dựng nông thôn mới</w:t>
      </w:r>
    </w:p>
    <w:p>
      <w:pPr>
        <w:pStyle w:val="Normal"/>
        <w:widowControl w:val="false"/>
        <w:tabs>
          <w:tab w:val="clear" w:pos="720"/>
          <w:tab w:val="left" w:pos="709" w:leader="none"/>
        </w:tabs>
        <w:spacing w:before="100" w:after="0"/>
        <w:ind w:firstLine="720"/>
        <w:jc w:val="both"/>
        <w:rPr>
          <w:iCs/>
          <w:sz w:val="28"/>
          <w:szCs w:val="28"/>
        </w:rPr>
      </w:pPr>
      <w:r>
        <w:rPr>
          <w:sz w:val="28"/>
          <w:szCs w:val="28"/>
        </w:rPr>
        <w:t>- Xây dựng triển khai thực hiện “</w:t>
      </w:r>
      <w:r>
        <w:rPr>
          <w:iCs/>
          <w:sz w:val="28"/>
          <w:szCs w:val="28"/>
          <w:lang w:val="vi-VN"/>
        </w:rPr>
        <w:t xml:space="preserve">Đề án </w:t>
      </w:r>
      <w:r>
        <w:rPr>
          <w:iCs/>
          <w:sz w:val="28"/>
          <w:szCs w:val="28"/>
        </w:rPr>
        <w:t xml:space="preserve">nâng cao năng lực thích ứng với Biến đổi khí hậu cho </w:t>
      </w:r>
      <w:r>
        <w:rPr>
          <w:iCs/>
          <w:sz w:val="28"/>
          <w:szCs w:val="28"/>
          <w:lang w:val="vi-VN"/>
        </w:rPr>
        <w:t xml:space="preserve">hợp tác xã nông vùng Đồng bằng </w:t>
      </w:r>
      <w:r>
        <w:rPr>
          <w:iCs/>
          <w:sz w:val="28"/>
          <w:szCs w:val="28"/>
        </w:rPr>
        <w:t>sông Cửu Long</w:t>
      </w:r>
      <w:r>
        <w:rPr>
          <w:iCs/>
          <w:sz w:val="28"/>
          <w:szCs w:val="28"/>
          <w:lang w:val="vi-VN"/>
        </w:rPr>
        <w:t xml:space="preserve"> giai đoạn 2021-2025</w:t>
      </w:r>
      <w:r>
        <w:rPr>
          <w:iCs/>
          <w:sz w:val="28"/>
          <w:szCs w:val="28"/>
        </w:rPr>
        <w:t xml:space="preserve">” và </w:t>
      </w:r>
      <w:r>
        <w:rPr>
          <w:bCs/>
          <w:iCs/>
          <w:sz w:val="28"/>
          <w:szCs w:val="28"/>
        </w:rPr>
        <w:t xml:space="preserve">Nghị quyết của Chính phủ về phát triển HTX nông nghiệp phục vụ cơ cấu lại ngành nông nghiệp và xây dựng nông thôn </w:t>
      </w:r>
      <w:r>
        <w:rPr>
          <w:iCs/>
          <w:sz w:val="28"/>
          <w:szCs w:val="28"/>
        </w:rPr>
        <w:t xml:space="preserve">mới. Tiếp tục triển khai  các </w:t>
      </w:r>
      <w:r>
        <w:rPr>
          <w:sz w:val="28"/>
          <w:szCs w:val="28"/>
        </w:rPr>
        <w:t>Chương trình: giảm nghèo, không còn nạn đói; bảo hiểm nông nghiệp;…  Hoàn thiện báo cáo và dự thảo Quyết định “Chiến lược phát triển ngành nghề nông thôn đến năm 2030, tầm nhìn đến năm 2045”; “Đề án bảo tồn và phát triển làng nghề Việt Nam giai đoạn 2021-2030”; Chuẩn bị tổ chức Hội nghị triển khai Đề án thí điểm xây dựng vùng nguyên liệu cây ăn quả vùng miền núi phía Bắc đạt chuẩn phục vụ tiêu thụ trong nước và xuất khẩu giai đoạn 2022-2025 tại 02 tỉnh Hòa Bình và Sơn La; Hội nghị khởi động triển khai Dự án “Các Trung tâm Đổi mới sáng tạo xanh” tại các tỉnh vùng ĐBSCL.</w:t>
      </w:r>
    </w:p>
    <w:p>
      <w:pPr>
        <w:pStyle w:val="Normal"/>
        <w:tabs>
          <w:tab w:val="clear" w:pos="720"/>
          <w:tab w:val="left" w:pos="709" w:leader="none"/>
        </w:tabs>
        <w:spacing w:before="100" w:after="0"/>
        <w:jc w:val="both"/>
        <w:rPr/>
      </w:pPr>
      <w:r>
        <w:rPr>
          <w:sz w:val="28"/>
          <w:szCs w:val="28"/>
          <w:lang w:val="de-DE" w:eastAsia="ja-JP"/>
        </w:rPr>
        <w:tab/>
        <w:t xml:space="preserve">- Tiếp tục </w:t>
      </w:r>
      <w:r>
        <w:rPr>
          <w:sz w:val="28"/>
          <w:szCs w:val="28"/>
          <w:shd w:fill="FFFFFF" w:val="clear"/>
        </w:rPr>
        <w:t xml:space="preserve">xây dựng khung pháp lý và cơ chế chính sách thực hiện Chương trình giai đoạn 2021-2025; </w:t>
      </w:r>
      <w:r>
        <w:rPr>
          <w:bCs/>
          <w:sz w:val="28"/>
          <w:szCs w:val="28"/>
          <w:lang w:val="de-DE"/>
        </w:rPr>
        <w:t xml:space="preserve">Triển khai thông báo kế hoạch vốn năm 2022 và giai đoạn 2021-2025 cho các địa phương sau khi được Ủy ban Thường vụ Quốc hội và TTCP giao. </w:t>
      </w:r>
      <w:r>
        <w:rPr>
          <w:sz w:val="28"/>
          <w:szCs w:val="28"/>
        </w:rPr>
        <w:t>Tiếp tục hướng dẫn các địa phương triển khai Chương trình OCOP và tổ chức đánh giá, phân hạng sản phẩm OCOP cấp quốc gia năm 2022; tổ chức Diễn đàn kết nối sản phẩm OCOP vùng đồng bằng sông Cửu Long “Liên kết cùng phát triển - Đồng Tháp 2022”.</w:t>
      </w:r>
    </w:p>
    <w:p>
      <w:pPr>
        <w:pStyle w:val="Normal"/>
        <w:widowControl w:val="false"/>
        <w:spacing w:before="100" w:after="0"/>
        <w:ind w:firstLine="720"/>
        <w:jc w:val="both"/>
        <w:rPr>
          <w:b/>
          <w:b/>
          <w:sz w:val="28"/>
          <w:szCs w:val="28"/>
          <w:lang w:val="de-DE" w:eastAsia="ja-JP"/>
        </w:rPr>
      </w:pPr>
      <w:r>
        <w:rPr>
          <w:b/>
          <w:sz w:val="28"/>
          <w:szCs w:val="28"/>
          <w:lang w:val="de-DE" w:eastAsia="ja-JP"/>
        </w:rPr>
      </w:r>
    </w:p>
    <w:p>
      <w:pPr>
        <w:pStyle w:val="Normal"/>
        <w:widowControl w:val="false"/>
        <w:spacing w:before="100" w:after="0"/>
        <w:ind w:firstLine="720"/>
        <w:jc w:val="both"/>
        <w:rPr/>
      </w:pPr>
      <w:r>
        <w:rPr>
          <w:b/>
          <w:sz w:val="28"/>
          <w:szCs w:val="28"/>
          <w:lang w:val="de-DE" w:eastAsia="ja-JP"/>
        </w:rPr>
        <w:t>9.</w:t>
      </w:r>
      <w:r>
        <w:rPr>
          <w:b/>
          <w:sz w:val="28"/>
          <w:szCs w:val="28"/>
          <w:lang w:val="nb-NO"/>
        </w:rPr>
        <w:t xml:space="preserve"> Đầu tư xây dựng cơ bản</w:t>
      </w:r>
    </w:p>
    <w:p>
      <w:pPr>
        <w:pStyle w:val="BodyText2"/>
        <w:widowControl w:val="false"/>
        <w:tabs>
          <w:tab w:val="clear" w:pos="720"/>
          <w:tab w:val="left" w:pos="709" w:leader="none"/>
          <w:tab w:val="left" w:pos="851" w:leader="none"/>
        </w:tabs>
        <w:spacing w:before="100" w:after="0"/>
        <w:ind w:firstLine="709"/>
        <w:rPr>
          <w:rFonts w:ascii="Times New Roman" w:hAnsi="Times New Roman" w:cs="Times New Roman"/>
          <w:color w:val="000000"/>
          <w:sz w:val="28"/>
          <w:szCs w:val="28"/>
        </w:rPr>
      </w:pPr>
      <w:bookmarkStart w:id="46" w:name="_Hlk65160903"/>
      <w:bookmarkStart w:id="47" w:name="_Hlk62820197"/>
      <w:bookmarkEnd w:id="46"/>
      <w:bookmarkEnd w:id="47"/>
      <w:r>
        <w:rPr>
          <w:rFonts w:cs="Times New Roman" w:ascii="Times New Roman" w:hAnsi="Times New Roman"/>
          <w:color w:val="000000"/>
          <w:sz w:val="28"/>
          <w:szCs w:val="28"/>
        </w:rPr>
        <w:t xml:space="preserve">- Đôn đốc các Chủ đầu tư tổ chức thực hiện tốt khảo sát, lập báo cáo NCKT các dự án giai đoạn 2021-2025 đảm bảo tiến độ, tập trung vào các dự án dự định khởi công trong năm 2022; chủ động trong công tác phòng, chống thiên tai, đảm bảo an toàn cho các công trình đang triển khai thực hiện; tổ chức các đoàn đi thực tế hiện trường các dự án; Phê duyệt một số dự án mở mới giai đoạn 2021-2025.  </w:t>
      </w:r>
    </w:p>
    <w:p>
      <w:pPr>
        <w:pStyle w:val="BodyText2"/>
        <w:tabs>
          <w:tab w:val="clear" w:pos="720"/>
          <w:tab w:val="left" w:pos="709" w:leader="none"/>
          <w:tab w:val="left" w:pos="851" w:leader="none"/>
        </w:tabs>
        <w:spacing w:before="100" w:after="0"/>
        <w:rPr>
          <w:rFonts w:ascii="Times New Roman" w:hAnsi="Times New Roman" w:cs="Times New Roman"/>
          <w:color w:val="000000"/>
          <w:sz w:val="28"/>
          <w:szCs w:val="28"/>
        </w:rPr>
      </w:pPr>
      <w:r>
        <w:rPr>
          <w:rFonts w:cs="Times New Roman" w:ascii="Times New Roman" w:hAnsi="Times New Roman"/>
          <w:color w:val="000000"/>
          <w:sz w:val="28"/>
          <w:szCs w:val="28"/>
        </w:rPr>
        <w:tab/>
        <w:t>- Kiểm tra kiểm tra tiến độ thực hiện dự án, công tác nghiệm thu hoàn thành dự án của chủ đầu tư các dự án giai đoạn 2016-2020; điều chỉnh một số dự án khối thuỷ lợi phục vụ quyết toán;</w:t>
      </w:r>
    </w:p>
    <w:p>
      <w:pPr>
        <w:pStyle w:val="BodyText2"/>
        <w:spacing w:before="100" w:after="0"/>
        <w:ind w:firstLine="720"/>
        <w:rPr>
          <w:rFonts w:ascii="Times New Roman" w:hAnsi="Times New Roman" w:cs="Times New Roman"/>
          <w:color w:val="000000"/>
          <w:sz w:val="28"/>
          <w:szCs w:val="28"/>
        </w:rPr>
      </w:pPr>
      <w:r>
        <w:rPr>
          <w:rFonts w:cs="Times New Roman" w:ascii="Times New Roman" w:hAnsi="Times New Roman"/>
          <w:color w:val="000000"/>
          <w:sz w:val="28"/>
          <w:szCs w:val="28"/>
        </w:rPr>
        <w:t>- Làm việc với các Bộ: Tài Nguyên Môi trường, Tài Chính để hướng dẫn các chủ đầu tư phương án xử lý đối với các khó khăn vướng mắc về GPMB, khung chính sách, xây dựng trụ sở. Xây dựng thử nghiệm hệ thống thông tin báo cáo trong quản lý đầu tư xây dựng của Bộ.</w:t>
      </w:r>
    </w:p>
    <w:p>
      <w:pPr>
        <w:pStyle w:val="Normal"/>
        <w:widowControl w:val="false"/>
        <w:spacing w:before="100" w:after="0"/>
        <w:ind w:firstLine="720"/>
        <w:jc w:val="both"/>
        <w:rPr/>
      </w:pPr>
      <w:bookmarkStart w:id="48" w:name="_Hlk65160903"/>
      <w:bookmarkStart w:id="49" w:name="_Hlk62820197"/>
      <w:bookmarkEnd w:id="48"/>
      <w:bookmarkEnd w:id="49"/>
      <w:r>
        <w:rPr>
          <w:b/>
          <w:sz w:val="28"/>
          <w:szCs w:val="28"/>
          <w:lang w:val="de-DE" w:eastAsia="ja-JP"/>
        </w:rPr>
        <w:t>10.</w:t>
      </w:r>
      <w:r>
        <w:rPr>
          <w:b/>
          <w:sz w:val="28"/>
          <w:szCs w:val="28"/>
          <w:lang w:val="da-DK"/>
        </w:rPr>
        <w:t xml:space="preserve"> Các nhiệm vụ khác</w:t>
      </w:r>
    </w:p>
    <w:p>
      <w:pPr>
        <w:pStyle w:val="Normal"/>
        <w:widowControl w:val="false"/>
        <w:spacing w:before="100" w:after="0"/>
        <w:ind w:firstLine="720"/>
        <w:jc w:val="both"/>
        <w:rPr>
          <w:sz w:val="28"/>
          <w:szCs w:val="28"/>
          <w:lang w:val="da-DK"/>
        </w:rPr>
      </w:pPr>
      <w:r>
        <w:rPr>
          <w:iCs/>
          <w:sz w:val="28"/>
          <w:szCs w:val="28"/>
          <w:lang w:val="da-DK"/>
        </w:rPr>
        <w:t>- K</w:t>
      </w:r>
      <w:r>
        <w:rPr>
          <w:iCs/>
          <w:sz w:val="28"/>
          <w:szCs w:val="28"/>
          <w:lang w:val="vi-VN"/>
        </w:rPr>
        <w:t>ế hoạch, tài chính</w:t>
      </w:r>
      <w:r>
        <w:rPr>
          <w:iCs/>
          <w:sz w:val="28"/>
          <w:szCs w:val="28"/>
          <w:lang w:val="da-DK"/>
        </w:rPr>
        <w:t xml:space="preserve">: </w:t>
      </w:r>
      <w:bookmarkStart w:id="50" w:name="_Hlk83738655"/>
      <w:r>
        <w:rPr>
          <w:iCs/>
          <w:sz w:val="28"/>
          <w:szCs w:val="28"/>
          <w:lang w:val="da-DK"/>
        </w:rPr>
        <w:t>Ban hành Kế hoạch triển khai thực hiện</w:t>
      </w:r>
      <w:r>
        <w:rPr>
          <w:bCs/>
          <w:iCs/>
          <w:sz w:val="28"/>
          <w:szCs w:val="28"/>
          <w:lang w:val="da-DK"/>
        </w:rPr>
        <w:t xml:space="preserve"> Chiến lược phát triển nông nghiệp, nông thôn bền vững giai đoạn 2021-2030 và tầm nhìn đến năm 2050. </w:t>
      </w:r>
      <w:bookmarkEnd w:id="50"/>
      <w:r>
        <w:rPr>
          <w:sz w:val="28"/>
          <w:szCs w:val="28"/>
          <w:lang w:val="sv-SE"/>
        </w:rPr>
        <w:t>Tiếp tục giao kinh phí ngân sách Nhà nước năm 2022 cho các đơn vị; quyết toán nguồn kinh phí năm 2021 và đón đoàn kiểm toán Nhà nước.</w:t>
      </w:r>
    </w:p>
    <w:p>
      <w:pPr>
        <w:pStyle w:val="Normal"/>
        <w:widowControl w:val="false"/>
        <w:spacing w:before="100" w:after="0"/>
        <w:ind w:firstLine="720"/>
        <w:jc w:val="both"/>
        <w:rPr/>
      </w:pPr>
      <w:r>
        <w:rPr>
          <w:sz w:val="28"/>
          <w:szCs w:val="28"/>
        </w:rPr>
        <w:t>- Quy hoạch: Các Tổng cục tập trung thực hiện hoàn thành các nội dung đã đề ra để: chuẩn bị họp HĐTĐ 02 Quy hoạch (PCTT và TL; Lâm nghiệp) vào Quý II; 02 quy hoạch thủy sản trình phê duyệt, tổ chức họp HĐTĐ vào Quý III và IV.</w:t>
      </w:r>
    </w:p>
    <w:p>
      <w:pPr>
        <w:pStyle w:val="Normal"/>
        <w:widowControl w:val="false"/>
        <w:autoSpaceDE w:val="false"/>
        <w:spacing w:before="100" w:after="0"/>
        <w:ind w:right="85" w:firstLine="709"/>
        <w:jc w:val="both"/>
        <w:rPr/>
      </w:pPr>
      <w:r>
        <w:rPr>
          <w:sz w:val="28"/>
          <w:szCs w:val="28"/>
          <w:lang w:val="es-ES"/>
        </w:rPr>
        <w:t>- Tổ chức cán bộ:</w:t>
      </w:r>
      <w:r>
        <w:rPr>
          <w:i/>
          <w:sz w:val="28"/>
          <w:szCs w:val="28"/>
          <w:lang w:val="es-ES"/>
        </w:rPr>
        <w:t xml:space="preserve"> </w:t>
      </w:r>
      <w:r>
        <w:rPr>
          <w:sz w:val="28"/>
          <w:szCs w:val="28"/>
        </w:rPr>
        <w:t>Xây dựng Dự thảo Quyết định/Thông tư quy định danh mục vị trí công tác và thời hạn định kỳ chuyển đổi vị trí công tác đối với công chức, viên chức ngành NN và PTNT; Danh mục các vị trí trọng yếu cơ mật của ngành; Hướng dẫn thực hiện Nghị định 138; Nghị định 115; chuẩn bị Hội nghị đào tạo sau Đại học. Sửa đổi Quy chế xét Khen thưởng của Bộ; Quy chế Danh hiệu “Doanh nghiệp vì nhà nông” lần thứ III.</w:t>
      </w:r>
    </w:p>
    <w:p>
      <w:pPr>
        <w:pStyle w:val="Contents"/>
        <w:spacing w:before="100" w:after="0"/>
        <w:rPr/>
      </w:pPr>
      <w:r>
        <w:rPr/>
        <w:t>- Khoa học công nghệ: Xem xét phê duyệt danh mục đặt hàng nhiệm vụ KH&amp;CN bắt đầu thực hiện từ 2023; danh mục các nhiệm vụ thuộc Chương trình nâng cao năng suất chất lượng sản phẩm hàng hóa ngành nông nghiệp năm 2023; danh mục TCQC năm 2023; Báo cáo TTCP 02 Đề án về khoa học công nghệ</w:t>
      </w:r>
      <w:r>
        <w:rPr>
          <w:rStyle w:val="FootnoteCharacters"/>
          <w:rStyle w:val="FootnoteAnchor"/>
        </w:rPr>
        <w:footnoteReference w:id="16"/>
      </w:r>
      <w:r>
        <w:rPr/>
        <w:t>.</w:t>
      </w:r>
    </w:p>
    <w:p>
      <w:pPr>
        <w:pStyle w:val="Normal"/>
        <w:widowControl w:val="false"/>
        <w:autoSpaceDE w:val="false"/>
        <w:spacing w:before="100" w:after="0"/>
        <w:ind w:right="85" w:firstLine="720"/>
        <w:jc w:val="both"/>
        <w:rPr>
          <w:sz w:val="28"/>
          <w:szCs w:val="28"/>
          <w:lang w:val="es-ES"/>
        </w:rPr>
      </w:pPr>
      <w:r>
        <w:rPr>
          <w:sz w:val="28"/>
          <w:szCs w:val="28"/>
        </w:rPr>
        <w:t xml:space="preserve">- </w:t>
      </w:r>
      <w:bookmarkStart w:id="51" w:name="_Hlk73028830"/>
      <w:r>
        <w:rPr>
          <w:iCs/>
          <w:sz w:val="28"/>
          <w:szCs w:val="28"/>
          <w:lang w:val="sv-SE"/>
        </w:rPr>
        <w:t xml:space="preserve">Đẩy mạnh </w:t>
      </w:r>
      <w:r>
        <w:rPr>
          <w:sz w:val="28"/>
          <w:szCs w:val="28"/>
          <w:lang w:val="vi-VN"/>
        </w:rPr>
        <w:t>hoạt động cải cách hành chính</w:t>
      </w:r>
      <w:r>
        <w:rPr>
          <w:sz w:val="28"/>
          <w:szCs w:val="28"/>
          <w:lang w:val="sv-SE"/>
        </w:rPr>
        <w:t>, thực hiện các nhiệm vụ về cải thiện môi trường đầu tư kinh doanh, tháo gỡ khó khăn cho doanh nghiệp;</w:t>
      </w:r>
      <w:r>
        <w:rPr>
          <w:sz w:val="28"/>
          <w:szCs w:val="28"/>
          <w:lang w:val="vi-VN"/>
        </w:rPr>
        <w:t xml:space="preserve"> tăng cường công tác thanh tra, kiểm tra, thực hiện nghiêm Luật Phòng, chống tham nhũng và Luật thực hành tiết kiệm, chống lãng phí./.   </w:t>
      </w:r>
      <w:bookmarkEnd w:id="51"/>
    </w:p>
    <w:p>
      <w:pPr>
        <w:pStyle w:val="Normal"/>
        <w:widowControl w:val="false"/>
        <w:spacing w:before="120" w:after="0"/>
        <w:ind w:firstLine="720"/>
        <w:jc w:val="both"/>
        <w:rPr/>
      </w:pPr>
      <w:r>
        <w:rPr>
          <w:sz w:val="28"/>
          <w:szCs w:val="28"/>
          <w:lang w:val="vi-VN"/>
        </w:rPr>
        <w:tab/>
        <w:tab/>
        <w:tab/>
        <w:tab/>
        <w:tab/>
      </w:r>
      <w:r>
        <w:rPr>
          <w:b/>
          <w:sz w:val="28"/>
          <w:szCs w:val="28"/>
          <w:lang w:val="vi-VN"/>
        </w:rPr>
        <w:tab/>
      </w:r>
      <w:r>
        <w:rPr>
          <w:b/>
          <w:sz w:val="28"/>
          <w:szCs w:val="28"/>
          <w:lang w:val="es-ES_tradnl"/>
        </w:rPr>
        <w:t>BỘ NÔNG NGHIỆP VÀ PTNT</w:t>
      </w:r>
    </w:p>
    <w:sectPr>
      <w:headerReference w:type="default" r:id="rId2"/>
      <w:headerReference w:type="first" r:id="rId3"/>
      <w:footerReference w:type="default" r:id="rId4"/>
      <w:footerReference w:type="first" r:id="rId5"/>
      <w:footnotePr>
        <w:numFmt w:val="decimal"/>
      </w:footnotePr>
      <w:type w:val="nextPage"/>
      <w:pgSz w:w="11906" w:h="16838"/>
      <w:pgMar w:left="1644" w:right="1077" w:gutter="0" w:header="720" w:top="907" w:footer="35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VNI-Times">
    <w:altName w:val="Times New Roman"/>
    <w:charset w:val="00"/>
    <w:family w:val="auto"/>
    <w:pitch w:val="variable"/>
  </w:font>
  <w:font w:name="Tahoma">
    <w:charset w:val="00"/>
    <w:family w:val="swiss"/>
    <w:pitch w:val="variable"/>
  </w:font>
  <w:font w:name=".VnTime">
    <w:altName w:val="Courier New"/>
    <w:charset w:val="00"/>
    <w:family w:val="swiss"/>
    <w:pitch w:val="variable"/>
  </w:font>
  <w:font w:name=".VnArialH">
    <w:altName w:val="Courier New"/>
    <w:charset w:val="00"/>
    <w:family w:val="swiss"/>
    <w:pitch w:val="variable"/>
  </w:font>
  <w:font w:name="Consolas">
    <w:charset w:val="00"/>
    <w:family w:val="modern"/>
    <w:pitch w:val="default"/>
  </w:font>
  <w:font w:name="Times-Roman">
    <w:altName w:val="Times New Roman"/>
    <w:charset w:val="00"/>
    <w:family w:val="auto"/>
    <w:pitch w:val="variable"/>
  </w:font>
  <w:font w:name="Verdana">
    <w:charset w:val="00"/>
    <w:family w:val="swiss"/>
    <w:pitch w:val="variable"/>
  </w:font>
  <w:font w:name="Helvetica">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t xml:space="preserve">Diện tích và sản lượng thu hoạch gồm: </w:t>
      </w:r>
      <w:r>
        <w:rPr>
          <w:spacing w:val="-2"/>
        </w:rPr>
        <w:t xml:space="preserve">lúa </w:t>
      </w:r>
      <w:r>
        <w:rPr>
          <w:b/>
          <w:spacing w:val="-2"/>
        </w:rPr>
        <w:t>Thu Đông</w:t>
      </w:r>
      <w:r>
        <w:rPr>
          <w:spacing w:val="-2"/>
        </w:rPr>
        <w:t xml:space="preserve"> (114,5 nghìn ha và 642 nghìn tấn), lúa </w:t>
      </w:r>
      <w:r>
        <w:rPr>
          <w:b/>
          <w:spacing w:val="-2"/>
        </w:rPr>
        <w:t>Mùa</w:t>
      </w:r>
      <w:r>
        <w:rPr>
          <w:spacing w:val="-2"/>
        </w:rPr>
        <w:t xml:space="preserve"> (210 nghìn ha và 1,03 triệu tấn) và lúa </w:t>
      </w:r>
      <w:r>
        <w:rPr>
          <w:b/>
          <w:spacing w:val="-2"/>
        </w:rPr>
        <w:t>Đông Xuân</w:t>
      </w:r>
      <w:r>
        <w:rPr>
          <w:spacing w:val="-2"/>
        </w:rPr>
        <w:t xml:space="preserve"> (1,6 triệu ha và 11,1 triệu tấn).  </w:t>
      </w:r>
    </w:p>
  </w:footnote>
  <w:footnote w:id="3">
    <w:p>
      <w:pPr>
        <w:pStyle w:val="Footnote"/>
        <w:rPr/>
      </w:pPr>
      <w:r>
        <w:rPr>
          <w:rStyle w:val="FootnoteCharacters"/>
        </w:rPr>
        <w:footnoteRef/>
      </w:r>
      <w:r>
        <w:rPr/>
        <w:t xml:space="preserve"> </w:t>
      </w:r>
      <w:r>
        <w:rPr>
          <w:bCs/>
          <w:iCs/>
        </w:rPr>
        <w:t>do một số tỉnh xuống giống sớm và tập trung hơn cùng kỳ năm trước</w:t>
      </w:r>
    </w:p>
  </w:footnote>
  <w:footnote w:id="4">
    <w:p>
      <w:pPr>
        <w:pStyle w:val="Footnote"/>
        <w:jc w:val="both"/>
        <w:rPr/>
      </w:pPr>
      <w:r>
        <w:rPr>
          <w:rStyle w:val="FootnoteCharacters"/>
        </w:rPr>
        <w:footnoteRef/>
      </w:r>
      <w:r>
        <w:rPr/>
        <w:t xml:space="preserve"> </w:t>
      </w:r>
      <w:r>
        <w:rPr/>
        <w:t xml:space="preserve">Theo TCLN: Tháng 4,  trồng rừng </w:t>
      </w:r>
      <w:r>
        <w:rPr>
          <w:shd w:fill="FFFFFF" w:val="clear"/>
        </w:rPr>
        <w:t xml:space="preserve">đạt 23,2 nghìn ha, khai thác gỗ đạt 1,4 triệu m3. 4 tháng trồng rừng được 58,3 nghìn ha; sản lượng gỗ khai thác 4 tháng đạt 4 triệu m3, </w:t>
      </w:r>
      <w:r>
        <w:rPr/>
        <w:t>sản lượng củi đạt 928 nghìn ste (=649,7 nghìn m3).</w:t>
      </w:r>
      <w:r>
        <w:rPr>
          <w:sz w:val="28"/>
          <w:szCs w:val="28"/>
        </w:rPr>
        <w:t xml:space="preserve"> </w:t>
      </w:r>
    </w:p>
  </w:footnote>
  <w:footnote w:id="5">
    <w:p>
      <w:pPr>
        <w:pStyle w:val="Footnote"/>
        <w:rPr/>
      </w:pPr>
      <w:r>
        <w:rPr>
          <w:rStyle w:val="FootnoteCharacters"/>
        </w:rPr>
        <w:footnoteRef/>
      </w:r>
      <w:r>
        <w:rPr/>
        <w:t xml:space="preserve"> </w:t>
      </w:r>
      <w:r>
        <w:rPr/>
        <w:t xml:space="preserve">Số liệu thống kê theo khu vực Châu Á, Châu Âu, Châu Phi, Châu Mỹ và Châu Đại Dương chưa bao gồm một số thị trường nhỏ khác không được thống kê cụ thể bởi Tổng cục Hải quan. </w:t>
      </w:r>
    </w:p>
  </w:footnote>
  <w:footnote w:id="6">
    <w:p>
      <w:pPr>
        <w:pStyle w:val="Footnote"/>
        <w:rPr/>
      </w:pPr>
      <w:r>
        <w:rPr>
          <w:rStyle w:val="FootnoteCharacters"/>
        </w:rPr>
        <w:footnoteRef/>
      </w:r>
      <w:r>
        <w:rPr/>
        <w:t xml:space="preserve"> </w:t>
      </w:r>
      <w:r>
        <w:rPr>
          <w:rStyle w:val="Text"/>
          <w:iCs/>
          <w:szCs w:val="26"/>
        </w:rPr>
        <w:t>đã nhập khẩu 2.451 lô phân bón với tổng khối lượng đạt 880</w:t>
      </w:r>
      <w:r>
        <w:rPr>
          <w:iCs/>
          <w:szCs w:val="26"/>
        </w:rPr>
        <w:t>,9 nghìn</w:t>
      </w:r>
      <w:r>
        <w:rPr>
          <w:rStyle w:val="Text"/>
          <w:iCs/>
          <w:szCs w:val="26"/>
        </w:rPr>
        <w:t xml:space="preserve"> tấn; </w:t>
      </w:r>
      <w:r>
        <w:rPr>
          <w:iCs/>
          <w:szCs w:val="26"/>
        </w:rPr>
        <w:t>nhập khẩu là 11.019 lô TACN, thức ăn thủy sản với khối lượng là 4,5 triệu tấn.</w:t>
      </w:r>
    </w:p>
  </w:footnote>
  <w:footnote w:id="7">
    <w:p>
      <w:pPr>
        <w:pStyle w:val="Footnote"/>
        <w:rPr/>
      </w:pPr>
      <w:r>
        <w:rPr>
          <w:rStyle w:val="FootnoteCharacters"/>
        </w:rPr>
        <w:footnoteRef/>
      </w:r>
      <w:r>
        <w:rPr/>
        <w:t xml:space="preserve"> </w:t>
      </w:r>
      <w:r>
        <w:rPr/>
        <w:t xml:space="preserve">Qúy I, thị trường XK nhiều nhất là Braxin, thứ 2 là Campuchia, </w:t>
      </w:r>
    </w:p>
  </w:footnote>
  <w:footnote w:id="8">
    <w:p>
      <w:pPr>
        <w:pStyle w:val="Footnote"/>
        <w:rPr/>
      </w:pPr>
      <w:r>
        <w:rPr>
          <w:rStyle w:val="FootnoteCharacters"/>
        </w:rPr>
        <w:footnoteRef/>
      </w:r>
      <w:r>
        <w:rPr/>
        <w:t xml:space="preserve"> </w:t>
      </w:r>
      <w:r>
        <w:rPr>
          <w:rFonts w:eastAsia="Batang;바탕"/>
          <w:szCs w:val="28"/>
          <w:lang w:val="es-ES" w:eastAsia="ko-KR"/>
        </w:rPr>
        <w:t>“</w:t>
      </w:r>
      <w:r>
        <w:rPr>
          <w:rFonts w:eastAsia="Batang;바탕"/>
          <w:szCs w:val="28"/>
          <w:lang w:val="es-ES" w:eastAsia="ko-KR"/>
        </w:rPr>
        <w:t>Hội nghị kết nối vải thiều Bắc Giang với thị trường Hoa Kỳ”;</w:t>
      </w:r>
      <w:r>
        <w:rPr>
          <w:rFonts w:cs="Helvetica" w:ascii="Helvetica" w:hAnsi="Helvetica"/>
          <w:shd w:fill="F5F5F5" w:val="clear"/>
        </w:rPr>
        <w:t xml:space="preserve"> </w:t>
      </w:r>
      <w:r>
        <w:rPr>
          <w:rFonts w:eastAsia="Batang;바탕"/>
          <w:szCs w:val="28"/>
          <w:lang w:val="es-ES" w:eastAsia="ko-KR"/>
        </w:rPr>
        <w:t>Diễn đàn phát triển ngành hàng nhuyễn thể, ngao và nuôi trồng thủy sản vùng bãi tiều bền vững; Hội nghị “Thực trạng và định hướng phát triển Sắn bền vững ở Việt Nam”; Khai mạc Hội chợ thương mại Việt Nam Expo 2022; Hội nghị Xúc tiến đầu tư vào lĩnh vực nông nghiệp tỉnh Đắk Lắk</w:t>
      </w:r>
    </w:p>
  </w:footnote>
  <w:footnote w:id="9">
    <w:p>
      <w:pPr>
        <w:pStyle w:val="Footnote"/>
        <w:rPr/>
      </w:pPr>
      <w:r>
        <w:rPr>
          <w:rStyle w:val="FootnoteCharacters"/>
        </w:rPr>
        <w:footnoteRef/>
      </w:r>
      <w:r>
        <w:rPr/>
        <w:t xml:space="preserve"> </w:t>
      </w:r>
      <w:r>
        <w:rPr>
          <w:szCs w:val="28"/>
          <w:lang w:val="vi-VN"/>
        </w:rPr>
        <w:t>đ</w:t>
      </w:r>
      <w:r>
        <w:rPr>
          <w:szCs w:val="28"/>
        </w:rPr>
        <w:t xml:space="preserve">ã có </w:t>
      </w:r>
      <w:r>
        <w:rPr>
          <w:b/>
          <w:szCs w:val="28"/>
        </w:rPr>
        <w:t>2</w:t>
      </w:r>
      <w:r>
        <w:rPr>
          <w:b/>
          <w:szCs w:val="28"/>
          <w:lang w:val="vi-VN"/>
        </w:rPr>
        <w:t>.</w:t>
      </w:r>
      <w:r>
        <w:rPr>
          <w:b/>
          <w:szCs w:val="28"/>
        </w:rPr>
        <w:t>033</w:t>
      </w:r>
      <w:r>
        <w:rPr>
          <w:szCs w:val="28"/>
        </w:rPr>
        <w:t xml:space="preserve"> mã sản phẩm được TCHQ TQ cấp cho Việt Nam</w:t>
      </w:r>
      <w:r>
        <w:rPr>
          <w:szCs w:val="28"/>
          <w:lang w:val="vi-VN"/>
        </w:rPr>
        <w:t xml:space="preserve">; </w:t>
      </w:r>
      <w:r>
        <w:rPr>
          <w:szCs w:val="28"/>
        </w:rPr>
        <w:t xml:space="preserve">tổng hợp thông tin và phân loại </w:t>
      </w:r>
      <w:r>
        <w:rPr>
          <w:b/>
          <w:szCs w:val="28"/>
        </w:rPr>
        <w:t>60</w:t>
      </w:r>
      <w:r>
        <w:rPr>
          <w:szCs w:val="28"/>
        </w:rPr>
        <w:t xml:space="preserve"> DN tự đăng ký mã sản phẩm trên trang web của TCHQTQ;</w:t>
      </w:r>
    </w:p>
  </w:footnote>
  <w:footnote w:id="10">
    <w:p>
      <w:pPr>
        <w:pStyle w:val="Footnote"/>
        <w:spacing w:before="144" w:after="144"/>
        <w:rPr/>
      </w:pPr>
      <w:r>
        <w:rPr>
          <w:rStyle w:val="FootnoteCharacters"/>
        </w:rPr>
        <w:footnoteRef/>
      </w:r>
      <w:r>
        <w:rPr/>
        <w:t xml:space="preserve"> </w:t>
      </w:r>
      <w:r>
        <w:rPr>
          <w:lang w:eastAsia="zh-CN"/>
        </w:rPr>
        <w:t>Cụm hồ Bản Phủ - Nậm Là, tỉnh Điện Biên; hồ Thủy Cam, tỉnh Thừa Thiên Huế; Cụm công trình Khe Mước - Bến Than, tỉnh Quảng Trị; hồ Trường Đồng, tỉnh Quảng Nam; nâng cấp HTTL hồ Núi Ngang – Liệt Sơn, tỉnh Quảng Ngãi; Cụm hồ Đắk Rô Gia – Ia Tun, tỉnh Kon Tum; hệ thống kênh nhánh hồ Ia Mơr, tỉnh Gia Lai; hồ Ea Khal, tỉnh Đắk Lắk; hệ thống dẫn nước hồ Sông Chò 1, tỉnh Khánh Hòa;</w:t>
      </w:r>
    </w:p>
  </w:footnote>
  <w:footnote w:id="11">
    <w:p>
      <w:pPr>
        <w:pStyle w:val="Footnote"/>
        <w:spacing w:before="144" w:after="144"/>
        <w:rPr/>
      </w:pPr>
      <w:r>
        <w:rPr>
          <w:rStyle w:val="FootnoteCharacters"/>
        </w:rPr>
        <w:footnoteRef/>
      </w:r>
      <w:r>
        <w:rPr/>
        <w:t xml:space="preserve"> </w:t>
      </w:r>
      <w:r>
        <w:rPr>
          <w:bCs/>
        </w:rPr>
        <w:t>Dự án đập ngăn mặn Sông Hiếu, tỉnh Quảng Trị; Dự án trạm bơm Tri Phương II, tỉnh Bắc Ninh; Dự án HCN Xà Dể Phìn, tỉnh Lai Châu;</w:t>
      </w:r>
    </w:p>
  </w:footnote>
  <w:footnote w:id="12">
    <w:p>
      <w:pPr>
        <w:pStyle w:val="Footnote"/>
        <w:rPr/>
      </w:pPr>
      <w:r>
        <w:rPr>
          <w:rStyle w:val="FootnoteCharacters"/>
        </w:rPr>
        <w:footnoteRef/>
      </w:r>
      <w:r>
        <w:rPr/>
        <w:t xml:space="preserve"> </w:t>
      </w:r>
      <w:r>
        <w:rPr/>
        <w:t>Vùng nguyên liệu Đồng bằng sông Cửu Long: Lúa gạo và trái cây; 03 Hội nghị của 03 vùng nguyên liệu: Cà phê, gỗ rừng trồng và cây ăn quả</w:t>
      </w:r>
    </w:p>
  </w:footnote>
  <w:footnote w:id="13">
    <w:p>
      <w:pPr>
        <w:pStyle w:val="Footnote"/>
        <w:rPr/>
      </w:pPr>
      <w:r>
        <w:rPr>
          <w:rStyle w:val="FootnoteCharacters"/>
        </w:rPr>
        <w:footnoteRef/>
      </w:r>
      <w:r>
        <w:rPr/>
        <w:t xml:space="preserve"> </w:t>
      </w:r>
      <w:r>
        <w:rPr/>
        <w:t xml:space="preserve">Hà Nội, </w:t>
      </w:r>
      <w:r>
        <w:rPr>
          <w:iCs/>
          <w:color w:val="000000"/>
          <w:lang w:val="de-DE"/>
        </w:rPr>
        <w:t>Hải Phòng, Hưng Yên, Vĩnh Phúc, Bắc Ninh, Hà Nam, Nam Định, Thái Bình, Hải Dương, Đà Nẵng, Tp. Hồ Chí Minh, Bà Rịa-Vũng Tàu, Bình Dương, Đồng Nai, Cần Thơ, Bạc Liêu</w:t>
      </w:r>
    </w:p>
  </w:footnote>
  <w:footnote w:id="14">
    <w:p>
      <w:pPr>
        <w:pStyle w:val="Normal"/>
        <w:jc w:val="both"/>
        <w:rPr/>
      </w:pPr>
      <w:r>
        <w:rPr>
          <w:rStyle w:val="FootnoteCharacters"/>
        </w:rPr>
        <w:footnoteRef/>
      </w:r>
      <w:r>
        <w:rPr>
          <w:sz w:val="20"/>
          <w:szCs w:val="20"/>
        </w:rPr>
        <w:t xml:space="preserve"> </w:t>
      </w:r>
      <w:r>
        <w:rPr>
          <w:sz w:val="20"/>
          <w:szCs w:val="20"/>
        </w:rPr>
        <w:t xml:space="preserve">Chương trình Mỗi xã một sản phẩm giai đoạn 2021 - 2025; </w:t>
      </w:r>
      <w:r>
        <w:rPr>
          <w:bCs/>
          <w:iCs/>
          <w:spacing w:val="-2"/>
          <w:sz w:val="20"/>
          <w:szCs w:val="20"/>
        </w:rPr>
        <w:t xml:space="preserve">Chương trình chuyển đổi số trong xây dựng NTM, hướng tới NTM thông </w:t>
      </w:r>
      <w:r>
        <w:rPr>
          <w:bCs/>
          <w:iCs/>
          <w:spacing w:val="-4"/>
          <w:sz w:val="20"/>
          <w:szCs w:val="20"/>
        </w:rPr>
        <w:t xml:space="preserve">minh giai đoạn 2021-2025; </w:t>
      </w:r>
      <w:r>
        <w:rPr>
          <w:bCs/>
          <w:iCs/>
          <w:color w:val="000000"/>
          <w:spacing w:val="-2"/>
          <w:sz w:val="20"/>
          <w:szCs w:val="20"/>
        </w:rPr>
        <w:t xml:space="preserve">Chương trình KHCN phục vụ xây dựng NTM giai đoạn 2021-2025; </w:t>
      </w:r>
      <w:r>
        <w:rPr>
          <w:bCs/>
          <w:iCs/>
          <w:color w:val="000000"/>
          <w:sz w:val="20"/>
          <w:szCs w:val="20"/>
        </w:rPr>
        <w:t>Chương trình tăng cường bảo vệ môi trường, an toàn thực phẩm và cấp nước sạch nông thôn trong xây dựng NTM giai đoạn 2021-2025; Chương trình phát triển du lịch nông thôn gắn với xây dựng NTM giai đoạn 2021-2025.</w:t>
      </w:r>
    </w:p>
  </w:footnote>
  <w:footnote w:id="15">
    <w:p>
      <w:pPr>
        <w:pStyle w:val="Footnote"/>
        <w:rPr/>
      </w:pPr>
      <w:r>
        <w:rPr>
          <w:rStyle w:val="FootnoteCharacters"/>
        </w:rPr>
        <w:footnoteRef/>
      </w:r>
      <w:r>
        <w:rPr/>
        <w:t xml:space="preserve"> </w:t>
      </w:r>
      <w:r>
        <w:rPr>
          <w:spacing w:val="-4"/>
        </w:rPr>
        <w:t>Trồng trọt: 04 TC, BVTV: 04 TC và 01 QC, C</w:t>
      </w:r>
      <w:r>
        <w:rPr>
          <w:spacing w:val="-4"/>
          <w:lang w:val="vi-VN"/>
        </w:rPr>
        <w:t>hăn nuôi</w:t>
      </w:r>
      <w:r>
        <w:rPr>
          <w:spacing w:val="-4"/>
        </w:rPr>
        <w:t>: 05 TC; T</w:t>
      </w:r>
      <w:r>
        <w:rPr>
          <w:spacing w:val="-4"/>
          <w:lang w:val="vi-VN"/>
        </w:rPr>
        <w:t>hủy lợi</w:t>
      </w:r>
      <w:r>
        <w:rPr>
          <w:spacing w:val="-4"/>
        </w:rPr>
        <w:t>: 06 TC;</w:t>
      </w:r>
      <w:r>
        <w:rPr>
          <w:spacing w:val="-4"/>
          <w:lang w:val="vi-VN"/>
        </w:rPr>
        <w:t xml:space="preserve"> </w:t>
      </w:r>
      <w:r>
        <w:rPr>
          <w:spacing w:val="-4"/>
        </w:rPr>
        <w:t>Lâm nghiệp: 10 TC và 01 QC; Nông sản: 01 TC</w:t>
      </w:r>
    </w:p>
  </w:footnote>
  <w:footnote w:id="16">
    <w:p>
      <w:pPr>
        <w:pStyle w:val="Contents"/>
        <w:spacing w:before="120" w:after="60"/>
        <w:ind w:hanging="0"/>
        <w:rPr/>
      </w:pPr>
      <w:r>
        <w:rPr>
          <w:rStyle w:val="FootnoteCharacters"/>
        </w:rPr>
        <w:footnoteRef/>
      </w:r>
      <w:r>
        <w:rPr>
          <w:sz w:val="20"/>
          <w:szCs w:val="20"/>
        </w:rPr>
        <w:t xml:space="preserve"> </w:t>
      </w:r>
      <w:r>
        <w:rPr>
          <w:spacing w:val="-4"/>
          <w:sz w:val="20"/>
          <w:szCs w:val="20"/>
        </w:rPr>
        <w:t>“</w:t>
      </w:r>
      <w:r>
        <w:rPr>
          <w:spacing w:val="-4"/>
          <w:sz w:val="20"/>
          <w:szCs w:val="20"/>
        </w:rPr>
        <w:t>Đề án thí điểm cơ chế hợp tác công tư trong nghiên cứu phát triển khoa học, đổi mới, sáng tạo và chuyển giao công nghệ ngành nông nghiệp giai đoạn 2022-2030”; trình Đề án “Phát triển khoa học và ứng dụng, chuyển giao công nghệ, đặc biệt là công nghệ tiên tiến, công nghệ cao phục vụ cơ cấu lại ngành nông nghiệp trong bối cảnh hội nhập quốc tế và biến đổi khi hậu giai đoạn 2021-2030”.</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12</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60"/>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spacing w:lineRule="atLeast" w:line="240" w:before="160" w:after="160"/>
      <w:jc w:val="both"/>
      <w:outlineLvl w:val="1"/>
    </w:pPr>
    <w:rPr>
      <w:rFonts w:eastAsia="Calibri"/>
      <w:b/>
      <w:sz w:val="26"/>
      <w:szCs w:val="26"/>
    </w:rPr>
  </w:style>
  <w:style w:type="paragraph" w:styleId="Heading3">
    <w:name w:val="Heading 3"/>
    <w:basedOn w:val="Normal"/>
    <w:next w:val="Normal"/>
    <w:qFormat/>
    <w:pPr>
      <w:keepNext w:val="true"/>
      <w:numPr>
        <w:ilvl w:val="2"/>
        <w:numId w:val="1"/>
      </w:numPr>
      <w:jc w:val="center"/>
      <w:outlineLvl w:val="2"/>
    </w:pPr>
    <w:rPr>
      <w:b/>
      <w:sz w:val="26"/>
      <w:lang w:val="en-AU"/>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Times New Roman" w:hAnsi="Times New Roman" w:eastAsia="Calibri"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b/>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eastAsia="Times New Roman" w:cs="Times New Roman"/>
      <w:b/>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DefaultParagraphFont">
    <w:name w:val="Default Paragraph Font"/>
    <w:qFormat/>
    <w:rPr/>
  </w:style>
  <w:style w:type="character" w:styleId="Heading3Char">
    <w:name w:val="Heading 3 Char"/>
    <w:qFormat/>
    <w:rPr>
      <w:b/>
      <w:sz w:val="26"/>
      <w:szCs w:val="24"/>
      <w:lang w:val="en-AU" w:bidi="ar-SA"/>
    </w:rPr>
  </w:style>
  <w:style w:type="character" w:styleId="PageNumber">
    <w:name w:val="Page Number"/>
    <w:basedOn w:val="DefaultParagraphFont"/>
    <w:rPr/>
  </w:style>
  <w:style w:type="character" w:styleId="BodyTextIndentChar">
    <w:name w:val="Body Text Indent Char"/>
    <w:qFormat/>
    <w:rPr>
      <w:rFonts w:ascii="VNI-Times;Times New Roman" w:hAnsi="VNI-Times;Times New Roman" w:cs="VNI-Times;Times New Roman"/>
      <w:sz w:val="26"/>
      <w:lang w:val="en-AU"/>
    </w:rPr>
  </w:style>
  <w:style w:type="character" w:styleId="HeaderChar">
    <w:name w:val="Header Char"/>
    <w:qFormat/>
    <w:rPr>
      <w:sz w:val="24"/>
      <w:szCs w:val="24"/>
    </w:rPr>
  </w:style>
  <w:style w:type="character" w:styleId="FooterChar">
    <w:name w:val="Footer Char"/>
    <w:qFormat/>
    <w:rPr>
      <w:rFonts w:eastAsia="Batang;바탕"/>
      <w:sz w:val="24"/>
      <w:szCs w:val="24"/>
      <w:lang w:eastAsia="ko-KR"/>
    </w:rPr>
  </w:style>
  <w:style w:type="character" w:styleId="Applestylespan">
    <w:name w:val="apple-style-span"/>
    <w:basedOn w:val="DefaultParagraphFont"/>
    <w:qFormat/>
    <w:rPr/>
  </w:style>
  <w:style w:type="character" w:styleId="Emphasis">
    <w:name w:val="Emphasis"/>
    <w:qFormat/>
    <w:rPr>
      <w:i/>
      <w:iCs/>
    </w:rPr>
  </w:style>
  <w:style w:type="character" w:styleId="CommentReference">
    <w:name w:val="Comment Reference"/>
    <w:qFormat/>
    <w:rPr>
      <w:sz w:val="16"/>
      <w:szCs w:val="16"/>
    </w:rPr>
  </w:style>
  <w:style w:type="character" w:styleId="CommentTextChar">
    <w:name w:val="Comment Text Char"/>
    <w:qFormat/>
    <w:rPr>
      <w:rFonts w:eastAsia="Batang;바탕"/>
      <w:lang w:eastAsia="ko-KR"/>
    </w:rPr>
  </w:style>
  <w:style w:type="character" w:styleId="BalloonTextChar">
    <w:name w:val="Balloon Text Char"/>
    <w:qFormat/>
    <w:rPr>
      <w:rFonts w:ascii="Tahoma" w:hAnsi="Tahoma" w:cs="Tahoma"/>
      <w:sz w:val="16"/>
      <w:szCs w:val="16"/>
    </w:rPr>
  </w:style>
  <w:style w:type="character" w:styleId="StrongEmphasis">
    <w:name w:val="Strong Emphasis"/>
    <w:qFormat/>
    <w:rPr>
      <w:b/>
      <w:bCs/>
    </w:rPr>
  </w:style>
  <w:style w:type="character" w:styleId="Html0020preformattedchar">
    <w:name w:val="html_0020preformatted__char"/>
    <w:basedOn w:val="DefaultParagraphFont"/>
    <w:qFormat/>
    <w:rPr/>
  </w:style>
  <w:style w:type="character" w:styleId="Normalchar">
    <w:name w:val="normal__char"/>
    <w:basedOn w:val="DefaultParagraphFont"/>
    <w:qFormat/>
    <w:rPr/>
  </w:style>
  <w:style w:type="character" w:styleId="BodyTextIndent3Char">
    <w:name w:val="Body Text Indent 3 Char"/>
    <w:qFormat/>
    <w:rPr>
      <w:rFonts w:ascii=".VnTime;Courier New" w:hAnsi=".VnTime;Courier New" w:cs=".VnTime;Courier New"/>
      <w:sz w:val="16"/>
      <w:szCs w:val="16"/>
    </w:rPr>
  </w:style>
  <w:style w:type="character" w:styleId="CommentSubjectChar">
    <w:name w:val="Comment Subject Char"/>
    <w:qFormat/>
    <w:rPr>
      <w:rFonts w:eastAsia="Batang;바탕"/>
      <w:b/>
      <w:bCs/>
      <w:lang w:eastAsia="ko-KR"/>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Muc5Char">
    <w:name w:val="Muc5 Char"/>
    <w:qFormat/>
    <w:rPr>
      <w:sz w:val="28"/>
      <w:szCs w:val="28"/>
      <w:lang w:val="vi-VN"/>
    </w:rPr>
  </w:style>
  <w:style w:type="character" w:styleId="Appleconvertedspace">
    <w:name w:val="apple-converted-space"/>
    <w:basedOn w:val="DefaultParagraphFont"/>
    <w:qFormat/>
    <w:rPr/>
  </w:style>
  <w:style w:type="character" w:styleId="InternetLink">
    <w:name w:val="Hyperlink"/>
    <w:rPr>
      <w:color w:val="0000FF"/>
      <w:u w:val="single"/>
    </w:rPr>
  </w:style>
  <w:style w:type="character" w:styleId="BodyTextChar">
    <w:name w:val="Body Text Char"/>
    <w:qFormat/>
    <w:rPr>
      <w:color w:val="000000"/>
      <w:sz w:val="26"/>
      <w:szCs w:val="26"/>
    </w:rPr>
  </w:style>
  <w:style w:type="character" w:styleId="TitleChar">
    <w:name w:val="Title Char"/>
    <w:qFormat/>
    <w:rPr>
      <w:rFonts w:ascii=".VnArialH;Courier New" w:hAnsi=".VnArialH;Courier New" w:cs=".VnArialH;Courier New"/>
      <w:b/>
      <w:sz w:val="26"/>
      <w:szCs w:val="24"/>
      <w:u w:val="single"/>
    </w:rPr>
  </w:style>
  <w:style w:type="character" w:styleId="PlainTextChar">
    <w:name w:val="Plain Text Char"/>
    <w:qFormat/>
    <w:rPr>
      <w:rFonts w:ascii="Consolas" w:hAnsi="Consolas" w:eastAsia="Calibri" w:cs="Consolas"/>
      <w:sz w:val="21"/>
      <w:szCs w:val="21"/>
      <w:lang w:val="en-US"/>
    </w:rPr>
  </w:style>
  <w:style w:type="character" w:styleId="NormalWebChar">
    <w:name w:val="Normal (Web) Char"/>
    <w:qFormat/>
    <w:rPr>
      <w:sz w:val="24"/>
      <w:szCs w:val="24"/>
      <w:lang w:val="en-US"/>
    </w:rPr>
  </w:style>
  <w:style w:type="character" w:styleId="MediumGrid1Accent2Char">
    <w:name w:val="Medium Grid 1 - Accent 2 Char"/>
    <w:qFormat/>
    <w:rPr>
      <w:rFonts w:eastAsia="Calibri"/>
      <w:sz w:val="24"/>
      <w:szCs w:val="22"/>
    </w:rPr>
  </w:style>
  <w:style w:type="character" w:styleId="Pg1fc1">
    <w:name w:val="pg-1fc1"/>
    <w:basedOn w:val="DefaultParagraphFont"/>
    <w:qFormat/>
    <w:rPr/>
  </w:style>
  <w:style w:type="character" w:styleId="List0020paragraphchar">
    <w:name w:val="list_0020paragraph__char"/>
    <w:qFormat/>
    <w:rPr/>
  </w:style>
  <w:style w:type="character" w:styleId="ColorfulListAccent1Char">
    <w:name w:val="Colorful List - Accent 1 Char"/>
    <w:qFormat/>
    <w:rPr>
      <w:rFonts w:eastAsia="Calibri"/>
      <w:sz w:val="24"/>
      <w:szCs w:val="22"/>
    </w:rPr>
  </w:style>
  <w:style w:type="character" w:styleId="BodyTextIndent2Char">
    <w:name w:val="Body Text Indent 2 Char"/>
    <w:qFormat/>
    <w:rPr>
      <w:sz w:val="28"/>
      <w:szCs w:val="28"/>
    </w:rPr>
  </w:style>
  <w:style w:type="character" w:styleId="BodyText3Char">
    <w:name w:val="Body Text 3 Char"/>
    <w:qFormat/>
    <w:rPr>
      <w:sz w:val="16"/>
      <w:szCs w:val="16"/>
    </w:rPr>
  </w:style>
  <w:style w:type="character" w:styleId="ListParagraphChar">
    <w:name w:val="List Paragraph Char"/>
    <w:qFormat/>
    <w:rPr>
      <w:rFonts w:eastAsia="Calibri"/>
      <w:sz w:val="28"/>
      <w:szCs w:val="22"/>
    </w:rPr>
  </w:style>
  <w:style w:type="character" w:styleId="Fontstyle01">
    <w:name w:val="fontstyle01"/>
    <w:qFormat/>
    <w:rPr>
      <w:rFonts w:ascii="Times-Roman;Times New Roman" w:hAnsi="Times-Roman;Times New Roman" w:cs="Times-Roman;Times New Roman"/>
      <w:b w:val="false"/>
      <w:bCs w:val="false"/>
      <w:i w:val="false"/>
      <w:iCs w:val="false"/>
      <w:color w:val="000000"/>
      <w:sz w:val="28"/>
      <w:szCs w:val="28"/>
    </w:rPr>
  </w:style>
  <w:style w:type="character" w:styleId="BodyTextChar1">
    <w:name w:val="Body Text Char1"/>
    <w:qFormat/>
    <w:rPr>
      <w:shd w:fill="FFFFFF" w:val="clear"/>
    </w:rPr>
  </w:style>
  <w:style w:type="character" w:styleId="Text">
    <w:name w:val="text"/>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spacing w:lineRule="auto" w:line="360"/>
      <w:ind w:firstLine="720"/>
      <w:jc w:val="center"/>
    </w:pPr>
    <w:rPr>
      <w:rFonts w:ascii=".VnArialH;Courier New" w:hAnsi=".VnArialH;Courier New" w:cs=".VnArialH;Courier New"/>
      <w:b/>
      <w:sz w:val="26"/>
      <w:u w:val="single"/>
    </w:rPr>
  </w:style>
  <w:style w:type="paragraph" w:styleId="TextBody">
    <w:name w:val="Body Text"/>
    <w:basedOn w:val="Normal"/>
    <w:pPr>
      <w:jc w:val="both"/>
    </w:pPr>
    <w:rPr>
      <w:color w:val="000000"/>
      <w:sz w:val="26"/>
      <w:szCs w:val="26"/>
    </w:rPr>
  </w:style>
  <w:style w:type="paragraph" w:styleId="List">
    <w:name w:val="List"/>
    <w:basedOn w:val="TextBody"/>
    <w:pPr/>
    <w:rPr>
      <w:rFonts w:cs="Lohit Devanagari"/>
    </w:rPr>
  </w:style>
  <w:style w:type="paragraph" w:styleId="Caption">
    <w:name w:val="Caption"/>
    <w:basedOn w:val="Normal"/>
    <w:next w:val="Normal"/>
    <w:qFormat/>
    <w:pPr>
      <w:jc w:val="center"/>
    </w:pPr>
    <w:rPr>
      <w:sz w:val="28"/>
    </w:rPr>
  </w:style>
  <w:style w:type="paragraph" w:styleId="Index">
    <w:name w:val="Index"/>
    <w:basedOn w:val="Normal"/>
    <w:qFormat/>
    <w:pPr>
      <w:suppressLineNumbers/>
    </w:pPr>
    <w:rPr>
      <w:rFonts w:cs="Lohit Devanagari"/>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rFonts w:eastAsia="Batang;바탕"/>
      <w:lang w:eastAsia="ko-KR"/>
    </w:rPr>
  </w:style>
  <w:style w:type="paragraph" w:styleId="BodyText2">
    <w:name w:val="Body Text 2"/>
    <w:basedOn w:val="Normal"/>
    <w:qFormat/>
    <w:pPr>
      <w:jc w:val="both"/>
    </w:pPr>
    <w:rPr>
      <w:rFonts w:ascii=".VnTime;Courier New" w:hAnsi=".VnTime;Courier New" w:cs=".VnTime;Courier New"/>
      <w:color w:val="000000"/>
      <w:sz w:val="26"/>
      <w:szCs w:val="20"/>
    </w:rPr>
  </w:style>
  <w:style w:type="paragraph" w:styleId="NormalWeb">
    <w:name w:val="Normal (Web)"/>
    <w:basedOn w:val="Normal"/>
    <w:qFormat/>
    <w:pPr>
      <w:spacing w:before="280" w:after="280"/>
    </w:pPr>
    <w:rPr/>
  </w:style>
  <w:style w:type="paragraph" w:styleId="CharCharCharCharCharCharCharCharCharCharCharCharChar2">
    <w:name w:val="Char Char Char Char Char Char Char Char Char Char Char Char Char2"/>
    <w:basedOn w:val="Normal"/>
    <w:qFormat/>
    <w:pPr>
      <w:spacing w:lineRule="exact" w:line="240" w:before="0" w:after="160"/>
    </w:pPr>
    <w:rPr>
      <w:rFonts w:ascii="Verdana" w:hAnsi="Verdana" w:cs="Verdana"/>
      <w:sz w:val="20"/>
      <w:szCs w:val="20"/>
    </w:rPr>
  </w:style>
  <w:style w:type="paragraph" w:styleId="CharCharCharChar">
    <w:name w:val="Char Char Char Char"/>
    <w:basedOn w:val="Normal"/>
    <w:qFormat/>
    <w:pPr/>
    <w:rPr>
      <w:rFonts w:ascii="Arial" w:hAnsi="Arial" w:cs="Arial"/>
      <w:sz w:val="22"/>
      <w:szCs w:val="20"/>
      <w:lang w:val="en-AU"/>
    </w:rPr>
  </w:style>
  <w:style w:type="paragraph" w:styleId="TextBodyIndent">
    <w:name w:val="Body Text Indent"/>
    <w:basedOn w:val="Normal"/>
    <w:pPr>
      <w:spacing w:before="120" w:after="0"/>
      <w:jc w:val="both"/>
    </w:pPr>
    <w:rPr>
      <w:rFonts w:ascii="VNI-Times;Times New Roman" w:hAnsi="VNI-Times;Times New Roman" w:cs="VNI-Times;Times New Roman"/>
      <w:sz w:val="26"/>
      <w:szCs w:val="20"/>
      <w:lang w:val="en-AU"/>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0"/>
      <w:lang w:val="en-US" w:bidi="ar-SA" w:eastAsia="zh-CN"/>
    </w:rPr>
  </w:style>
  <w:style w:type="paragraph" w:styleId="CharCharCharChar1">
    <w:name w:val="Char Char Char Char1"/>
    <w:basedOn w:val="Normal"/>
    <w:qFormat/>
    <w:pPr>
      <w:spacing w:lineRule="exact" w:line="240" w:before="0" w:after="160"/>
    </w:pPr>
    <w:rPr>
      <w:rFonts w:ascii="Tahoma" w:hAnsi="Tahoma" w:eastAsia="PMingLiU;新細明體" w:cs="Tahoma"/>
      <w:sz w:val="20"/>
      <w:szCs w:val="20"/>
    </w:rPr>
  </w:style>
  <w:style w:type="paragraph" w:styleId="Char">
    <w:name w:val="Char"/>
    <w:basedOn w:val="Normal"/>
    <w:qFormat/>
    <w:pPr/>
    <w:rPr>
      <w:rFonts w:ascii="Arial" w:hAnsi="Arial" w:cs="Arial"/>
      <w:sz w:val="22"/>
      <w:szCs w:val="20"/>
      <w:lang w:val="en-AU"/>
    </w:rPr>
  </w:style>
  <w:style w:type="paragraph" w:styleId="Header">
    <w:name w:val="Header"/>
    <w:basedOn w:val="Normal"/>
    <w:pPr/>
    <w:rPr/>
  </w:style>
  <w:style w:type="paragraph" w:styleId="Normal1">
    <w:name w:val="Normal1"/>
    <w:basedOn w:val="Normal"/>
    <w:next w:val="Normal"/>
    <w:qFormat/>
    <w:pPr>
      <w:spacing w:lineRule="exact" w:line="240" w:before="0" w:after="160"/>
    </w:pPr>
    <w:rPr>
      <w:sz w:val="28"/>
      <w:szCs w:val="22"/>
    </w:rPr>
  </w:style>
  <w:style w:type="paragraph" w:styleId="CommentText">
    <w:name w:val="Comment Text"/>
    <w:basedOn w:val="Normal"/>
    <w:qFormat/>
    <w:pPr/>
    <w:rPr>
      <w:rFonts w:eastAsia="Batang;바탕"/>
      <w:sz w:val="20"/>
      <w:szCs w:val="20"/>
      <w:lang w:eastAsia="ko-KR"/>
    </w:rPr>
  </w:style>
  <w:style w:type="paragraph" w:styleId="BalloonText">
    <w:name w:val="Balloon Text"/>
    <w:basedOn w:val="Normal"/>
    <w:qFormat/>
    <w:pPr/>
    <w:rPr>
      <w:rFonts w:ascii="Tahoma" w:hAnsi="Tahoma" w:cs="Tahoma"/>
      <w:sz w:val="16"/>
      <w:szCs w:val="16"/>
    </w:rPr>
  </w:style>
  <w:style w:type="paragraph" w:styleId="Html0020preformatted">
    <w:name w:val="html__0020preformatted"/>
    <w:basedOn w:val="Normal"/>
    <w:qFormat/>
    <w:pPr>
      <w:spacing w:before="280" w:after="280"/>
    </w:pPr>
    <w:rPr/>
  </w:style>
  <w:style w:type="paragraph" w:styleId="BodyTextIndent3">
    <w:name w:val="Body Text Indent 3"/>
    <w:basedOn w:val="Normal"/>
    <w:qFormat/>
    <w:pPr>
      <w:spacing w:before="0" w:after="120"/>
      <w:ind w:left="360" w:hanging="0"/>
    </w:pPr>
    <w:rPr>
      <w:rFonts w:ascii=".VnTime;Courier New" w:hAnsi=".VnTime;Courier New" w:cs=".VnTime;Courier New"/>
      <w:sz w:val="16"/>
      <w:szCs w:val="16"/>
    </w:rPr>
  </w:style>
  <w:style w:type="paragraph" w:styleId="CommentSubject">
    <w:name w:val="Comment Subject"/>
    <w:basedOn w:val="CommentText"/>
    <w:next w:val="CommentText"/>
    <w:qFormat/>
    <w:pPr/>
    <w:rPr>
      <w:b/>
      <w:bCs/>
    </w:rPr>
  </w:style>
  <w:style w:type="paragraph" w:styleId="MediumGrid1Accent21">
    <w:name w:val="Medium Grid 1 - Accent 21"/>
    <w:basedOn w:val="Normal"/>
    <w:qFormat/>
    <w:pPr>
      <w:spacing w:lineRule="auto" w:line="276" w:before="0" w:after="200"/>
      <w:ind w:left="720" w:hanging="0"/>
      <w:contextualSpacing/>
    </w:pPr>
    <w:rPr>
      <w:rFonts w:eastAsia="Calibri"/>
      <w:szCs w:val="22"/>
    </w:rPr>
  </w:style>
  <w:style w:type="paragraph" w:styleId="Footnote">
    <w:name w:val="Footnote Text"/>
    <w:basedOn w:val="Normal"/>
    <w:pPr/>
    <w:rPr>
      <w:sz w:val="20"/>
      <w:szCs w:val="20"/>
    </w:rPr>
  </w:style>
  <w:style w:type="paragraph" w:styleId="Muc5">
    <w:name w:val="Muc5"/>
    <w:basedOn w:val="Normal"/>
    <w:qFormat/>
    <w:pPr>
      <w:spacing w:before="0" w:after="120"/>
      <w:ind w:firstLine="720"/>
      <w:jc w:val="both"/>
    </w:pPr>
    <w:rPr>
      <w:sz w:val="28"/>
      <w:szCs w:val="28"/>
      <w:lang w:val="vi-VN"/>
    </w:rPr>
  </w:style>
  <w:style w:type="paragraph" w:styleId="DefaultParagraphFontParaCharChar">
    <w:name w:val="Default Paragraph Font Para Char Char"/>
    <w:basedOn w:val="Normal"/>
    <w:qFormat/>
    <w:pPr>
      <w:snapToGrid w:val="false"/>
      <w:spacing w:lineRule="exact" w:line="300" w:before="120" w:after="120"/>
      <w:jc w:val="both"/>
    </w:pPr>
    <w:rPr>
      <w:rFonts w:ascii="Arial" w:hAnsi="Arial" w:cs="Arial"/>
      <w:sz w:val="20"/>
      <w:szCs w:val="20"/>
      <w:lang w:val="en-GB"/>
    </w:rPr>
  </w:style>
  <w:style w:type="paragraph" w:styleId="PlainText">
    <w:name w:val="Plain Text"/>
    <w:basedOn w:val="Normal"/>
    <w:qFormat/>
    <w:pPr/>
    <w:rPr>
      <w:rFonts w:ascii="Consolas" w:hAnsi="Consolas" w:eastAsia="Calibri" w:cs="Consolas"/>
      <w:sz w:val="21"/>
      <w:szCs w:val="21"/>
    </w:rPr>
  </w:style>
  <w:style w:type="paragraph" w:styleId="CharCharChar1">
    <w:name w:val="Char Char Char1"/>
    <w:basedOn w:val="Normal"/>
    <w:qFormat/>
    <w:pPr>
      <w:pageBreakBefore/>
      <w:spacing w:before="280" w:after="280"/>
      <w:jc w:val="both"/>
    </w:pPr>
    <w:rPr>
      <w:rFonts w:ascii="Tahoma" w:hAnsi="Tahoma" w:cs="Tahoma"/>
      <w:sz w:val="20"/>
      <w:szCs w:val="20"/>
    </w:rPr>
  </w:style>
  <w:style w:type="paragraph" w:styleId="Normal2">
    <w:name w:val="Normal2"/>
    <w:qFormat/>
    <w:pPr>
      <w:widowControl/>
      <w:bidi w:val="0"/>
    </w:pPr>
    <w:rPr>
      <w:rFonts w:ascii="Times New Roman" w:hAnsi="Times New Roman" w:eastAsia="Times New Roman" w:cs="Times New Roman"/>
      <w:color w:val="000000"/>
      <w:sz w:val="24"/>
      <w:szCs w:val="20"/>
      <w:lang w:val="en-US" w:bidi="ar-SA" w:eastAsia="zh-CN"/>
    </w:rPr>
  </w:style>
  <w:style w:type="paragraph" w:styleId="Xmsonormal">
    <w:name w:val="x_msonormal"/>
    <w:basedOn w:val="Normal"/>
    <w:qFormat/>
    <w:pPr>
      <w:spacing w:before="280" w:after="280"/>
    </w:pPr>
    <w:rPr/>
  </w:style>
  <w:style w:type="paragraph" w:styleId="MediumShading1Accent11">
    <w:name w:val="Medium Shading 1 - Accent 11"/>
    <w:qFormat/>
    <w:pPr>
      <w:widowControl/>
      <w:bidi w:val="0"/>
    </w:pPr>
    <w:rPr>
      <w:rFonts w:ascii="Times New Roman" w:hAnsi="Times New Roman" w:eastAsia="Times New Roman" w:cs="Times New Roman"/>
      <w:color w:val="auto"/>
      <w:sz w:val="28"/>
      <w:szCs w:val="24"/>
      <w:lang w:val="en-US" w:bidi="ar-SA" w:eastAsia="zh-CN"/>
    </w:rPr>
  </w:style>
  <w:style w:type="paragraph" w:styleId="Char1">
    <w:name w:val="Char1"/>
    <w:basedOn w:val="Normal"/>
    <w:next w:val="Normal"/>
    <w:qFormat/>
    <w:pPr>
      <w:spacing w:lineRule="auto" w:line="312" w:before="120" w:after="120"/>
    </w:pPr>
    <w:rPr>
      <w:sz w:val="28"/>
      <w:szCs w:val="28"/>
    </w:rPr>
  </w:style>
  <w:style w:type="paragraph" w:styleId="CharChar2CharCharCharCharCharChar">
    <w:name w:val="Char Char2 Char Char Char Char Char Char"/>
    <w:basedOn w:val="Normal"/>
    <w:qFormat/>
    <w:pPr/>
    <w:rPr>
      <w:rFonts w:ascii="Tahoma" w:hAnsi="Tahoma" w:cs="Tahoma"/>
      <w:lang w:val="pl-PL"/>
    </w:rPr>
  </w:style>
  <w:style w:type="paragraph" w:styleId="List0020paragraph">
    <w:name w:val="list_0020paragraph"/>
    <w:basedOn w:val="Normal"/>
    <w:qFormat/>
    <w:pPr>
      <w:spacing w:before="280" w:after="280"/>
    </w:pPr>
    <w:rPr/>
  </w:style>
  <w:style w:type="paragraph" w:styleId="Yiv3519430896msonormal">
    <w:name w:val="yiv3519430896msonormal"/>
    <w:basedOn w:val="Normal"/>
    <w:qFormat/>
    <w:pPr>
      <w:spacing w:before="280" w:after="280"/>
    </w:pPr>
    <w:rPr/>
  </w:style>
  <w:style w:type="paragraph" w:styleId="BodyTextIndent2">
    <w:name w:val="Body Text Indent 2"/>
    <w:basedOn w:val="Normal"/>
    <w:qFormat/>
    <w:pPr>
      <w:spacing w:lineRule="auto" w:line="480" w:before="0" w:after="120"/>
      <w:ind w:left="360" w:hanging="0"/>
    </w:pPr>
    <w:rPr>
      <w:sz w:val="28"/>
      <w:szCs w:val="28"/>
    </w:rPr>
  </w:style>
  <w:style w:type="paragraph" w:styleId="ListParagraph">
    <w:name w:val="List Paragraph"/>
    <w:basedOn w:val="Normal"/>
    <w:qFormat/>
    <w:pPr>
      <w:spacing w:lineRule="auto" w:line="276" w:before="0" w:after="200"/>
      <w:ind w:left="720" w:hanging="0"/>
      <w:contextualSpacing/>
    </w:pPr>
    <w:rPr>
      <w:rFonts w:eastAsia="Calibri"/>
      <w:sz w:val="28"/>
      <w:szCs w:val="22"/>
    </w:rPr>
  </w:style>
  <w:style w:type="paragraph" w:styleId="BodyText3">
    <w:name w:val="Body Text 3"/>
    <w:basedOn w:val="Normal"/>
    <w:qFormat/>
    <w:pPr>
      <w:spacing w:before="0" w:after="120"/>
    </w:pPr>
    <w:rPr>
      <w:sz w:val="16"/>
      <w:szCs w:val="16"/>
    </w:rPr>
  </w:style>
  <w:style w:type="paragraph" w:styleId="Normal3">
    <w:name w:val="Normal3"/>
    <w:qFormat/>
    <w:pPr>
      <w:widowControl/>
      <w:bidi w:val="0"/>
    </w:pPr>
    <w:rPr>
      <w:rFonts w:ascii="Times New Roman" w:hAnsi="Times New Roman" w:eastAsia="Times New Roman" w:cs="Times New Roman"/>
      <w:color w:val="000000"/>
      <w:sz w:val="24"/>
      <w:szCs w:val="20"/>
      <w:lang w:val="en-US" w:bidi="ar-SA" w:eastAsia="zh-CN"/>
    </w:rPr>
  </w:style>
  <w:style w:type="paragraph" w:styleId="CarattereCarattereCharCharCharCharCharCharZchn">
    <w:name w:val="Carattere Carattere Char Char Char Char Char Char Zchn"/>
    <w:basedOn w:val="Normal"/>
    <w:next w:val="Normal"/>
    <w:qFormat/>
    <w:pPr>
      <w:spacing w:lineRule="exact" w:line="240" w:before="0" w:after="160"/>
    </w:pPr>
    <w:rPr>
      <w:sz w:val="20"/>
      <w:szCs w:val="20"/>
      <w:vertAlign w:val="superscript"/>
    </w:rPr>
  </w:style>
  <w:style w:type="paragraph" w:styleId="FtrefCharChar">
    <w:name w:val="ftref Char Char"/>
    <w:basedOn w:val="Normal"/>
    <w:qFormat/>
    <w:pPr>
      <w:spacing w:lineRule="exact" w:line="240" w:before="100" w:after="0"/>
    </w:pPr>
    <w:rPr>
      <w:rFonts w:eastAsia="Calibri"/>
      <w:sz w:val="20"/>
      <w:szCs w:val="20"/>
      <w:vertAlign w:val="superscript"/>
    </w:rPr>
  </w:style>
  <w:style w:type="paragraph" w:styleId="Content">
    <w:name w:val="Content"/>
    <w:basedOn w:val="Normal"/>
    <w:qFormat/>
    <w:pPr>
      <w:spacing w:lineRule="auto" w:line="264" w:before="120" w:after="0"/>
      <w:ind w:firstLine="720"/>
      <w:jc w:val="both"/>
    </w:pPr>
    <w:rPr>
      <w:rFonts w:eastAsia="Calibri" w:cs="Calibri"/>
      <w:sz w:val="28"/>
      <w:szCs w:val="22"/>
      <w:lang w:val="de-DE"/>
    </w:rPr>
  </w:style>
  <w:style w:type="paragraph" w:styleId="ColorfulListAccent11">
    <w:name w:val="Colorful List - Accent 11"/>
    <w:basedOn w:val="Normal"/>
    <w:qFormat/>
    <w:pPr>
      <w:spacing w:before="0" w:after="200"/>
      <w:ind w:left="720" w:hanging="0"/>
      <w:contextualSpacing/>
    </w:pPr>
    <w:rPr>
      <w:rFonts w:eastAsia="Cambria"/>
      <w:sz w:val="28"/>
    </w:rPr>
  </w:style>
  <w:style w:type="paragraph" w:styleId="M4699682942669953198msolistparagraph">
    <w:name w:val="m_4699682942669953198msolistparagraph"/>
    <w:basedOn w:val="Normal"/>
    <w:qFormat/>
    <w:pPr>
      <w:spacing w:before="280" w:after="280"/>
    </w:pPr>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Contents">
    <w:name w:val="Contents"/>
    <w:basedOn w:val="Normal"/>
    <w:qFormat/>
    <w:pPr>
      <w:spacing w:before="120" w:after="60"/>
      <w:ind w:firstLine="709"/>
      <w:jc w:val="both"/>
    </w:pPr>
    <w:rPr>
      <w:sz w:val="28"/>
      <w:szCs w:val="28"/>
      <w:lang w:val="de-DE"/>
    </w:rPr>
  </w:style>
  <w:style w:type="paragraph" w:styleId="Linh11">
    <w:name w:val="linh11"/>
    <w:basedOn w:val="Normal"/>
    <w:qFormat/>
    <w:pPr>
      <w:spacing w:lineRule="auto" w:line="336" w:before="60" w:after="60"/>
      <w:ind w:firstLine="720"/>
      <w:jc w:val="center"/>
    </w:pPr>
    <w:rPr>
      <w:b/>
      <w:sz w:val="28"/>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477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2022-04-28T15:49:00Z</dcterms:created>
  <dc:creator>Le Anh Tuan</dc:creator>
  <dc:description/>
  <cp:keywords/>
  <dc:language>en-US</dc:language>
  <cp:lastModifiedBy>Dang Thi Tuyet Minh</cp:lastModifiedBy>
  <cp:lastPrinted>2022-04-28T11:02:00Z</cp:lastPrinted>
  <dcterms:modified xsi:type="dcterms:W3CDTF">2022-04-29T17:41:00Z</dcterms:modified>
  <cp:revision>4</cp:revision>
  <dc:subject/>
  <dc:title>BỘ NÔNG NGHIỆP VÀ</dc:title>
</cp:coreProperties>
</file>