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7" w:type="dxa"/>
        <w:jc w:val="left"/>
        <w:tblInd w:w="-709" w:type="dxa"/>
        <w:tblLayout w:type="fixed"/>
        <w:tblCellMar>
          <w:top w:w="0" w:type="dxa"/>
          <w:left w:w="108" w:type="dxa"/>
          <w:bottom w:w="0" w:type="dxa"/>
          <w:right w:w="108" w:type="dxa"/>
        </w:tblCellMar>
      </w:tblPr>
      <w:tblGrid>
        <w:gridCol w:w="4111"/>
        <w:gridCol w:w="6096"/>
      </w:tblGrid>
      <w:tr>
        <w:trPr>
          <w:trHeight w:val="1548" w:hRule="atLeast"/>
        </w:trPr>
        <w:tc>
          <w:tcPr>
            <w:tcW w:w="4111" w:type="dxa"/>
            <w:tcBorders/>
          </w:tcPr>
          <w:p>
            <w:pPr>
              <w:pStyle w:val="Default"/>
              <w:ind w:firstLine="45"/>
              <w:jc w:val="center"/>
              <w:rPr>
                <w:b/>
                <w:b/>
                <w:color w:val="000000"/>
              </w:rPr>
            </w:pPr>
            <w:r>
              <w:rPr>
                <w:b/>
                <w:color w:val="000000"/>
              </w:rPr>
              <w:t xml:space="preserve">BỘ NÔNG NGHIỆP </w:t>
            </w:r>
          </w:p>
          <w:p>
            <w:pPr>
              <w:pStyle w:val="Default"/>
              <w:ind w:firstLine="45"/>
              <w:jc w:val="center"/>
              <w:rPr>
                <w:b/>
                <w:b/>
                <w:color w:val="000000"/>
              </w:rPr>
            </w:pPr>
            <w:r>
              <w:rPr>
                <w:b/>
                <w:color w:val="000000"/>
              </w:rPr>
              <w:t xml:space="preserve">VÀ PHÁT TRIỂN NÔNG THÔN </w:t>
            </w:r>
          </w:p>
          <w:p>
            <w:pPr>
              <w:pStyle w:val="Default"/>
              <w:tabs>
                <w:tab w:val="clear" w:pos="720"/>
                <w:tab w:val="left" w:pos="896" w:leader="none"/>
              </w:tabs>
              <w:ind w:firstLine="720"/>
              <w:jc w:val="center"/>
              <w:rPr>
                <w:b/>
                <w:b/>
                <w:bCs/>
                <w:color w:val="000000"/>
                <w:sz w:val="28"/>
                <w:szCs w:val="28"/>
              </w:rPr>
            </w:pPr>
            <w:r>
              <mc:AlternateContent>
                <mc:Choice Requires="wps">
                  <w:drawing>
                    <wp:anchor behindDoc="0" distT="0" distB="0" distL="0" distR="0" simplePos="0" locked="0" layoutInCell="1" allowOverlap="1" relativeHeight="3">
                      <wp:simplePos x="0" y="0"/>
                      <wp:positionH relativeFrom="column">
                        <wp:posOffset>574040</wp:posOffset>
                      </wp:positionH>
                      <wp:positionV relativeFrom="paragraph">
                        <wp:posOffset>-2540</wp:posOffset>
                      </wp:positionV>
                      <wp:extent cx="1285875" cy="635"/>
                      <wp:effectExtent l="0" t="0" r="0" b="0"/>
                      <wp:wrapNone/>
                      <wp:docPr id="1" name="AutoShape 6"/>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6" stroked="t" o:allowincell="t" style="position:absolute;margin-left:45.2pt;margin-top:-0.2pt;width:0pt;height:0pt" type="_x0000_t32">
                      <v:stroke color="black" weight="9360" joinstyle="miter" endcap="flat"/>
                      <v:fill o:detectmouseclick="t" on="false"/>
                      <w10:wrap type="none"/>
                    </v:shape>
                  </w:pict>
                </mc:Fallback>
              </mc:AlternateContent>
            </w:r>
            <w:r>
              <w:rPr>
                <w:b/>
                <w:bCs/>
                <w:color w:val="000000"/>
                <w:sz w:val="28"/>
                <w:szCs w:val="28"/>
              </w:rPr>
              <w:t xml:space="preserve"> </w:t>
            </w:r>
          </w:p>
          <w:p>
            <w:pPr>
              <w:pStyle w:val="Default"/>
              <w:tabs>
                <w:tab w:val="clear" w:pos="720"/>
                <w:tab w:val="left" w:pos="896" w:leader="none"/>
              </w:tabs>
              <w:ind w:firstLine="720"/>
              <w:jc w:val="center"/>
              <w:rPr>
                <w:color w:val="000000"/>
                <w:sz w:val="28"/>
                <w:szCs w:val="28"/>
              </w:rPr>
            </w:pPr>
            <w:r>
              <w:rPr>
                <w:color w:val="000000"/>
                <w:sz w:val="28"/>
                <w:szCs w:val="28"/>
              </w:rPr>
              <w:t xml:space="preserve"> </w:t>
            </w:r>
          </w:p>
        </w:tc>
        <w:tc>
          <w:tcPr>
            <w:tcW w:w="6096" w:type="dxa"/>
            <w:tcBorders/>
          </w:tcPr>
          <w:p>
            <w:pPr>
              <w:pStyle w:val="Default"/>
              <w:jc w:val="center"/>
              <w:rPr/>
            </w:pPr>
            <w:r>
              <w:rPr>
                <w:b/>
                <w:bCs/>
                <w:color w:val="000000"/>
                <w:sz w:val="28"/>
                <w:szCs w:val="28"/>
              </w:rPr>
              <w:t xml:space="preserve">      </w:t>
            </w:r>
            <w:r>
              <w:rPr>
                <w:b/>
                <w:bCs/>
                <w:color w:val="000000"/>
              </w:rPr>
              <w:t xml:space="preserve">CỘNG HÒA XÃ HỘI CHỦ NGHĨA VIỆT NAM </w:t>
            </w:r>
          </w:p>
          <w:p>
            <w:pPr>
              <w:pStyle w:val="Default"/>
              <w:ind w:firstLine="720"/>
              <w:jc w:val="center"/>
              <w:rPr>
                <w:color w:val="000000"/>
                <w:sz w:val="28"/>
                <w:szCs w:val="28"/>
              </w:rPr>
            </w:pPr>
            <w:r>
              <w:rPr>
                <w:b/>
                <w:bCs/>
                <w:iCs/>
                <w:color w:val="000000"/>
                <w:sz w:val="28"/>
                <w:szCs w:val="28"/>
              </w:rPr>
              <w:t>Độc lập - Tự do - Hạnh phúc</w:t>
            </w:r>
          </w:p>
          <w:p>
            <w:pPr>
              <w:pStyle w:val="Default"/>
              <w:ind w:firstLine="720"/>
              <w:jc w:val="center"/>
              <w:rPr>
                <w:b/>
                <w:b/>
                <w:bCs/>
                <w:i/>
                <w:i/>
                <w:iCs/>
                <w:color w:val="000000"/>
                <w:sz w:val="28"/>
                <w:szCs w:val="28"/>
                <w:lang w:val="en-US" w:eastAsia="en-US"/>
              </w:rPr>
            </w:pPr>
            <w:r>
              <w:rPr>
                <w:b/>
                <w:bCs/>
                <w:i/>
                <w:iCs/>
                <w:color w:val="000000"/>
                <w:sz w:val="28"/>
                <w:szCs w:val="28"/>
                <w:lang w:val="en-US" w:eastAsia="en-US"/>
              </w:rPr>
              <mc:AlternateContent>
                <mc:Choice Requires="wps">
                  <w:drawing>
                    <wp:anchor behindDoc="0" distT="0" distB="0" distL="114935" distR="114935" simplePos="0" locked="0" layoutInCell="1" allowOverlap="1" relativeHeight="2">
                      <wp:simplePos x="0" y="0"/>
                      <wp:positionH relativeFrom="column">
                        <wp:posOffset>1022985</wp:posOffset>
                      </wp:positionH>
                      <wp:positionV relativeFrom="paragraph">
                        <wp:posOffset>31750</wp:posOffset>
                      </wp:positionV>
                      <wp:extent cx="2162175" cy="0"/>
                      <wp:effectExtent l="0" t="5080" r="0" b="5080"/>
                      <wp:wrapNone/>
                      <wp:docPr id="2" name="Line 5"/>
                      <a:graphic xmlns:a="http://schemas.openxmlformats.org/drawingml/2006/main">
                        <a:graphicData uri="http://schemas.microsoft.com/office/word/2010/wordprocessingShape">
                          <wps:wsp>
                            <wps:cNvSpPr/>
                            <wps:spPr>
                              <a:xfrm>
                                <a:off x="0" y="0"/>
                                <a:ext cx="2162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0.55pt,2.5pt" to="250.75pt,2.5pt" ID="Line 5" stroked="t" o:allowincell="t" style="position:absolute">
                      <v:stroke color="black" weight="9360" joinstyle="miter" endcap="flat"/>
                      <v:fill o:detectmouseclick="t" on="false"/>
                      <w10:wrap type="none"/>
                    </v:line>
                  </w:pict>
                </mc:Fallback>
              </mc:AlternateContent>
            </w:r>
          </w:p>
          <w:p>
            <w:pPr>
              <w:pStyle w:val="Default"/>
              <w:ind w:firstLine="720"/>
              <w:jc w:val="center"/>
              <w:rPr>
                <w:i/>
                <w:i/>
                <w:color w:val="000000"/>
                <w:sz w:val="28"/>
                <w:szCs w:val="28"/>
              </w:rPr>
            </w:pPr>
            <w:r>
              <w:rPr>
                <w:i/>
                <w:iCs/>
                <w:color w:val="000000"/>
                <w:sz w:val="28"/>
                <w:szCs w:val="28"/>
              </w:rPr>
              <w:t xml:space="preserve">    </w:t>
            </w:r>
            <w:r>
              <w:rPr>
                <w:i/>
                <w:iCs/>
                <w:color w:val="000000"/>
                <w:sz w:val="28"/>
                <w:szCs w:val="28"/>
              </w:rPr>
              <w:t>Hà Nội, ngày 29 tháng 11 năm 2022</w:t>
            </w:r>
          </w:p>
        </w:tc>
      </w:tr>
    </w:tbl>
    <w:p>
      <w:pPr>
        <w:pStyle w:val="Default"/>
        <w:jc w:val="center"/>
        <w:rPr>
          <w:b/>
          <w:b/>
          <w:bCs/>
          <w:color w:val="000000"/>
          <w:sz w:val="28"/>
          <w:szCs w:val="28"/>
        </w:rPr>
      </w:pPr>
      <w:r>
        <w:rPr>
          <w:b/>
          <w:bCs/>
          <w:color w:val="000000"/>
          <w:sz w:val="28"/>
          <w:szCs w:val="28"/>
        </w:rPr>
        <w:t xml:space="preserve">BÁO CÁO </w:t>
      </w:r>
    </w:p>
    <w:p>
      <w:pPr>
        <w:pStyle w:val="Default"/>
        <w:jc w:val="center"/>
        <w:rPr/>
      </w:pPr>
      <w:r>
        <w:rPr>
          <w:b/>
          <w:bCs/>
          <w:color w:val="000000"/>
          <w:sz w:val="28"/>
          <w:szCs w:val="28"/>
          <w:lang w:val="vi-VN"/>
        </w:rPr>
        <w:t>Kết quả thực hiện Kế hoạch phát triển ngành</w:t>
      </w:r>
      <w:r>
        <w:rPr>
          <w:b/>
          <w:bCs/>
          <w:color w:val="000000"/>
          <w:sz w:val="28"/>
          <w:szCs w:val="28"/>
        </w:rPr>
        <w:t xml:space="preserve"> nông nghiệp, nông thôn</w:t>
      </w:r>
    </w:p>
    <w:p>
      <w:pPr>
        <w:pStyle w:val="Default"/>
        <w:jc w:val="center"/>
        <w:rPr>
          <w:b/>
          <w:b/>
          <w:bCs/>
          <w:color w:val="000000"/>
          <w:sz w:val="28"/>
          <w:szCs w:val="28"/>
        </w:rPr>
      </w:pPr>
      <w:r>
        <w:rPr>
          <w:b/>
          <w:bCs/>
          <w:color w:val="000000"/>
          <w:sz w:val="28"/>
          <w:szCs w:val="28"/>
        </w:rPr>
        <w:t xml:space="preserve"> </w:t>
      </w:r>
      <w:r>
        <w:rPr>
          <w:b/>
          <w:bCs/>
          <w:color w:val="000000"/>
          <w:sz w:val="28"/>
          <w:szCs w:val="28"/>
        </w:rPr>
        <w:t>tháng 11, 11 tháng đầu năm 2022; n</w:t>
      </w:r>
      <w:r>
        <w:rPr>
          <w:b/>
          <w:bCs/>
          <w:color w:val="000000"/>
          <w:sz w:val="28"/>
          <w:szCs w:val="28"/>
          <w:lang w:val="vi-VN"/>
        </w:rPr>
        <w:t xml:space="preserve">hiệm vụ trọng tâm tháng </w:t>
      </w:r>
      <w:r>
        <w:rPr>
          <w:b/>
          <w:bCs/>
          <w:color w:val="000000"/>
          <w:sz w:val="28"/>
          <w:szCs w:val="28"/>
        </w:rPr>
        <w:t>12</w:t>
      </w:r>
    </w:p>
    <w:p>
      <w:pPr>
        <w:pStyle w:val="Default"/>
        <w:spacing w:lineRule="exact" w:line="360" w:before="80" w:after="80"/>
        <w:ind w:firstLine="720"/>
        <w:jc w:val="both"/>
        <w:rPr>
          <w:b/>
          <w:b/>
          <w:bCs/>
          <w:color w:val="000000"/>
          <w:sz w:val="28"/>
          <w:szCs w:val="28"/>
          <w:lang w:val="en-US" w:eastAsia="en-US"/>
        </w:rPr>
      </w:pPr>
      <w:r>
        <w:rPr>
          <w:b/>
          <w:bCs/>
          <w:color w:val="000000"/>
          <w:sz w:val="28"/>
          <w:szCs w:val="28"/>
          <w:lang w:val="en-US" w:eastAsia="en-US"/>
        </w:rPr>
        <mc:AlternateContent>
          <mc:Choice Requires="wps">
            <w:drawing>
              <wp:anchor behindDoc="0" distT="0" distB="0" distL="0" distR="0" simplePos="0" locked="0" layoutInCell="0" allowOverlap="1" relativeHeight="4">
                <wp:simplePos x="0" y="0"/>
                <wp:positionH relativeFrom="column">
                  <wp:posOffset>1793240</wp:posOffset>
                </wp:positionH>
                <wp:positionV relativeFrom="paragraph">
                  <wp:posOffset>48895</wp:posOffset>
                </wp:positionV>
                <wp:extent cx="2243455" cy="635"/>
                <wp:effectExtent l="0" t="0" r="0" b="0"/>
                <wp:wrapNone/>
                <wp:docPr id="3" name="AutoShape 9"/>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ID="AutoShape 9" stroked="t" o:allowincell="f" style="position:absolute;margin-left:141.2pt;margin-top:3.85pt;width:0pt;height:0pt" type="_x0000_t32">
                <v:stroke color="black" weight="9360" joinstyle="miter" endcap="flat"/>
                <v:fill o:detectmouseclick="t" on="false"/>
                <w10:wrap type="none"/>
              </v:shape>
            </w:pict>
          </mc:Fallback>
        </mc:AlternateContent>
      </w:r>
    </w:p>
    <w:p>
      <w:pPr>
        <w:pStyle w:val="Default"/>
        <w:widowControl w:val="false"/>
        <w:spacing w:before="0" w:after="120"/>
        <w:jc w:val="center"/>
        <w:rPr>
          <w:b/>
          <w:b/>
          <w:bCs/>
          <w:color w:val="000000"/>
          <w:sz w:val="28"/>
          <w:szCs w:val="28"/>
        </w:rPr>
      </w:pPr>
      <w:r>
        <w:rPr>
          <w:b/>
          <w:bCs/>
          <w:color w:val="000000"/>
          <w:sz w:val="28"/>
          <w:szCs w:val="28"/>
        </w:rPr>
        <w:t>Phần I</w:t>
      </w:r>
    </w:p>
    <w:p>
      <w:pPr>
        <w:pStyle w:val="Default"/>
        <w:widowControl w:val="false"/>
        <w:spacing w:before="0" w:after="120"/>
        <w:jc w:val="center"/>
        <w:rPr>
          <w:b/>
          <w:b/>
          <w:bCs/>
          <w:color w:val="000000"/>
          <w:sz w:val="28"/>
          <w:szCs w:val="28"/>
        </w:rPr>
      </w:pPr>
      <w:r>
        <w:rPr>
          <w:b/>
          <w:bCs/>
          <w:color w:val="000000"/>
          <w:sz w:val="28"/>
          <w:szCs w:val="28"/>
          <w:lang w:val="vi-VN"/>
        </w:rPr>
        <w:t xml:space="preserve">KẾT QUẢ THỰC HIỆN KẾ HOẠCH THÁNG </w:t>
      </w:r>
      <w:r>
        <w:rPr>
          <w:b/>
          <w:bCs/>
          <w:color w:val="000000"/>
          <w:sz w:val="28"/>
          <w:szCs w:val="28"/>
        </w:rPr>
        <w:t>11 VÀ 11 THÁNG</w:t>
      </w:r>
    </w:p>
    <w:p>
      <w:pPr>
        <w:pStyle w:val="Default"/>
        <w:widowControl w:val="false"/>
        <w:spacing w:before="120" w:after="0"/>
        <w:ind w:firstLine="720"/>
        <w:jc w:val="both"/>
        <w:rPr>
          <w:rFonts w:eastAsia="MS Mincho;Yu Gothic UI"/>
          <w:color w:val="000000"/>
          <w:sz w:val="28"/>
          <w:szCs w:val="28"/>
          <w:lang w:val="da-DK" w:eastAsia="ja-JP"/>
        </w:rPr>
      </w:pPr>
      <w:r>
        <w:rPr>
          <w:color w:val="000000"/>
          <w:sz w:val="28"/>
          <w:szCs w:val="28"/>
          <w:lang w:val="pt-BR"/>
        </w:rPr>
        <w:t xml:space="preserve">Tháng 11 và 11 tháng đầu năm, ngành nông nghiệp, nông thôn thực hiện kế hoạch </w:t>
      </w:r>
      <w:r>
        <w:rPr>
          <w:color w:val="000000"/>
          <w:sz w:val="28"/>
          <w:szCs w:val="28"/>
          <w:lang w:val="vi-VN"/>
        </w:rPr>
        <w:t>trong</w:t>
      </w:r>
      <w:r>
        <w:rPr>
          <w:color w:val="000000"/>
          <w:sz w:val="28"/>
          <w:szCs w:val="28"/>
          <w:lang w:val="pt-BR"/>
        </w:rPr>
        <w:t xml:space="preserve"> điều kiện thời tiết khá thuận lợi,</w:t>
      </w:r>
      <w:r>
        <w:rPr>
          <w:color w:val="000000"/>
          <w:sz w:val="28"/>
          <w:szCs w:val="28"/>
          <w:lang w:val="vi-VN"/>
        </w:rPr>
        <w:t xml:space="preserve"> </w:t>
      </w:r>
      <w:r>
        <w:rPr>
          <w:color w:val="000000"/>
          <w:sz w:val="28"/>
          <w:szCs w:val="28"/>
          <w:lang w:val="pt-BR"/>
        </w:rPr>
        <w:t xml:space="preserve">dịch bệnh trên gia súc, gia cầm được kiểm soát; nhưng giá vật tư, nguyên liệu đầu vào phục vụ sản xuất vẫn cao; thị trường quốc tế diễn biến phức tạp bởi tác động của xung đột Nga - Ucraina, chính sách của một số nước bảo vệ sản xuất trong nước, bảo đảm ANLT quốc gia. Ngành đã chủ động </w:t>
      </w:r>
      <w:r>
        <w:rPr>
          <w:bCs/>
          <w:color w:val="000000"/>
          <w:sz w:val="28"/>
          <w:szCs w:val="28"/>
          <w:lang w:val="pt-BR"/>
        </w:rPr>
        <w:t>phối hợp với các</w:t>
      </w:r>
      <w:r>
        <w:rPr>
          <w:color w:val="000000"/>
          <w:sz w:val="28"/>
          <w:szCs w:val="28"/>
          <w:lang w:val="pt-BR"/>
        </w:rPr>
        <w:t xml:space="preserve"> bộ, ngành, địa phương tập trung triển khai các giải pháp nhằm ổn định phát triển sản xuất, ứng phó với biến động thị trường, thời tiết, dịch bệnh; tăng cường đàm phán mở cửa thị trường nhằm đẩy mạnh tiêu thụ</w:t>
      </w:r>
      <w:r>
        <w:rPr>
          <w:color w:val="000000"/>
          <w:sz w:val="28"/>
          <w:szCs w:val="28"/>
          <w:lang w:val="es-ES"/>
        </w:rPr>
        <w:t xml:space="preserve">. </w:t>
      </w:r>
      <w:r>
        <w:rPr>
          <w:bCs/>
          <w:color w:val="000000"/>
          <w:sz w:val="28"/>
          <w:szCs w:val="28"/>
          <w:lang w:val="es-ES"/>
        </w:rPr>
        <w:t xml:space="preserve">Nhờ vậy, </w:t>
      </w:r>
      <w:r>
        <w:rPr>
          <w:color w:val="000000"/>
          <w:sz w:val="28"/>
          <w:szCs w:val="28"/>
          <w:lang w:val="es-ES"/>
        </w:rPr>
        <w:t>sản xuất nông lâm thủy sản đạt nhiều kết quả khả quan</w:t>
      </w:r>
      <w:r>
        <w:rPr>
          <w:color w:val="000000"/>
          <w:sz w:val="28"/>
          <w:szCs w:val="28"/>
          <w:lang w:val="pt-BR"/>
        </w:rPr>
        <w:t>.</w:t>
      </w:r>
    </w:p>
    <w:p>
      <w:pPr>
        <w:pStyle w:val="Default"/>
        <w:widowControl w:val="false"/>
        <w:spacing w:before="120" w:after="0"/>
        <w:rPr/>
      </w:pPr>
      <w:r>
        <w:rPr>
          <w:color w:val="000000"/>
          <w:sz w:val="28"/>
          <w:szCs w:val="28"/>
          <w:lang w:val="es-ES"/>
        </w:rPr>
        <w:tab/>
      </w:r>
      <w:r>
        <w:rPr>
          <w:rFonts w:eastAsia="MS Mincho;Yu Gothic UI"/>
          <w:color w:val="000000"/>
          <w:sz w:val="28"/>
          <w:szCs w:val="28"/>
          <w:lang w:val="vi-VN" w:eastAsia="ja-JP"/>
        </w:rPr>
        <w:t xml:space="preserve">Một số kết quả cụ thể như sau: </w:t>
      </w:r>
    </w:p>
    <w:p>
      <w:pPr>
        <w:pStyle w:val="Default"/>
        <w:widowControl w:val="false"/>
        <w:spacing w:before="120" w:after="0"/>
        <w:ind w:right="-227" w:firstLine="567"/>
        <w:jc w:val="both"/>
        <w:rPr>
          <w:b/>
          <w:b/>
          <w:bCs/>
          <w:color w:val="000000"/>
          <w:spacing w:val="-10"/>
          <w:sz w:val="26"/>
          <w:szCs w:val="26"/>
          <w:lang w:val="es-ES"/>
        </w:rPr>
      </w:pPr>
      <w:r>
        <w:rPr>
          <w:rFonts w:eastAsia="Times New Roman"/>
          <w:color w:val="000000"/>
          <w:sz w:val="26"/>
          <w:szCs w:val="26"/>
          <w:lang w:val="es-ES" w:eastAsia="ja-JP"/>
        </w:rPr>
        <w:t xml:space="preserve">  </w:t>
      </w:r>
      <w:r>
        <w:rPr>
          <w:b/>
          <w:bCs/>
          <w:color w:val="000000"/>
          <w:spacing w:val="-10"/>
          <w:sz w:val="26"/>
          <w:szCs w:val="26"/>
          <w:lang w:val="es-ES"/>
        </w:rPr>
        <w:t xml:space="preserve">I. </w:t>
      </w:r>
      <w:r>
        <w:rPr>
          <w:b/>
          <w:bCs/>
          <w:color w:val="000000"/>
          <w:spacing w:val="-10"/>
          <w:sz w:val="26"/>
          <w:szCs w:val="26"/>
          <w:lang w:val="vi-VN"/>
        </w:rPr>
        <w:t>PHÁT TRIỂN SẢN XUẤT KINH DOANH</w:t>
      </w:r>
      <w:r>
        <w:rPr>
          <w:b/>
          <w:bCs/>
          <w:color w:val="000000"/>
          <w:spacing w:val="-10"/>
          <w:sz w:val="26"/>
          <w:szCs w:val="26"/>
          <w:lang w:val="es-ES"/>
        </w:rPr>
        <w:t xml:space="preserve">; </w:t>
      </w:r>
      <w:r>
        <w:rPr>
          <w:b/>
          <w:bCs/>
          <w:color w:val="000000"/>
          <w:spacing w:val="-10"/>
          <w:sz w:val="26"/>
          <w:szCs w:val="26"/>
          <w:lang w:val="vi-VN"/>
        </w:rPr>
        <w:t>CÁC NHIỆM VỤ TRỌNG TÂM</w:t>
      </w:r>
      <w:r>
        <w:rPr>
          <w:b/>
          <w:bCs/>
          <w:color w:val="000000"/>
          <w:spacing w:val="-10"/>
          <w:sz w:val="26"/>
          <w:szCs w:val="26"/>
          <w:lang w:val="es-ES"/>
        </w:rPr>
        <w:t xml:space="preserve">  </w:t>
      </w:r>
    </w:p>
    <w:p>
      <w:pPr>
        <w:pStyle w:val="Normal"/>
        <w:widowControl w:val="false"/>
        <w:spacing w:before="120" w:after="0"/>
        <w:ind w:firstLine="720"/>
        <w:jc w:val="both"/>
        <w:rPr>
          <w:b/>
          <w:b/>
          <w:sz w:val="28"/>
          <w:szCs w:val="28"/>
          <w:lang w:val="da-DK"/>
        </w:rPr>
      </w:pPr>
      <w:r>
        <w:rPr>
          <w:b/>
          <w:sz w:val="28"/>
          <w:szCs w:val="28"/>
          <w:lang w:val="da-DK"/>
        </w:rPr>
        <w:t>1. Kết quả sản xuất</w:t>
      </w:r>
    </w:p>
    <w:p>
      <w:pPr>
        <w:pStyle w:val="Normal"/>
        <w:widowControl w:val="false"/>
        <w:spacing w:before="120" w:after="0"/>
        <w:ind w:firstLine="720"/>
        <w:jc w:val="both"/>
        <w:rPr/>
      </w:pPr>
      <w:r>
        <w:rPr>
          <w:sz w:val="28"/>
          <w:szCs w:val="28"/>
          <w:lang w:val="da-DK"/>
        </w:rPr>
        <w:t>a) Trồng trọt</w:t>
      </w:r>
    </w:p>
    <w:p>
      <w:pPr>
        <w:pStyle w:val="Normal"/>
        <w:widowControl w:val="false"/>
        <w:spacing w:before="120" w:after="0"/>
        <w:ind w:firstLine="720"/>
        <w:jc w:val="both"/>
        <w:rPr>
          <w:rStyle w:val="InternetLink"/>
          <w:color w:val="000000"/>
          <w:sz w:val="28"/>
          <w:szCs w:val="28"/>
          <w:u w:val="none"/>
          <w:shd w:fill="FFFFFF" w:val="clear"/>
          <w:lang w:val="nb-NO"/>
        </w:rPr>
      </w:pPr>
      <w:bookmarkStart w:id="0" w:name="_Hlk36194785"/>
      <w:bookmarkEnd w:id="0"/>
      <w:r>
        <w:rPr>
          <w:bCs/>
          <w:spacing w:val="-2"/>
          <w:sz w:val="28"/>
          <w:szCs w:val="28"/>
          <w:lang w:val="pt-BR"/>
        </w:rPr>
        <w:t xml:space="preserve">Trong tháng 11, </w:t>
      </w:r>
      <w:r>
        <w:rPr>
          <w:color w:val="000000"/>
          <w:sz w:val="28"/>
          <w:szCs w:val="28"/>
          <w:lang w:val="pt-BR"/>
        </w:rPr>
        <w:t xml:space="preserve">các địa phương phía Bắc tập trung vào thu hoạch lúa Mùa, gieo trồng các loại cây màu vụ đông; các tỉnh Đồng bằng sông Cửu Long (ĐBSCL) thu hoạch lúa Thu Đông ở và gieo trồng vụ Đông Xuân </w:t>
      </w:r>
      <w:r>
        <w:rPr>
          <w:sz w:val="28"/>
          <w:szCs w:val="28"/>
          <w:lang w:val="pt-BR"/>
        </w:rPr>
        <w:t>. Cụ thể:</w:t>
      </w:r>
    </w:p>
    <w:p>
      <w:pPr>
        <w:pStyle w:val="Normal"/>
        <w:widowControl w:val="false"/>
        <w:shd w:fill="FFFFFF" w:val="clear"/>
        <w:tabs>
          <w:tab w:val="clear" w:pos="720"/>
          <w:tab w:val="left" w:pos="2847" w:leader="none"/>
        </w:tabs>
        <w:spacing w:before="120" w:after="0"/>
        <w:ind w:firstLine="720"/>
        <w:jc w:val="both"/>
        <w:rPr>
          <w:sz w:val="28"/>
          <w:szCs w:val="28"/>
          <w:lang w:val="nb-NO"/>
        </w:rPr>
      </w:pPr>
      <w:bookmarkStart w:id="1" w:name="_Hlk36194785"/>
      <w:bookmarkEnd w:id="1"/>
      <w:r>
        <w:rPr>
          <w:i/>
          <w:iCs/>
          <w:sz w:val="28"/>
          <w:szCs w:val="28"/>
          <w:lang w:val="nb-NO"/>
        </w:rPr>
        <w:t>* Lúa:</w:t>
      </w:r>
      <w:r>
        <w:rPr>
          <w:sz w:val="28"/>
          <w:szCs w:val="28"/>
          <w:lang w:val="nb-NO"/>
        </w:rPr>
        <w:t xml:space="preserve"> Lũy kế đến trung tuần tháng 11, </w:t>
      </w:r>
      <w:bookmarkStart w:id="2" w:name="_Hlk52269939"/>
      <w:r>
        <w:rPr>
          <w:sz w:val="28"/>
          <w:szCs w:val="28"/>
          <w:lang w:val="nb-NO"/>
        </w:rPr>
        <w:t xml:space="preserve">cả nước gieo cấy được </w:t>
      </w:r>
      <w:r>
        <w:rPr>
          <w:sz w:val="28"/>
          <w:szCs w:val="28"/>
          <w:lang w:val="pt-BR"/>
        </w:rPr>
        <w:t xml:space="preserve">trên 7,1 triệu ha </w:t>
      </w:r>
      <w:r>
        <w:rPr>
          <w:sz w:val="28"/>
          <w:szCs w:val="28"/>
          <w:lang w:val="nb-NO"/>
        </w:rPr>
        <w:t>lúa</w:t>
      </w:r>
      <w:bookmarkStart w:id="3" w:name="_Hlk52269958"/>
      <w:bookmarkEnd w:id="2"/>
      <w:r>
        <w:rPr>
          <w:sz w:val="28"/>
          <w:szCs w:val="28"/>
          <w:lang w:val="nb-NO"/>
        </w:rPr>
        <w:t>, giảm 110,2 nghìn ha (-1,5%) so với cùng kỳ năm trước (CKNT)</w:t>
      </w:r>
      <w:r>
        <w:rPr>
          <w:rStyle w:val="FootnoteCharacters"/>
          <w:rStyle w:val="FootnoteAnchor"/>
          <w:sz w:val="28"/>
          <w:szCs w:val="28"/>
          <w:lang w:val="nb-NO"/>
        </w:rPr>
        <w:footnoteReference w:id="2"/>
      </w:r>
      <w:r>
        <w:rPr>
          <w:sz w:val="28"/>
          <w:szCs w:val="28"/>
          <w:vertAlign w:val="superscript"/>
          <w:lang w:val="nb-NO"/>
        </w:rPr>
        <w:t>,</w:t>
      </w:r>
      <w:r>
        <w:rPr>
          <w:rStyle w:val="FootnoteCharacters"/>
          <w:rStyle w:val="FootnoteAnchor"/>
          <w:sz w:val="28"/>
          <w:szCs w:val="28"/>
          <w:lang w:val="nb-NO"/>
        </w:rPr>
        <w:footnoteReference w:id="3"/>
      </w:r>
      <w:r>
        <w:rPr>
          <w:sz w:val="28"/>
          <w:szCs w:val="28"/>
          <w:lang w:val="nb-NO"/>
        </w:rPr>
        <w:t xml:space="preserve">; đã thu hoạch </w:t>
      </w:r>
      <w:r>
        <w:rPr>
          <w:sz w:val="28"/>
          <w:szCs w:val="28"/>
          <w:lang w:val="pt-BR"/>
        </w:rPr>
        <w:t>6,9 triệu ha, giảm 19 nghìn ha (-0,3%)</w:t>
      </w:r>
      <w:r>
        <w:rPr>
          <w:sz w:val="28"/>
          <w:szCs w:val="28"/>
          <w:lang w:val="vi-VN"/>
        </w:rPr>
        <w:t>;</w:t>
      </w:r>
      <w:r>
        <w:rPr>
          <w:sz w:val="28"/>
          <w:szCs w:val="28"/>
          <w:lang w:val="pt-BR"/>
        </w:rPr>
        <w:t xml:space="preserve"> năng suất bình quân đạt </w:t>
      </w:r>
      <w:r>
        <w:rPr>
          <w:bCs/>
          <w:sz w:val="28"/>
          <w:szCs w:val="28"/>
          <w:lang w:val="pt-BR"/>
        </w:rPr>
        <w:t>60,0 tạ/ha</w:t>
      </w:r>
      <w:r>
        <w:rPr>
          <w:sz w:val="28"/>
          <w:szCs w:val="28"/>
          <w:lang w:val="pt-BR"/>
        </w:rPr>
        <w:t xml:space="preserve">; </w:t>
      </w:r>
      <w:r>
        <w:rPr>
          <w:bCs/>
          <w:sz w:val="28"/>
          <w:szCs w:val="28"/>
          <w:lang w:val="vi-VN"/>
        </w:rPr>
        <w:t xml:space="preserve">sản lượng </w:t>
      </w:r>
      <w:r>
        <w:rPr>
          <w:bCs/>
          <w:sz w:val="28"/>
          <w:szCs w:val="28"/>
          <w:lang w:val="nl-NL"/>
        </w:rPr>
        <w:t xml:space="preserve">thu hoạch trên 41,3 </w:t>
      </w:r>
      <w:r>
        <w:rPr>
          <w:bCs/>
          <w:sz w:val="28"/>
          <w:szCs w:val="28"/>
          <w:lang w:val="vi-VN"/>
        </w:rPr>
        <w:t>triệu tấn</w:t>
      </w:r>
      <w:r>
        <w:rPr>
          <w:bCs/>
          <w:sz w:val="28"/>
          <w:szCs w:val="28"/>
          <w:lang w:val="pt-BR"/>
        </w:rPr>
        <w:t>, giảm 721,3 nghìn tấn (-1,7%)</w:t>
      </w:r>
      <w:r>
        <w:rPr>
          <w:sz w:val="28"/>
          <w:szCs w:val="28"/>
          <w:lang w:val="vi-VN"/>
        </w:rPr>
        <w:t>.</w:t>
      </w:r>
      <w:r>
        <w:rPr>
          <w:sz w:val="28"/>
          <w:szCs w:val="28"/>
          <w:lang w:val="nb-NO"/>
        </w:rPr>
        <w:t xml:space="preserve"> </w:t>
      </w:r>
      <w:bookmarkEnd w:id="3"/>
      <w:r>
        <w:rPr>
          <w:sz w:val="28"/>
          <w:szCs w:val="28"/>
          <w:lang w:val="nb-NO"/>
        </w:rPr>
        <w:t xml:space="preserve">Trong đó: </w:t>
      </w:r>
    </w:p>
    <w:p>
      <w:pPr>
        <w:pStyle w:val="Normal"/>
        <w:widowControl w:val="false"/>
        <w:spacing w:before="120" w:after="0"/>
        <w:ind w:firstLine="720"/>
        <w:jc w:val="both"/>
        <w:rPr>
          <w:rFonts w:eastAsia="Calibri"/>
          <w:sz w:val="28"/>
          <w:szCs w:val="28"/>
          <w:lang w:val="sv-SE"/>
        </w:rPr>
      </w:pPr>
      <w:r>
        <w:rPr>
          <w:spacing w:val="-2"/>
          <w:sz w:val="28"/>
          <w:szCs w:val="28"/>
          <w:lang w:val="sv-SE"/>
        </w:rPr>
        <w:t xml:space="preserve">- </w:t>
      </w:r>
      <w:r>
        <w:rPr>
          <w:rFonts w:eastAsia="Calibri"/>
          <w:sz w:val="28"/>
          <w:szCs w:val="28"/>
          <w:lang w:val="sv-SE"/>
        </w:rPr>
        <w:t xml:space="preserve">Lúa Thu Đông: Các địa phương ĐBSCL gieo trồng được </w:t>
      </w:r>
      <w:r>
        <w:rPr>
          <w:sz w:val="28"/>
          <w:szCs w:val="28"/>
          <w:lang w:val="pt-BR"/>
        </w:rPr>
        <w:t xml:space="preserve">649,2 </w:t>
      </w:r>
      <w:r>
        <w:rPr>
          <w:rFonts w:eastAsia="Calibri"/>
          <w:sz w:val="28"/>
          <w:szCs w:val="28"/>
          <w:lang w:val="sv-SE"/>
        </w:rPr>
        <w:t xml:space="preserve">nghìn ha, giảm 50,3 nghìn ha so CKNT. Đã thu hoạch được khoảng 401,9 nghìn ha với sản lượng đã thu hoạch đạt 2,23 triệu tấn, giảm 0,9% so CKNT. Dự kiến </w:t>
      </w:r>
      <w:r>
        <w:rPr>
          <w:spacing w:val="-4"/>
          <w:sz w:val="28"/>
          <w:szCs w:val="28"/>
          <w:lang w:val="pt-BR"/>
        </w:rPr>
        <w:t>năng suất toàn vụ ước đạt 56,0 tạ/ha, giảm 0,1 tạ/ha; sản lượng ước đạt 3,63 triệu tấn, giảm 390 nghìn tấn so với vụ Thu Đông năm trước.</w:t>
      </w:r>
    </w:p>
    <w:p>
      <w:pPr>
        <w:pStyle w:val="Normal"/>
        <w:widowControl w:val="false"/>
        <w:shd w:fill="FFFFFF" w:val="clear"/>
        <w:spacing w:before="120" w:after="0"/>
        <w:ind w:firstLine="720"/>
        <w:jc w:val="both"/>
        <w:rPr>
          <w:spacing w:val="-4"/>
          <w:sz w:val="28"/>
          <w:szCs w:val="28"/>
          <w:lang w:val="pt-BR"/>
        </w:rPr>
      </w:pPr>
      <w:r>
        <w:rPr>
          <w:sz w:val="28"/>
          <w:szCs w:val="28"/>
          <w:lang w:val="vi-VN"/>
        </w:rPr>
        <w:t xml:space="preserve">- </w:t>
      </w:r>
      <w:r>
        <w:rPr>
          <w:sz w:val="28"/>
          <w:szCs w:val="28"/>
          <w:lang w:val="sv-SE"/>
        </w:rPr>
        <w:t>Lúa Mùa:</w:t>
      </w:r>
      <w:r>
        <w:rPr>
          <w:b/>
          <w:i/>
          <w:sz w:val="28"/>
          <w:szCs w:val="28"/>
          <w:lang w:val="sv-SE"/>
        </w:rPr>
        <w:t xml:space="preserve"> </w:t>
      </w:r>
      <w:r>
        <w:rPr>
          <w:sz w:val="28"/>
          <w:szCs w:val="28"/>
          <w:lang w:val="sv-SE"/>
        </w:rPr>
        <w:t xml:space="preserve">Cả nước gieo cấy gần </w:t>
      </w:r>
      <w:r>
        <w:rPr>
          <w:sz w:val="28"/>
          <w:szCs w:val="28"/>
          <w:lang w:val="pt-BR"/>
        </w:rPr>
        <w:t>1,6 triệu</w:t>
      </w:r>
      <w:r>
        <w:rPr>
          <w:sz w:val="28"/>
          <w:szCs w:val="28"/>
          <w:lang w:val="sv-SE"/>
        </w:rPr>
        <w:t xml:space="preserve"> ha, giảm 0,4% so CKNT; đã thu hoạch khoảng 1,3 triệu ha, tăng 0,6% so CKNT; sản lượng thu hoạch đạt trên 6,6 triệu tấn, tăng 1,8%. Dự kiến </w:t>
      </w:r>
      <w:r>
        <w:rPr>
          <w:spacing w:val="-4"/>
          <w:sz w:val="28"/>
          <w:szCs w:val="28"/>
          <w:lang w:val="pt-BR"/>
        </w:rPr>
        <w:t>năng suất toàn vụ ước đạt 52,9 tạ/ha, tăng 1,3 tạ/ha; sản lượng toàn vụ ước đạt 8,21 triệu tấn, tăng 152 nghìn tấn (+1,9%).</w:t>
      </w:r>
    </w:p>
    <w:p>
      <w:pPr>
        <w:pStyle w:val="Normal"/>
        <w:widowControl w:val="false"/>
        <w:shd w:fill="FFFFFF" w:val="clear"/>
        <w:spacing w:before="120" w:after="0"/>
        <w:ind w:firstLine="720"/>
        <w:jc w:val="both"/>
        <w:rPr>
          <w:sz w:val="28"/>
          <w:szCs w:val="28"/>
          <w:lang w:val="sv-SE"/>
        </w:rPr>
      </w:pPr>
      <w:r>
        <w:rPr>
          <w:sz w:val="28"/>
          <w:szCs w:val="28"/>
          <w:lang w:val="vi-VN"/>
        </w:rPr>
        <w:t xml:space="preserve">- </w:t>
      </w:r>
      <w:r>
        <w:rPr>
          <w:sz w:val="28"/>
          <w:szCs w:val="28"/>
          <w:lang w:val="sv-SE"/>
        </w:rPr>
        <w:t>Lúa Đông xuân: Các tỉnh phía Nam</w:t>
      </w:r>
      <w:r>
        <w:rPr>
          <w:b/>
          <w:i/>
          <w:sz w:val="28"/>
          <w:szCs w:val="28"/>
          <w:lang w:val="sv-SE"/>
        </w:rPr>
        <w:t xml:space="preserve"> </w:t>
      </w:r>
      <w:r>
        <w:rPr>
          <w:spacing w:val="-4"/>
          <w:sz w:val="28"/>
          <w:szCs w:val="28"/>
          <w:lang w:val="pt-BR"/>
        </w:rPr>
        <w:t>đã gieo cấy được 308,1 nghìn ha, giảm 14% so với CKNT và tập trung ở vùng ĐBSCL. Tiến độ gieo trồng chậm do một số địa phương chỉ đạo lịch thời xuống giống muộn (Tiền Giang, An Giang, Hậu Giang).</w:t>
      </w:r>
    </w:p>
    <w:p>
      <w:pPr>
        <w:pStyle w:val="Normal"/>
        <w:widowControl w:val="false"/>
        <w:shd w:fill="FFFFFF" w:val="clear"/>
        <w:spacing w:before="120" w:after="0"/>
        <w:ind w:firstLine="720"/>
        <w:jc w:val="both"/>
        <w:rPr>
          <w:i/>
          <w:i/>
          <w:iCs/>
          <w:sz w:val="28"/>
          <w:szCs w:val="28"/>
          <w:lang w:val="sv-SE"/>
        </w:rPr>
      </w:pPr>
      <w:r>
        <w:rPr>
          <w:i/>
          <w:iCs/>
          <w:sz w:val="28"/>
          <w:szCs w:val="28"/>
          <w:lang w:val="sv-SE"/>
        </w:rPr>
        <w:t xml:space="preserve">* Rau, màu: </w:t>
      </w:r>
      <w:r>
        <w:rPr>
          <w:sz w:val="28"/>
          <w:szCs w:val="28"/>
          <w:lang w:val="sv-SE"/>
        </w:rPr>
        <w:t xml:space="preserve">Cả nước gieo trồng 974 nghìn ha ngô, giảm 1,6% so với CKNT; 105,9 nghìn ha khoai lang, giảm 6,2%; 174 nghìn ha lạc, giảm 1,4%; 37,4 nghìn ha đậu tương, giảm 6,2%; 1,23 triệu ha rau các loại, tăng 1,6%.  </w:t>
      </w:r>
    </w:p>
    <w:p>
      <w:pPr>
        <w:pStyle w:val="Normal"/>
        <w:widowControl w:val="false"/>
        <w:tabs>
          <w:tab w:val="clear" w:pos="720"/>
          <w:tab w:val="center" w:pos="5062" w:leader="none"/>
        </w:tabs>
        <w:spacing w:before="120" w:after="0"/>
        <w:ind w:firstLine="709"/>
        <w:jc w:val="both"/>
        <w:rPr>
          <w:sz w:val="28"/>
          <w:szCs w:val="28"/>
          <w:lang w:val="pt-BR"/>
        </w:rPr>
      </w:pPr>
      <w:r>
        <w:rPr>
          <w:sz w:val="28"/>
          <w:szCs w:val="28"/>
          <w:lang w:val="nb-NO"/>
        </w:rPr>
        <w:t>b) Chăn nuôi</w:t>
      </w:r>
    </w:p>
    <w:p>
      <w:pPr>
        <w:pStyle w:val="Normal"/>
        <w:widowControl w:val="false"/>
        <w:tabs>
          <w:tab w:val="clear" w:pos="720"/>
          <w:tab w:val="center" w:pos="5062" w:leader="none"/>
        </w:tabs>
        <w:spacing w:before="120" w:after="0"/>
        <w:ind w:firstLine="709"/>
        <w:jc w:val="both"/>
        <w:rPr>
          <w:sz w:val="28"/>
          <w:szCs w:val="28"/>
          <w:lang w:val="pt-BR"/>
        </w:rPr>
      </w:pPr>
      <w:r>
        <w:rPr>
          <w:sz w:val="28"/>
          <w:szCs w:val="28"/>
          <w:lang w:val="pt-BR"/>
        </w:rPr>
        <w:t>Tình hình chăn nuôi gia súc, gia cầm trong tháng phát triển ổn định, dịch bệnh cơ bản được kiểm soát. Giá thịt lợn hơi biến động giảm so với tháng trước.</w:t>
      </w:r>
      <w:r>
        <w:rPr>
          <w:sz w:val="28"/>
          <w:szCs w:val="28"/>
          <w:lang w:val="vi-VN"/>
        </w:rPr>
        <w:t xml:space="preserve"> </w:t>
      </w:r>
      <w:r>
        <w:rPr>
          <w:sz w:val="28"/>
          <w:szCs w:val="28"/>
          <w:lang w:val="pt-BR"/>
        </w:rPr>
        <w:t xml:space="preserve">Giá thành chăn nuôi hiện vẫn ở mức cao </w:t>
      </w:r>
      <w:r>
        <w:rPr>
          <w:sz w:val="28"/>
          <w:szCs w:val="28"/>
          <w:lang w:val="vi-VN"/>
        </w:rPr>
        <w:t>do</w:t>
      </w:r>
      <w:r>
        <w:rPr>
          <w:sz w:val="28"/>
          <w:szCs w:val="28"/>
          <w:lang w:val="pt-BR"/>
        </w:rPr>
        <w:t xml:space="preserve"> giá nguyên vật liệu, chi phí sản xuất tăng so với năm trước</w:t>
      </w:r>
      <w:r>
        <w:rPr>
          <w:rStyle w:val="FootnoteCharacters"/>
          <w:rStyle w:val="FootnoteAnchor"/>
          <w:sz w:val="28"/>
          <w:szCs w:val="28"/>
          <w:lang w:val="pt-BR"/>
        </w:rPr>
        <w:footnoteReference w:id="4"/>
      </w:r>
      <w:r>
        <w:rPr>
          <w:sz w:val="28"/>
          <w:szCs w:val="28"/>
          <w:lang w:val="pt-BR"/>
        </w:rPr>
        <w:t>. Thời gian này, nhiều hộ chăn nuôi đang tập trung chăm sóc đàn để đáp ứng nhu cầu tăng mạnh những tháng cuối năm và các kỳ lễ tết.</w:t>
      </w:r>
    </w:p>
    <w:p>
      <w:pPr>
        <w:pStyle w:val="List3"/>
        <w:spacing w:before="120" w:after="0"/>
        <w:ind w:left="0" w:firstLine="720"/>
        <w:contextualSpacing/>
        <w:jc w:val="both"/>
        <w:rPr/>
      </w:pPr>
      <w:r>
        <w:rPr>
          <w:rFonts w:cs="Times New Roman" w:ascii="Times New Roman" w:hAnsi="Times New Roman"/>
          <w:sz w:val="28"/>
          <w:szCs w:val="28"/>
          <w:lang w:val="pt-BR"/>
        </w:rPr>
        <w:t xml:space="preserve">Theo Tổng cục Thống kê, thời điểm cuối tháng 11, tổng số trâu ước giảm 1,2% so CKNT; đàn bò tăng 3,5%; đàn lợn tăng 12,4%; đàn gia cầm tăng 5,4%. </w:t>
      </w:r>
    </w:p>
    <w:p>
      <w:pPr>
        <w:pStyle w:val="Normal"/>
        <w:widowControl w:val="false"/>
        <w:spacing w:before="120" w:after="0"/>
        <w:ind w:firstLine="720"/>
        <w:jc w:val="both"/>
        <w:rPr/>
      </w:pPr>
      <w:bookmarkStart w:id="4" w:name="_Hlk46479941"/>
      <w:bookmarkStart w:id="5" w:name="_Hlk54601063"/>
      <w:bookmarkEnd w:id="4"/>
      <w:bookmarkEnd w:id="5"/>
      <w:r>
        <w:rPr>
          <w:sz w:val="28"/>
          <w:szCs w:val="28"/>
          <w:lang w:val="pt-BR"/>
        </w:rPr>
        <w:t xml:space="preserve">Tại thời điểm ngày 23/11, trên cả nước không có dịch Tai xanh; có 06 ổ dịch Cúm gia cầm A/H5N1 tại 04 tỉnh </w:t>
      </w:r>
      <w:r>
        <w:rPr>
          <w:color w:val="000000"/>
          <w:sz w:val="28"/>
          <w:szCs w:val="28"/>
          <w:lang w:val="pt-BR"/>
        </w:rPr>
        <w:t>Quảng Ngãi, Đắk Lắk, Nghệ An và Tiền Giang</w:t>
      </w:r>
      <w:r>
        <w:rPr>
          <w:sz w:val="28"/>
          <w:szCs w:val="28"/>
          <w:lang w:val="pt-BR"/>
        </w:rPr>
        <w:t xml:space="preserve">; có 02 ổ dịch LMLM tại Gia Lai; có </w:t>
      </w:r>
      <w:r>
        <w:rPr>
          <w:sz w:val="28"/>
          <w:szCs w:val="28"/>
          <w:lang w:val="sv-SE"/>
        </w:rPr>
        <w:t>57</w:t>
      </w:r>
      <w:r>
        <w:rPr>
          <w:sz w:val="28"/>
          <w:szCs w:val="28"/>
          <w:lang w:val="pt-BR"/>
        </w:rPr>
        <w:t xml:space="preserve"> ổ </w:t>
      </w:r>
      <w:r>
        <w:rPr>
          <w:bCs/>
          <w:sz w:val="28"/>
          <w:szCs w:val="28"/>
          <w:lang w:val="sv-SE"/>
        </w:rPr>
        <w:t>bệnh dịch tả lợn Châu Phi</w:t>
      </w:r>
      <w:r>
        <w:rPr>
          <w:sz w:val="28"/>
          <w:szCs w:val="28"/>
          <w:lang w:val="pt-BR"/>
        </w:rPr>
        <w:t xml:space="preserve"> tại 19 tỉnh, thành phố và có </w:t>
      </w:r>
      <w:r>
        <w:rPr>
          <w:sz w:val="28"/>
          <w:szCs w:val="28"/>
          <w:lang w:val="sv-SE"/>
        </w:rPr>
        <w:t>03 ổ dịch viêm da nổi cục tại 0</w:t>
      </w:r>
      <w:r>
        <w:rPr>
          <w:bCs/>
          <w:sz w:val="28"/>
          <w:szCs w:val="28"/>
          <w:lang w:val="sv-SE"/>
        </w:rPr>
        <w:t>2 tỉnh Đắk Lắk và Bến Tre</w:t>
      </w:r>
      <w:r>
        <w:rPr>
          <w:sz w:val="28"/>
          <w:szCs w:val="28"/>
          <w:lang w:val="sv-SE"/>
        </w:rPr>
        <w:t xml:space="preserve"> chưa qua 21 ngày</w:t>
      </w:r>
      <w:r>
        <w:rPr>
          <w:bCs/>
          <w:sz w:val="28"/>
          <w:szCs w:val="28"/>
          <w:lang w:val="sv-SE"/>
        </w:rPr>
        <w:t>. Tính chung 11 tháng, đã phải tiêu hủy 151.232 gia súc, gia cầm; trong đó, có 96.217 gia cầm và 55.015 gia súc (trâu, bò, lợn).</w:t>
      </w:r>
    </w:p>
    <w:p>
      <w:pPr>
        <w:pStyle w:val="Normal"/>
        <w:widowControl w:val="false"/>
        <w:spacing w:before="120" w:after="0"/>
        <w:ind w:firstLine="720"/>
        <w:jc w:val="both"/>
        <w:rPr/>
      </w:pPr>
      <w:bookmarkStart w:id="6" w:name="_Hlk46479941"/>
      <w:bookmarkStart w:id="7" w:name="_Hlk54601063"/>
      <w:bookmarkEnd w:id="6"/>
      <w:bookmarkEnd w:id="7"/>
      <w:r>
        <w:rPr>
          <w:sz w:val="28"/>
          <w:szCs w:val="28"/>
          <w:lang w:val="es-AR"/>
        </w:rPr>
        <w:t>c)</w:t>
      </w:r>
      <w:r>
        <w:rPr>
          <w:sz w:val="28"/>
          <w:szCs w:val="28"/>
          <w:lang w:val="vi-VN"/>
        </w:rPr>
        <w:t xml:space="preserve"> Lâm nghiệp</w:t>
      </w:r>
    </w:p>
    <w:p>
      <w:pPr>
        <w:pStyle w:val="Normal"/>
        <w:spacing w:before="120" w:after="0"/>
        <w:ind w:firstLine="720"/>
        <w:jc w:val="both"/>
        <w:rPr/>
      </w:pPr>
      <w:r>
        <w:rPr>
          <w:sz w:val="28"/>
          <w:szCs w:val="28"/>
          <w:lang w:val="sv-SE"/>
        </w:rPr>
        <w:t xml:space="preserve">Trong tháng, thời tiết mát và có mưa thuận lợi cho việc trồng rừng, </w:t>
      </w:r>
      <w:r>
        <w:rPr>
          <w:iCs/>
          <w:sz w:val="28"/>
          <w:szCs w:val="28"/>
          <w:lang w:val="sv-SE"/>
        </w:rPr>
        <w:t>Bộ đã chỉ đạo, đ</w:t>
      </w:r>
      <w:r>
        <w:rPr>
          <w:bCs/>
          <w:sz w:val="28"/>
          <w:szCs w:val="28"/>
          <w:lang w:val="sv-SE"/>
        </w:rPr>
        <w:t xml:space="preserve">ôn đốc các địa phương chuẩn bị cây giống và hiện trường để trồng rừng theo kế hoạch. </w:t>
      </w:r>
      <w:r>
        <w:rPr>
          <w:sz w:val="28"/>
          <w:szCs w:val="28"/>
          <w:lang w:val="sv-SE"/>
        </w:rPr>
        <w:t xml:space="preserve">Tháng 11, chuẩn bị được 60,9 triệu cây giống, trồng rừng </w:t>
      </w:r>
      <w:r>
        <w:rPr>
          <w:sz w:val="28"/>
          <w:szCs w:val="28"/>
          <w:shd w:fill="FFFFFF" w:val="clear"/>
          <w:lang w:val="sv-SE"/>
        </w:rPr>
        <w:t xml:space="preserve">đạt </w:t>
      </w:r>
      <w:r>
        <w:rPr>
          <w:sz w:val="28"/>
          <w:szCs w:val="28"/>
          <w:lang w:val="sv-SE"/>
        </w:rPr>
        <w:t xml:space="preserve">47,4 </w:t>
      </w:r>
      <w:r>
        <w:rPr>
          <w:sz w:val="28"/>
          <w:szCs w:val="28"/>
          <w:shd w:fill="FFFFFF" w:val="clear"/>
          <w:lang w:val="sv-SE"/>
        </w:rPr>
        <w:t>nghìn ha, tăng 27,1</w:t>
      </w:r>
      <w:r>
        <w:rPr>
          <w:sz w:val="28"/>
          <w:szCs w:val="28"/>
          <w:lang w:val="sv-SE"/>
        </w:rPr>
        <w:t xml:space="preserve">% </w:t>
      </w:r>
      <w:r>
        <w:rPr>
          <w:sz w:val="28"/>
          <w:szCs w:val="28"/>
          <w:shd w:fill="FFFFFF" w:val="clear"/>
          <w:lang w:val="sv-SE"/>
        </w:rPr>
        <w:t xml:space="preserve">so với T11/2021; sản lượng gỗ khai thác ước đạt </w:t>
      </w:r>
      <w:r>
        <w:rPr>
          <w:sz w:val="28"/>
          <w:szCs w:val="28"/>
          <w:lang w:val="sv-SE"/>
        </w:rPr>
        <w:t>2,0 triệu m</w:t>
      </w:r>
      <w:r>
        <w:rPr>
          <w:sz w:val="28"/>
          <w:szCs w:val="28"/>
          <w:vertAlign w:val="superscript"/>
          <w:lang w:val="sv-SE"/>
        </w:rPr>
        <w:t>3</w:t>
      </w:r>
      <w:r>
        <w:rPr>
          <w:sz w:val="28"/>
          <w:szCs w:val="28"/>
          <w:lang w:val="sv-SE"/>
        </w:rPr>
        <w:t xml:space="preserve">, </w:t>
      </w:r>
      <w:r>
        <w:rPr>
          <w:sz w:val="28"/>
          <w:szCs w:val="28"/>
          <w:lang w:val="vi-VN"/>
        </w:rPr>
        <w:t>tăng</w:t>
      </w:r>
      <w:r>
        <w:rPr>
          <w:sz w:val="28"/>
          <w:szCs w:val="28"/>
          <w:lang w:val="sv-SE"/>
        </w:rPr>
        <w:t xml:space="preserve"> 9,0%; sản lượng củi ước đạt 1,6 triệu ste, tăng 8,0% so với T11/2021. Lũy kế 11 tháng,</w:t>
      </w:r>
      <w:r>
        <w:rPr>
          <w:sz w:val="28"/>
          <w:szCs w:val="28"/>
          <w:lang w:val="vi-VN"/>
        </w:rPr>
        <w:t xml:space="preserve"> </w:t>
      </w:r>
      <w:r>
        <w:rPr>
          <w:sz w:val="28"/>
          <w:szCs w:val="28"/>
          <w:lang w:val="sv-SE"/>
        </w:rPr>
        <w:t xml:space="preserve">cả nước chuẩn bị được </w:t>
      </w:r>
      <w:r>
        <w:rPr>
          <w:sz w:val="28"/>
          <w:szCs w:val="28"/>
          <w:lang w:val="nb-NO"/>
        </w:rPr>
        <w:t>gần 1,19 tỷ cây giống, tăng 32,4% so với CKNT;</w:t>
      </w:r>
      <w:r>
        <w:rPr>
          <w:sz w:val="28"/>
          <w:szCs w:val="28"/>
          <w:lang w:val="sv-SE"/>
        </w:rPr>
        <w:t xml:space="preserve"> trồng rừng </w:t>
      </w:r>
      <w:r>
        <w:rPr>
          <w:sz w:val="28"/>
          <w:szCs w:val="28"/>
          <w:shd w:fill="FFFFFF" w:val="clear"/>
          <w:lang w:val="sv-SE"/>
        </w:rPr>
        <w:t xml:space="preserve">đạt </w:t>
      </w:r>
      <w:r>
        <w:rPr>
          <w:sz w:val="28"/>
          <w:szCs w:val="28"/>
          <w:lang w:val="sv-SE"/>
        </w:rPr>
        <w:t xml:space="preserve">260,6 nghìn ha, tăng 7,7% </w:t>
      </w:r>
      <w:r>
        <w:rPr>
          <w:sz w:val="28"/>
          <w:szCs w:val="28"/>
          <w:shd w:fill="FFFFFF" w:val="clear"/>
          <w:lang w:val="sv-SE"/>
        </w:rPr>
        <w:t xml:space="preserve">so với CKNT; sản lượng gỗ khai thác đạt trên </w:t>
      </w:r>
      <w:r>
        <w:rPr>
          <w:sz w:val="28"/>
          <w:szCs w:val="28"/>
          <w:lang w:val="sv-SE"/>
        </w:rPr>
        <w:t>17,6 triệu m</w:t>
      </w:r>
      <w:r>
        <w:rPr>
          <w:sz w:val="28"/>
          <w:szCs w:val="28"/>
          <w:vertAlign w:val="superscript"/>
          <w:lang w:val="sv-SE"/>
        </w:rPr>
        <w:t>3</w:t>
      </w:r>
      <w:r>
        <w:rPr>
          <w:sz w:val="28"/>
          <w:szCs w:val="28"/>
          <w:lang w:val="sv-SE"/>
        </w:rPr>
        <w:t>, tăng 6,6%; sản lượng củi 17,0 triệu ste, tăng 1,0%.</w:t>
      </w:r>
      <w:r>
        <w:rPr>
          <w:rStyle w:val="FootnoteCharacters"/>
          <w:rStyle w:val="FootnoteAnchor"/>
          <w:sz w:val="28"/>
          <w:szCs w:val="28"/>
        </w:rPr>
        <w:footnoteReference w:id="5"/>
      </w:r>
      <w:r>
        <w:rPr>
          <w:sz w:val="28"/>
          <w:szCs w:val="28"/>
          <w:lang w:val="sv-SE"/>
        </w:rPr>
        <w:t xml:space="preserve"> </w:t>
      </w:r>
    </w:p>
    <w:p>
      <w:pPr>
        <w:pStyle w:val="Normal"/>
        <w:widowControl w:val="false"/>
        <w:tabs>
          <w:tab w:val="clear" w:pos="720"/>
          <w:tab w:val="left" w:pos="360" w:leader="none"/>
          <w:tab w:val="left" w:pos="1134" w:leader="none"/>
        </w:tabs>
        <w:spacing w:before="120" w:after="0"/>
        <w:ind w:firstLine="720"/>
        <w:jc w:val="both"/>
        <w:rPr>
          <w:sz w:val="28"/>
          <w:szCs w:val="28"/>
          <w:lang w:val="nb-NO"/>
        </w:rPr>
      </w:pPr>
      <w:r>
        <w:rPr>
          <w:sz w:val="28"/>
          <w:szCs w:val="28"/>
          <w:lang w:val="sv-SE"/>
        </w:rPr>
        <w:t xml:space="preserve">Thường xuyên đôn đốc, chỉ đạo các địa phương tăng cường kiểm tra công tác quản lý bảo vệ rừng; kịp thời </w:t>
      </w:r>
      <w:r>
        <w:rPr>
          <w:bCs/>
          <w:spacing w:val="-4"/>
          <w:sz w:val="28"/>
          <w:szCs w:val="28"/>
          <w:lang w:val="nb-NO"/>
        </w:rPr>
        <w:t>xử lý</w:t>
      </w:r>
      <w:r>
        <w:rPr>
          <w:sz w:val="28"/>
          <w:szCs w:val="28"/>
          <w:lang w:val="sv-SE"/>
        </w:rPr>
        <w:t xml:space="preserve"> vụ việc khai thác rừng trái phép, </w:t>
      </w:r>
      <w:r>
        <w:rPr>
          <w:bCs/>
          <w:spacing w:val="-4"/>
          <w:sz w:val="28"/>
          <w:szCs w:val="28"/>
          <w:lang w:val="nb-NO"/>
        </w:rPr>
        <w:t xml:space="preserve">các điểm nóng về chặt phá rừng nhất là các tỉnh Tây Nguyên. </w:t>
      </w:r>
      <w:r>
        <w:rPr>
          <w:sz w:val="28"/>
          <w:szCs w:val="28"/>
          <w:shd w:fill="FFFFFF" w:val="clear"/>
          <w:lang w:val="nb-NO"/>
        </w:rPr>
        <w:t>Tháng 11, diện tích rừng bị thiệt hại khoảng 58,2 ha, giảm 9,4%. Lũy kế 11 tháng, diện tích rừng bị thiệt hại khoảng 1.059,2 ha, giảm 61,3% so CKNT; trong đó, rừng bị phá 1.010 ha, giảm 1,6%; bị cháy 37,9 ha, giảm 97,5%.</w:t>
      </w:r>
    </w:p>
    <w:p>
      <w:pPr>
        <w:pStyle w:val="Normal"/>
        <w:widowControl w:val="false"/>
        <w:tabs>
          <w:tab w:val="clear" w:pos="720"/>
          <w:tab w:val="left" w:pos="360" w:leader="none"/>
          <w:tab w:val="left" w:pos="1134" w:leader="none"/>
        </w:tabs>
        <w:spacing w:before="120" w:after="0"/>
        <w:ind w:firstLine="720"/>
        <w:jc w:val="both"/>
        <w:rPr>
          <w:spacing w:val="-4"/>
          <w:sz w:val="28"/>
          <w:szCs w:val="28"/>
          <w:lang w:val="nb-NO"/>
        </w:rPr>
      </w:pPr>
      <w:r>
        <w:rPr>
          <w:spacing w:val="-4"/>
          <w:sz w:val="28"/>
          <w:szCs w:val="28"/>
          <w:lang w:val="nb-NO"/>
        </w:rPr>
        <w:t xml:space="preserve">Mười một tháng đầu năm, </w:t>
      </w:r>
      <w:r>
        <w:rPr>
          <w:sz w:val="28"/>
          <w:szCs w:val="28"/>
          <w:lang w:val="nb-NO"/>
        </w:rPr>
        <w:t>cả nước thu 3.528,7 tỷ đồng</w:t>
      </w:r>
      <w:r>
        <w:rPr>
          <w:sz w:val="28"/>
          <w:szCs w:val="28"/>
          <w:lang w:val="vi-VN"/>
        </w:rPr>
        <w:t xml:space="preserve"> tiền dịch vụ MTR</w:t>
      </w:r>
      <w:r>
        <w:rPr>
          <w:sz w:val="28"/>
          <w:szCs w:val="28"/>
          <w:lang w:val="nb-NO"/>
        </w:rPr>
        <w:t xml:space="preserve"> vượt 17,6% kế hoạch năm 2022 và tăng 18% so CKNT; </w:t>
      </w:r>
      <w:r>
        <w:rPr>
          <w:spacing w:val="-4"/>
          <w:sz w:val="28"/>
          <w:szCs w:val="28"/>
          <w:lang w:val="nb-NO"/>
        </w:rPr>
        <w:t>đã cấp chứng chỉ quản lý rừng bền vững (</w:t>
      </w:r>
      <w:r>
        <w:rPr>
          <w:sz w:val="28"/>
          <w:szCs w:val="28"/>
          <w:lang w:val="nb-NO"/>
        </w:rPr>
        <w:t>QLRBV</w:t>
      </w:r>
      <w:r>
        <w:rPr>
          <w:spacing w:val="-4"/>
          <w:sz w:val="28"/>
          <w:szCs w:val="28"/>
          <w:lang w:val="nb-NO"/>
        </w:rPr>
        <w:t xml:space="preserve">) cho </w:t>
      </w:r>
      <w:r>
        <w:rPr>
          <w:sz w:val="28"/>
          <w:szCs w:val="28"/>
          <w:lang w:val="nb-NO"/>
        </w:rPr>
        <w:t>73.4 nghìn ha, đạt 81,5% kế hoạch năm</w:t>
      </w:r>
      <w:r>
        <w:rPr>
          <w:spacing w:val="-4"/>
          <w:sz w:val="28"/>
          <w:szCs w:val="28"/>
          <w:lang w:val="nb-NO"/>
        </w:rPr>
        <w:t xml:space="preserve">. Lũy kế, </w:t>
      </w:r>
      <w:r>
        <w:rPr>
          <w:sz w:val="28"/>
          <w:szCs w:val="28"/>
          <w:lang w:val="nb-NO"/>
        </w:rPr>
        <w:t xml:space="preserve">có 334 chủ rừng đã xây dựng phương án QLRBV được cơ quan có thẩm quyền phê duyệt với tổng diện tích khoảng 4,0 triệu ha đạt 48.53% so với tổng diện tích rừng được giao; </w:t>
      </w:r>
      <w:r>
        <w:rPr>
          <w:spacing w:val="-4"/>
          <w:sz w:val="28"/>
          <w:szCs w:val="28"/>
          <w:lang w:val="nb-NO"/>
        </w:rPr>
        <w:t>có trên 398 nghìn ha được cấp chứng chỉ QLRBV tại 32 địa phương.</w:t>
      </w:r>
    </w:p>
    <w:p>
      <w:pPr>
        <w:pStyle w:val="Normal"/>
        <w:spacing w:before="120" w:after="0"/>
        <w:ind w:firstLine="709"/>
        <w:jc w:val="both"/>
        <w:rPr>
          <w:spacing w:val="-6"/>
          <w:sz w:val="28"/>
          <w:szCs w:val="28"/>
          <w:lang w:val="nb-NO"/>
        </w:rPr>
      </w:pPr>
      <w:r>
        <w:rPr>
          <w:spacing w:val="-6"/>
          <w:sz w:val="28"/>
          <w:szCs w:val="28"/>
          <w:lang w:val="nb-NO"/>
        </w:rPr>
        <w:t>Đã họp thẩm định Quy hoạch lâm nghiệp quốc gia (ngày 10/11/2022), đang hoàn thiện Báo cáo quy hoạch gia theo ý kiến Hội đồng thẩm định.</w:t>
      </w:r>
    </w:p>
    <w:p>
      <w:pPr>
        <w:pStyle w:val="Normal"/>
        <w:widowControl w:val="false"/>
        <w:spacing w:before="120" w:after="0"/>
        <w:ind w:firstLine="720"/>
        <w:jc w:val="both"/>
        <w:rPr>
          <w:bCs/>
          <w:sz w:val="28"/>
          <w:szCs w:val="28"/>
          <w:lang w:val="nb-NO"/>
        </w:rPr>
      </w:pPr>
      <w:r>
        <w:rPr>
          <w:sz w:val="28"/>
          <w:szCs w:val="28"/>
          <w:lang w:val="nb-NO"/>
        </w:rPr>
        <w:t>d)</w:t>
      </w:r>
      <w:r>
        <w:rPr>
          <w:sz w:val="28"/>
          <w:szCs w:val="28"/>
          <w:lang w:val="es-AR"/>
        </w:rPr>
        <w:t xml:space="preserve"> Thủy sản</w:t>
      </w:r>
    </w:p>
    <w:p>
      <w:pPr>
        <w:pStyle w:val="Normal"/>
        <w:spacing w:before="120" w:after="0"/>
        <w:ind w:firstLine="720"/>
        <w:jc w:val="both"/>
        <w:rPr>
          <w:iCs/>
          <w:sz w:val="28"/>
          <w:szCs w:val="28"/>
          <w:lang w:val="nb-NO"/>
        </w:rPr>
      </w:pPr>
      <w:r>
        <w:rPr>
          <w:iCs/>
          <w:sz w:val="28"/>
          <w:szCs w:val="28"/>
          <w:lang w:val="nb-NO"/>
        </w:rPr>
        <w:t xml:space="preserve">Tình hình nuôi trồng thủy sản trong tháng 11 tiếp tục phát triển cả về diện tích và sản lượng nhờ nhu cầu tăng mạnh cả trong và ngoài nước. Tuy nhiên, do giá dầu tăng cao ngư dân giảm chuyến khai thác, nhiều tầu cá tại các tỉnh miền Trung phải nằm bờ. </w:t>
      </w:r>
      <w:r>
        <w:rPr>
          <w:sz w:val="28"/>
          <w:szCs w:val="28"/>
          <w:lang w:val="nb-NO"/>
        </w:rPr>
        <w:t xml:space="preserve">Sản lượng thủy sản tháng 11 ước đạt 802,3 nghìn tấn, tăng 3,1% so với CKNT; lũy kế 11 tháng ước đạt 8.253 nghìn tấn, tăng 3,1% so với </w:t>
      </w:r>
      <w:r>
        <w:rPr>
          <w:sz w:val="28"/>
          <w:szCs w:val="28"/>
          <w:lang w:val="vi-VN"/>
        </w:rPr>
        <w:t>CKNT</w:t>
      </w:r>
      <w:r>
        <w:rPr>
          <w:bCs/>
          <w:sz w:val="28"/>
          <w:szCs w:val="28"/>
          <w:lang w:val="nb-NO"/>
        </w:rPr>
        <w:t xml:space="preserve">. Cụ thể: </w:t>
      </w:r>
    </w:p>
    <w:p>
      <w:pPr>
        <w:pStyle w:val="Normal"/>
        <w:widowControl w:val="false"/>
        <w:spacing w:before="120" w:after="0"/>
        <w:ind w:firstLine="720"/>
        <w:jc w:val="both"/>
        <w:rPr>
          <w:sz w:val="28"/>
          <w:szCs w:val="28"/>
          <w:lang w:val="pt-BR"/>
        </w:rPr>
      </w:pPr>
      <w:r>
        <w:rPr>
          <w:sz w:val="28"/>
          <w:szCs w:val="28"/>
          <w:lang w:val="nb-NO"/>
        </w:rPr>
        <w:t>- Khai thác: Tháng 11, s</w:t>
      </w:r>
      <w:r>
        <w:rPr>
          <w:sz w:val="28"/>
          <w:szCs w:val="28"/>
          <w:lang w:val="vi-VN"/>
        </w:rPr>
        <w:t xml:space="preserve">ản lượng </w:t>
      </w:r>
      <w:r>
        <w:rPr>
          <w:sz w:val="28"/>
          <w:szCs w:val="28"/>
          <w:lang w:val="pt-BR"/>
        </w:rPr>
        <w:t xml:space="preserve">ước đạt 280,7 nghìn tấn, giảm 0,4%. Tính chung 11 tháng, sản lượng </w:t>
      </w:r>
      <w:r>
        <w:rPr>
          <w:sz w:val="28"/>
          <w:szCs w:val="28"/>
          <w:lang w:val="vi-VN"/>
        </w:rPr>
        <w:t>3.</w:t>
      </w:r>
      <w:r>
        <w:rPr>
          <w:sz w:val="28"/>
          <w:szCs w:val="28"/>
          <w:lang w:val="pt-BR"/>
        </w:rPr>
        <w:t>570,7</w:t>
      </w:r>
      <w:r>
        <w:rPr>
          <w:sz w:val="28"/>
          <w:szCs w:val="28"/>
          <w:lang w:val="vi-VN"/>
        </w:rPr>
        <w:t xml:space="preserve"> nghìn tấn, giảm 2,</w:t>
      </w:r>
      <w:r>
        <w:rPr>
          <w:sz w:val="28"/>
          <w:szCs w:val="28"/>
          <w:lang w:val="pt-BR"/>
        </w:rPr>
        <w:t>1</w:t>
      </w:r>
      <w:r>
        <w:rPr>
          <w:sz w:val="28"/>
          <w:szCs w:val="28"/>
          <w:lang w:val="vi-VN"/>
        </w:rPr>
        <w:t>%</w:t>
      </w:r>
      <w:r>
        <w:rPr>
          <w:sz w:val="28"/>
          <w:szCs w:val="28"/>
          <w:lang w:val="pt-BR"/>
        </w:rPr>
        <w:t>;</w:t>
      </w:r>
      <w:r>
        <w:rPr>
          <w:sz w:val="28"/>
          <w:szCs w:val="28"/>
          <w:lang w:val="vi-VN"/>
        </w:rPr>
        <w:t xml:space="preserve"> </w:t>
      </w:r>
      <w:r>
        <w:rPr>
          <w:sz w:val="28"/>
          <w:szCs w:val="28"/>
          <w:lang w:val="pt-BR"/>
        </w:rPr>
        <w:t>t</w:t>
      </w:r>
      <w:r>
        <w:rPr>
          <w:sz w:val="28"/>
          <w:szCs w:val="28"/>
          <w:lang w:val="vi-VN"/>
        </w:rPr>
        <w:t>rong đó, khai thác biển đạt 3.</w:t>
      </w:r>
      <w:r>
        <w:rPr>
          <w:sz w:val="28"/>
          <w:szCs w:val="28"/>
          <w:lang w:val="pt-BR"/>
        </w:rPr>
        <w:t>391,8</w:t>
      </w:r>
      <w:r>
        <w:rPr>
          <w:sz w:val="28"/>
          <w:szCs w:val="28"/>
          <w:lang w:val="vi-VN"/>
        </w:rPr>
        <w:t xml:space="preserve"> nghìn tấn, giảm 2,</w:t>
      </w:r>
      <w:r>
        <w:rPr>
          <w:sz w:val="28"/>
          <w:szCs w:val="28"/>
          <w:lang w:val="pt-BR"/>
        </w:rPr>
        <w:t>2</w:t>
      </w:r>
      <w:r>
        <w:rPr>
          <w:sz w:val="28"/>
          <w:szCs w:val="28"/>
          <w:lang w:val="vi-VN"/>
        </w:rPr>
        <w:t xml:space="preserve">%. </w:t>
      </w:r>
      <w:r>
        <w:rPr>
          <w:spacing w:val="-4"/>
          <w:sz w:val="28"/>
          <w:szCs w:val="28"/>
          <w:lang w:val="vi-VN"/>
        </w:rPr>
        <w:t xml:space="preserve"> </w:t>
      </w:r>
    </w:p>
    <w:p>
      <w:pPr>
        <w:pStyle w:val="Normal"/>
        <w:widowControl w:val="false"/>
        <w:spacing w:before="120" w:after="0"/>
        <w:ind w:firstLine="720"/>
        <w:jc w:val="both"/>
        <w:rPr>
          <w:sz w:val="28"/>
          <w:szCs w:val="28"/>
          <w:lang w:val="sv-SE"/>
        </w:rPr>
      </w:pPr>
      <w:r>
        <w:rPr>
          <w:sz w:val="28"/>
          <w:szCs w:val="28"/>
          <w:lang w:val="pt-BR"/>
        </w:rPr>
        <w:t>- Nuôi trồng: Tháng 11, sản lượng ước đạt 521,6 nghìn tấn, tăng 5,1%. Tính chung 11 tháng, sản lượng ước đạt 4.682,3 nghìn tấn, tăng 7,4%; trong đó</w:t>
      </w:r>
      <w:r>
        <w:rPr>
          <w:sz w:val="28"/>
          <w:szCs w:val="28"/>
          <w:lang w:val="sv-SE"/>
        </w:rPr>
        <w:t xml:space="preserve">, cá tra ước đạt 1.525,5 nghìn tấn, tăng 14,0%; tôm </w:t>
      </w:r>
      <w:r>
        <w:rPr>
          <w:sz w:val="28"/>
          <w:szCs w:val="28"/>
          <w:lang w:val="pt-BR"/>
        </w:rPr>
        <w:t>988,5</w:t>
      </w:r>
      <w:r>
        <w:rPr>
          <w:sz w:val="28"/>
          <w:szCs w:val="28"/>
          <w:lang w:val="sv-SE"/>
        </w:rPr>
        <w:t xml:space="preserve"> nghìn tấn, tăng 9,0% (tôm sú đạt 250,6 nghìn tấn, tăng 2,1%; tôm thẻ chân trắng </w:t>
      </w:r>
      <w:r>
        <w:rPr>
          <w:sz w:val="28"/>
          <w:szCs w:val="28"/>
          <w:lang w:val="pt-BR"/>
        </w:rPr>
        <w:t>679,4</w:t>
      </w:r>
      <w:r>
        <w:rPr>
          <w:sz w:val="28"/>
          <w:szCs w:val="28"/>
          <w:lang w:val="sv-SE"/>
        </w:rPr>
        <w:t xml:space="preserve"> nghìn tấn, tăng 12,3%).  </w:t>
      </w:r>
    </w:p>
    <w:p>
      <w:pPr>
        <w:pStyle w:val="Normal"/>
        <w:widowControl w:val="false"/>
        <w:tabs>
          <w:tab w:val="clear" w:pos="720"/>
          <w:tab w:val="left" w:pos="3690" w:leader="none"/>
        </w:tabs>
        <w:spacing w:before="120" w:after="0"/>
        <w:ind w:firstLine="720"/>
        <w:jc w:val="both"/>
        <w:rPr/>
      </w:pPr>
      <w:r>
        <w:rPr>
          <w:sz w:val="27"/>
          <w:szCs w:val="27"/>
          <w:lang w:val="vi-VN"/>
        </w:rPr>
        <w:t>Nghiên cứu, tiếp thu, giải trình ý kiến của thành viên Hội đồng thẩm định đối với hồ sơ Quy hoạch bảo vệ và khai thác nguồn lợi thủy sản</w:t>
      </w:r>
      <w:r>
        <w:rPr>
          <w:sz w:val="27"/>
          <w:szCs w:val="27"/>
          <w:lang w:val="sv-SE"/>
        </w:rPr>
        <w:t xml:space="preserve">; TTCP đã </w:t>
      </w:r>
      <w:r>
        <w:rPr>
          <w:sz w:val="27"/>
          <w:szCs w:val="27"/>
          <w:lang w:val="vi-VN"/>
        </w:rPr>
        <w:t>thành lập Hội đồng thẩm định quy hoạch Quy hoạch cảng cá, khu neo đậu tránh trú bão cho tàu cá</w:t>
      </w:r>
      <w:r>
        <w:rPr>
          <w:sz w:val="27"/>
          <w:szCs w:val="27"/>
          <w:lang w:val="sv-SE"/>
        </w:rPr>
        <w:t>.</w:t>
      </w:r>
    </w:p>
    <w:p>
      <w:pPr>
        <w:pStyle w:val="Normal"/>
        <w:widowControl w:val="false"/>
        <w:tabs>
          <w:tab w:val="clear" w:pos="720"/>
          <w:tab w:val="left" w:pos="3690" w:leader="none"/>
        </w:tabs>
        <w:spacing w:before="120" w:after="0"/>
        <w:ind w:firstLine="720"/>
        <w:jc w:val="both"/>
        <w:rPr>
          <w:b/>
          <w:b/>
          <w:sz w:val="28"/>
          <w:szCs w:val="28"/>
          <w:lang w:val="pl-PL"/>
        </w:rPr>
      </w:pPr>
      <w:r>
        <w:rPr>
          <w:b/>
          <w:sz w:val="28"/>
          <w:szCs w:val="28"/>
          <w:lang w:val="sv-SE"/>
        </w:rPr>
        <w:t>2.</w:t>
      </w:r>
      <w:r>
        <w:rPr>
          <w:b/>
          <w:sz w:val="28"/>
          <w:szCs w:val="28"/>
          <w:lang w:val="pl-PL"/>
        </w:rPr>
        <w:t xml:space="preserve"> </w:t>
      </w:r>
      <w:r>
        <w:rPr>
          <w:b/>
          <w:bCs/>
          <w:sz w:val="28"/>
          <w:szCs w:val="28"/>
          <w:lang w:val="vi-VN"/>
        </w:rPr>
        <w:t xml:space="preserve">Tiêu thụ </w:t>
      </w:r>
      <w:r>
        <w:rPr>
          <w:b/>
          <w:bCs/>
          <w:sz w:val="28"/>
          <w:szCs w:val="28"/>
          <w:lang w:val="sv-SE"/>
        </w:rPr>
        <w:t>nông sản</w:t>
      </w:r>
      <w:r>
        <w:rPr>
          <w:b/>
          <w:bCs/>
          <w:sz w:val="28"/>
          <w:szCs w:val="28"/>
          <w:lang w:val="vi-VN"/>
        </w:rPr>
        <w:t>, phát triển thị trường</w:t>
      </w:r>
    </w:p>
    <w:p>
      <w:pPr>
        <w:pStyle w:val="Normal"/>
        <w:widowControl w:val="false"/>
        <w:tabs>
          <w:tab w:val="clear" w:pos="720"/>
          <w:tab w:val="left" w:pos="3690" w:leader="none"/>
        </w:tabs>
        <w:spacing w:before="120" w:after="0"/>
        <w:ind w:firstLine="720"/>
        <w:jc w:val="both"/>
        <w:rPr>
          <w:sz w:val="28"/>
          <w:szCs w:val="28"/>
          <w:lang w:val="vi-VN"/>
        </w:rPr>
      </w:pPr>
      <w:r>
        <w:rPr>
          <w:sz w:val="28"/>
          <w:szCs w:val="28"/>
          <w:lang w:val="pl-PL"/>
        </w:rPr>
        <w:t xml:space="preserve">a) </w:t>
      </w:r>
      <w:r>
        <w:rPr>
          <w:sz w:val="28"/>
          <w:szCs w:val="28"/>
          <w:lang w:val="vi-VN"/>
        </w:rPr>
        <w:t>Xuất</w:t>
      </w:r>
      <w:r>
        <w:rPr>
          <w:sz w:val="28"/>
          <w:szCs w:val="28"/>
          <w:lang w:val="pl-PL"/>
        </w:rPr>
        <w:t>, nhập</w:t>
      </w:r>
      <w:r>
        <w:rPr>
          <w:sz w:val="28"/>
          <w:szCs w:val="28"/>
          <w:lang w:val="vi-VN"/>
        </w:rPr>
        <w:t xml:space="preserve"> khẩu</w:t>
      </w:r>
    </w:p>
    <w:p>
      <w:pPr>
        <w:pStyle w:val="Normal"/>
        <w:widowControl w:val="false"/>
        <w:spacing w:before="120" w:after="0"/>
        <w:ind w:firstLine="720"/>
        <w:jc w:val="both"/>
        <w:rPr/>
      </w:pPr>
      <w:r>
        <w:rPr>
          <w:bCs/>
          <w:sz w:val="28"/>
          <w:szCs w:val="28"/>
          <w:lang w:val="pl-PL"/>
        </w:rPr>
        <w:t xml:space="preserve">Mười một tháng, </w:t>
      </w:r>
      <w:r>
        <w:rPr>
          <w:rStyle w:val="StrongEmphasis"/>
          <w:b w:val="false"/>
          <w:iCs/>
          <w:sz w:val="28"/>
          <w:szCs w:val="28"/>
          <w:lang w:val="de-DE"/>
        </w:rPr>
        <w:t xml:space="preserve">tổng kim ngạch xuất nhập khẩu NLTS khoảng 90,26 tỷ USD, tăng 9,5% so với CKNT; trong đó xuất khẩu (XK) khoảng 49,04 tỷ USD, tăng 11,8%; nhập khẩu (NK) khoảng 41,22 tỷ USD, tăng 6,9%; </w:t>
      </w:r>
      <w:r>
        <w:rPr>
          <w:bCs/>
          <w:sz w:val="28"/>
          <w:szCs w:val="28"/>
          <w:lang w:val="pl-PL"/>
        </w:rPr>
        <w:t xml:space="preserve">xuất siêu 7,82 tỷ USD, </w:t>
      </w:r>
      <w:bookmarkStart w:id="8" w:name="_Hlk67905851"/>
      <w:r>
        <w:rPr>
          <w:bCs/>
          <w:sz w:val="28"/>
          <w:szCs w:val="28"/>
          <w:lang w:val="pl-PL"/>
        </w:rPr>
        <w:t>tăng 47,8%.</w:t>
      </w:r>
      <w:r>
        <w:rPr>
          <w:bCs/>
          <w:strike/>
          <w:sz w:val="28"/>
          <w:szCs w:val="28"/>
          <w:lang w:val="pl-PL"/>
        </w:rPr>
        <w:t xml:space="preserve"> </w:t>
      </w:r>
      <w:bookmarkStart w:id="9" w:name="_Hlk23237033"/>
    </w:p>
    <w:p>
      <w:pPr>
        <w:pStyle w:val="Normal"/>
        <w:widowControl w:val="false"/>
        <w:shd w:fill="FFFFFF" w:val="clear"/>
        <w:spacing w:before="120" w:after="0"/>
        <w:ind w:firstLine="709"/>
        <w:jc w:val="both"/>
        <w:rPr>
          <w:bCs/>
          <w:iCs/>
          <w:sz w:val="28"/>
          <w:szCs w:val="28"/>
          <w:lang w:val="pl-PL"/>
        </w:rPr>
      </w:pPr>
      <w:bookmarkEnd w:id="8"/>
      <w:bookmarkEnd w:id="9"/>
      <w:r>
        <w:rPr>
          <w:i/>
          <w:iCs/>
          <w:sz w:val="28"/>
          <w:szCs w:val="28"/>
          <w:lang w:val="pl-PL"/>
        </w:rPr>
        <w:t>* Về xuất khẩ</w:t>
      </w:r>
      <w:r>
        <w:rPr>
          <w:bCs/>
          <w:i/>
          <w:sz w:val="28"/>
          <w:szCs w:val="28"/>
          <w:lang w:val="pl-PL"/>
        </w:rPr>
        <w:t>u:</w:t>
      </w:r>
    </w:p>
    <w:p>
      <w:pPr>
        <w:pStyle w:val="Normal"/>
        <w:widowControl w:val="false"/>
        <w:shd w:fill="FFFFFF" w:val="clear"/>
        <w:spacing w:before="120" w:after="0"/>
        <w:ind w:firstLine="720"/>
        <w:jc w:val="both"/>
        <w:rPr/>
      </w:pPr>
      <w:r>
        <w:rPr>
          <w:bCs/>
          <w:iCs/>
          <w:sz w:val="28"/>
          <w:szCs w:val="28"/>
          <w:lang w:val="pl-PL"/>
        </w:rPr>
        <w:t xml:space="preserve">- Kim ngạch xuất khẩu: </w:t>
      </w:r>
      <w:bookmarkStart w:id="10" w:name="_Hlk33599548"/>
      <w:r>
        <w:rPr>
          <w:sz w:val="28"/>
          <w:szCs w:val="28"/>
          <w:lang w:val="pl-PL"/>
        </w:rPr>
        <w:t xml:space="preserve">Tháng 11, kim ngạch XK ước trên 4,27 tỷ USD, giảm 4,8% so với tháng 11/2021 và giảm 0,2% so với tháng 10/2022; trong đó, nhóm nông sản chính 2,13 tỷ USD (tăng 10,3% so T11/2021), lâm sản chính gần 1,2 tỷ USD (giảm 15,2%), thủy sản 750 triệu USD (giảm 17,5%) và chăn nuôi 31,7 triệu USD (giảm 13,5%) … </w:t>
      </w:r>
    </w:p>
    <w:p>
      <w:pPr>
        <w:pStyle w:val="Normal"/>
        <w:widowControl w:val="false"/>
        <w:shd w:fill="FFFFFF" w:val="clear"/>
        <w:spacing w:before="120" w:after="0"/>
        <w:ind w:firstLine="720"/>
        <w:jc w:val="both"/>
        <w:rPr/>
      </w:pPr>
      <w:bookmarkEnd w:id="10"/>
      <w:r>
        <w:rPr>
          <w:sz w:val="28"/>
          <w:szCs w:val="28"/>
          <w:lang w:val="pl-PL"/>
        </w:rPr>
        <w:t>Tính chung 11 tháng, kim ngạch XK ước khoảng 49,04 tỷ USD, tăng 11,8% so với CKNT. Trong đó, XK nhóm nông sản chính trên 20,73 tỷ USD, tăng 6,6%; lâm sản chính khoảng 15,59 tỷ USD, tăng 8,2%; thủy sản đạt 10,14 tỷ USD, tăng 27,0%; chăn nuôi 361,4 triệu USD, giảm 8,4%</w:t>
      </w:r>
      <w:r>
        <w:rPr>
          <w:sz w:val="28"/>
          <w:szCs w:val="28"/>
          <w:lang w:val="vi-VN"/>
        </w:rPr>
        <w:t xml:space="preserve">; đầu vào sản xuất </w:t>
      </w:r>
      <w:r>
        <w:rPr>
          <w:sz w:val="28"/>
          <w:szCs w:val="28"/>
          <w:lang w:val="pl-PL"/>
        </w:rPr>
        <w:t>trên 2,2</w:t>
      </w:r>
      <w:r>
        <w:rPr>
          <w:sz w:val="28"/>
          <w:szCs w:val="28"/>
          <w:lang w:val="vi-VN"/>
        </w:rPr>
        <w:t xml:space="preserve"> </w:t>
      </w:r>
      <w:r>
        <w:rPr>
          <w:sz w:val="28"/>
          <w:szCs w:val="28"/>
          <w:lang w:val="pl-PL"/>
        </w:rPr>
        <w:t>tỷ</w:t>
      </w:r>
      <w:r>
        <w:rPr>
          <w:sz w:val="28"/>
          <w:szCs w:val="28"/>
          <w:lang w:val="vi-VN"/>
        </w:rPr>
        <w:t xml:space="preserve"> USD, tăng </w:t>
      </w:r>
      <w:r>
        <w:rPr>
          <w:sz w:val="28"/>
          <w:szCs w:val="28"/>
          <w:lang w:val="pl-PL"/>
        </w:rPr>
        <w:t>38,1</w:t>
      </w:r>
      <w:r>
        <w:rPr>
          <w:sz w:val="28"/>
          <w:szCs w:val="28"/>
          <w:lang w:val="vi-VN"/>
        </w:rPr>
        <w:t>%</w:t>
      </w:r>
      <w:r>
        <w:rPr>
          <w:sz w:val="28"/>
          <w:szCs w:val="28"/>
          <w:lang w:val="pl-PL"/>
        </w:rPr>
        <w:t>.</w:t>
        <w:tab/>
      </w:r>
    </w:p>
    <w:p>
      <w:pPr>
        <w:pStyle w:val="Normal"/>
        <w:widowControl w:val="false"/>
        <w:shd w:fill="FFFFFF" w:val="clear"/>
        <w:spacing w:before="120" w:after="0"/>
        <w:ind w:firstLine="426"/>
        <w:jc w:val="both"/>
        <w:rPr/>
      </w:pPr>
      <w:r>
        <w:rPr>
          <w:b/>
          <w:bCs/>
          <w:sz w:val="28"/>
          <w:szCs w:val="28"/>
          <w:lang w:val="pl-PL"/>
        </w:rPr>
        <w:tab/>
      </w:r>
      <w:r>
        <w:rPr>
          <w:bCs/>
          <w:iCs/>
          <w:sz w:val="28"/>
          <w:szCs w:val="28"/>
          <w:lang w:val="pl-PL"/>
        </w:rPr>
        <w:t xml:space="preserve">Đến nay, có 08 sản phẩm/nhóm sản phẩm đạt giá trị XK trên 02 tỷ USD (cà phê, cao su, gạo, rau quả, điều, tôm, cá tra, sản phẩm gỗ). </w:t>
      </w:r>
      <w:r>
        <w:rPr>
          <w:bCs/>
          <w:i/>
          <w:iCs/>
          <w:sz w:val="28"/>
          <w:szCs w:val="28"/>
          <w:lang w:val="pl-PL"/>
        </w:rPr>
        <w:t>Nhiều mặt hàng đạt giá trị xuất khẩu cao hơn CKNT</w:t>
      </w:r>
      <w:r>
        <w:rPr>
          <w:bCs/>
          <w:iCs/>
          <w:sz w:val="28"/>
          <w:szCs w:val="28"/>
          <w:lang w:val="pl-PL"/>
        </w:rPr>
        <w:t xml:space="preserve">, như: Cà phê trên 3,5 tỷ USD (tăng 31,5%); cao su trên 2,9 tỷ USD (tăng 3,0%); gạo trên 3,2 tỷ USD (tăng 6,9%); hồ tiêu 895 triệu USD (tăng 3,2%); sắn và sản phẩm sắn trên 1,2 tỷ USD (tăng 16,4%), </w:t>
      </w:r>
      <w:r>
        <w:rPr>
          <w:bCs/>
          <w:iCs/>
          <w:sz w:val="28"/>
          <w:szCs w:val="28"/>
          <w:lang w:val="vi-VN"/>
        </w:rPr>
        <w:t>cá tra</w:t>
      </w:r>
      <w:r>
        <w:rPr>
          <w:bCs/>
          <w:iCs/>
          <w:sz w:val="28"/>
          <w:szCs w:val="28"/>
          <w:lang w:val="pl-PL"/>
        </w:rPr>
        <w:t xml:space="preserve"> 2,2 tỷ USD (tăng 61,9%)</w:t>
      </w:r>
      <w:r>
        <w:rPr>
          <w:bCs/>
          <w:iCs/>
          <w:sz w:val="28"/>
          <w:szCs w:val="28"/>
          <w:lang w:val="vi-VN"/>
        </w:rPr>
        <w:t xml:space="preserve">, </w:t>
      </w:r>
      <w:r>
        <w:rPr>
          <w:bCs/>
          <w:iCs/>
          <w:sz w:val="28"/>
          <w:szCs w:val="28"/>
          <w:lang w:val="pl-PL"/>
        </w:rPr>
        <w:t xml:space="preserve">tôm 4,1 tỷ USD (tăng 14,6%), gỗ và sản phẩm gỗ 14,6 tỷ USD (tăng 9,0%); phân bón các loại 1,0 tỷ USD (gấp 2,3 lần); thức ăn gia súc và NL 1,0 tỷ USD (tăng 6,5%).  </w:t>
      </w:r>
    </w:p>
    <w:p>
      <w:pPr>
        <w:pStyle w:val="Normal"/>
        <w:widowControl w:val="false"/>
        <w:shd w:fill="FFFFFF" w:val="clear"/>
        <w:spacing w:before="120" w:after="0"/>
        <w:ind w:firstLine="720"/>
        <w:jc w:val="both"/>
        <w:rPr>
          <w:bCs/>
          <w:iCs/>
          <w:sz w:val="28"/>
          <w:szCs w:val="28"/>
          <w:lang w:val="vi-VN"/>
        </w:rPr>
      </w:pPr>
      <w:r>
        <w:rPr>
          <w:bCs/>
          <w:i/>
          <w:iCs/>
          <w:sz w:val="28"/>
          <w:szCs w:val="28"/>
          <w:lang w:val="pl-PL"/>
        </w:rPr>
        <w:t>Những mặt hàng giảm gồm:</w:t>
      </w:r>
      <w:r>
        <w:rPr>
          <w:bCs/>
          <w:iCs/>
          <w:sz w:val="28"/>
          <w:szCs w:val="28"/>
          <w:lang w:val="pl-PL"/>
        </w:rPr>
        <w:t xml:space="preserve"> N</w:t>
      </w:r>
      <w:r>
        <w:rPr>
          <w:bCs/>
          <w:iCs/>
          <w:sz w:val="28"/>
          <w:szCs w:val="28"/>
          <w:lang w:val="vi-VN"/>
        </w:rPr>
        <w:t>hóm hàng rau quả</w:t>
      </w:r>
      <w:r>
        <w:rPr>
          <w:bCs/>
          <w:iCs/>
          <w:sz w:val="28"/>
          <w:szCs w:val="28"/>
          <w:lang w:val="pl-PL"/>
        </w:rPr>
        <w:t xml:space="preserve"> gần 3,1 tỷ USD (giảm 4,9%), hạt điều trên 3,0 tỷ USD (giảm 10,1%), sản phẩm chăn nuôi 361,4 triệu USD (giảm 8,4%); dù giá trị XK nhóm sắn và SP sắn tăng 16,4% nhưng giá trị XK của sản phẩm sắn lại giảm 3,0% với giá trị trên 194 triệu USD</w:t>
      </w:r>
      <w:r>
        <w:rPr>
          <w:bCs/>
          <w:iCs/>
          <w:sz w:val="28"/>
          <w:szCs w:val="28"/>
          <w:lang w:val="vi-VN"/>
        </w:rPr>
        <w:t>.</w:t>
      </w:r>
    </w:p>
    <w:p>
      <w:pPr>
        <w:pStyle w:val="Normal"/>
        <w:widowControl w:val="false"/>
        <w:shd w:fill="FFFFFF" w:val="clear"/>
        <w:spacing w:before="120" w:after="0"/>
        <w:ind w:firstLine="720"/>
        <w:jc w:val="both"/>
        <w:rPr>
          <w:bCs/>
          <w:iCs/>
          <w:sz w:val="28"/>
          <w:szCs w:val="28"/>
          <w:lang w:val="vi-VN"/>
        </w:rPr>
      </w:pPr>
      <w:r>
        <w:rPr>
          <w:bCs/>
          <w:i/>
          <w:iCs/>
          <w:sz w:val="28"/>
          <w:szCs w:val="28"/>
          <w:lang w:val="vi-VN"/>
        </w:rPr>
        <w:t>Một số sản phẩm có giá XK bình quân tăng so với CKNT</w:t>
      </w:r>
      <w:r>
        <w:rPr>
          <w:bCs/>
          <w:iCs/>
          <w:sz w:val="28"/>
          <w:szCs w:val="28"/>
          <w:lang w:val="vi-VN"/>
        </w:rPr>
        <w:t xml:space="preserve">, như: Phân bón các loại giá bình quân khoảng 626 USD/T, tăng 64,4%; hạt tiêu khoảng 4.300 USD/T, tăng 22,0%; cà phê khoảng 2.309 USD/T, tăng 19,4%,… </w:t>
      </w:r>
    </w:p>
    <w:p>
      <w:pPr>
        <w:pStyle w:val="Normal"/>
        <w:widowControl w:val="false"/>
        <w:shd w:fill="FFFFFF" w:val="clear"/>
        <w:spacing w:before="120" w:after="0"/>
        <w:ind w:firstLine="720"/>
        <w:jc w:val="both"/>
        <w:rPr>
          <w:bCs/>
          <w:iCs/>
          <w:sz w:val="28"/>
          <w:szCs w:val="28"/>
          <w:lang w:val="vi-VN"/>
        </w:rPr>
      </w:pPr>
      <w:r>
        <w:rPr>
          <w:bCs/>
          <w:i/>
          <w:iCs/>
          <w:sz w:val="28"/>
          <w:szCs w:val="28"/>
          <w:lang w:val="vi-VN"/>
        </w:rPr>
        <w:t>Một số sản phẩm có giá XK bình quân giảm so với CKNT</w:t>
      </w:r>
      <w:r>
        <w:rPr>
          <w:bCs/>
          <w:iCs/>
          <w:sz w:val="28"/>
          <w:szCs w:val="28"/>
          <w:lang w:val="vi-VN"/>
        </w:rPr>
        <w:t>: Giá XK gạo các tháng 10, 11 đều tăng so với tháng trước (từ 6 USD - 15 USD/T), nhưng bình quân 11 tháng  485 USD/T, giảm 8,1% so với giá bình quân 11 tháng/2021; hạt điều 5.948 USD/T, giảm 5,4%; cao su 1.578 USD/T, giảm 5,6%…</w:t>
      </w:r>
    </w:p>
    <w:p>
      <w:pPr>
        <w:pStyle w:val="Normal"/>
        <w:widowControl w:val="false"/>
        <w:shd w:fill="FFFFFF" w:val="clear"/>
        <w:autoSpaceDE w:val="false"/>
        <w:spacing w:before="120" w:after="0"/>
        <w:ind w:firstLine="720"/>
        <w:jc w:val="both"/>
        <w:rPr>
          <w:sz w:val="28"/>
          <w:szCs w:val="28"/>
          <w:lang w:val="sv-SE"/>
        </w:rPr>
      </w:pPr>
      <w:r>
        <w:rPr>
          <w:bCs/>
          <w:iCs/>
          <w:sz w:val="28"/>
          <w:szCs w:val="28"/>
          <w:lang w:val="sv-SE"/>
        </w:rPr>
        <w:t>- Về thị trường XK:</w:t>
      </w:r>
      <w:bookmarkStart w:id="11" w:name="_Hlk36195422"/>
      <w:r>
        <w:rPr>
          <w:sz w:val="28"/>
          <w:szCs w:val="28"/>
          <w:lang w:val="sv-SE"/>
        </w:rPr>
        <w:t xml:space="preserve"> 11 tháng, các thị trường</w:t>
      </w:r>
      <w:r>
        <w:rPr>
          <w:rStyle w:val="FootnoteAnchor"/>
          <w:sz w:val="28"/>
          <w:szCs w:val="28"/>
          <w:vertAlign w:val="superscript"/>
        </w:rPr>
        <w:footnoteReference w:id="6"/>
      </w:r>
      <w:r>
        <w:rPr>
          <w:sz w:val="28"/>
          <w:szCs w:val="28"/>
          <w:lang w:val="sv-SE"/>
        </w:rPr>
        <w:t xml:space="preserve"> châu Á (chiếm 44,7% thị phần), châu Mỹ (27, 4%), châu Âu (11,3%), châu Đại Dương (1,</w:t>
      </w:r>
      <w:r>
        <w:rPr>
          <w:sz w:val="28"/>
          <w:szCs w:val="28"/>
          <w:lang w:val="vi-VN"/>
        </w:rPr>
        <w:t>7</w:t>
      </w:r>
      <w:r>
        <w:rPr>
          <w:sz w:val="28"/>
          <w:szCs w:val="28"/>
          <w:lang w:val="sv-SE"/>
        </w:rPr>
        <w:t xml:space="preserve">%) và châu Phi (1,7%). Hoa Kỳ tiếp tục là thị trường xuất khẩu </w:t>
      </w:r>
      <w:r>
        <w:rPr>
          <w:i/>
          <w:sz w:val="28"/>
          <w:szCs w:val="28"/>
          <w:lang w:val="sv-SE"/>
        </w:rPr>
        <w:t>lớn nhất,</w:t>
      </w:r>
      <w:r>
        <w:rPr>
          <w:sz w:val="28"/>
          <w:szCs w:val="28"/>
          <w:lang w:val="sv-SE"/>
        </w:rPr>
        <w:t xml:space="preserve"> đạt 12,3 tỷ USD (chiếm 25,0% thị phần); đứng </w:t>
      </w:r>
      <w:r>
        <w:rPr>
          <w:i/>
          <w:sz w:val="28"/>
          <w:szCs w:val="28"/>
          <w:lang w:val="sv-SE"/>
        </w:rPr>
        <w:t>thứ 2</w:t>
      </w:r>
      <w:r>
        <w:rPr>
          <w:sz w:val="28"/>
          <w:szCs w:val="28"/>
          <w:lang w:val="sv-SE"/>
        </w:rPr>
        <w:t xml:space="preserve"> là Trung Quốc khoảng 9,3 tỷ USD (chiếm 18,9% thị phần)</w:t>
      </w:r>
      <w:r>
        <w:rPr>
          <w:sz w:val="28"/>
          <w:szCs w:val="28"/>
          <w:lang w:val="vi-VN"/>
        </w:rPr>
        <w:t>;</w:t>
      </w:r>
      <w:r>
        <w:rPr>
          <w:sz w:val="28"/>
          <w:szCs w:val="28"/>
          <w:lang w:val="sv-SE"/>
        </w:rPr>
        <w:t xml:space="preserve"> </w:t>
      </w:r>
      <w:r>
        <w:rPr>
          <w:i/>
          <w:sz w:val="28"/>
          <w:szCs w:val="28"/>
          <w:lang w:val="sv-SE"/>
        </w:rPr>
        <w:t>thứ 3</w:t>
      </w:r>
      <w:r>
        <w:rPr>
          <w:sz w:val="28"/>
          <w:szCs w:val="28"/>
          <w:lang w:val="sv-SE"/>
        </w:rPr>
        <w:t xml:space="preserve"> là Nhật Bản với giá trị XK đạt 3,9 tỷ USD (chiếm 7,9%); </w:t>
      </w:r>
      <w:r>
        <w:rPr>
          <w:i/>
          <w:sz w:val="28"/>
          <w:szCs w:val="28"/>
          <w:lang w:val="sv-SE"/>
        </w:rPr>
        <w:t>thứ 4</w:t>
      </w:r>
      <w:r>
        <w:rPr>
          <w:sz w:val="28"/>
          <w:szCs w:val="28"/>
          <w:lang w:val="sv-SE"/>
        </w:rPr>
        <w:t xml:space="preserve"> Hàn Quốc với giá trị XK đạt 2,3 tỷ USD (chiếm </w:t>
      </w:r>
      <w:r>
        <w:rPr>
          <w:sz w:val="28"/>
          <w:szCs w:val="28"/>
          <w:lang w:val="vi-VN"/>
        </w:rPr>
        <w:t>4,7</w:t>
      </w:r>
      <w:r>
        <w:rPr>
          <w:sz w:val="28"/>
          <w:szCs w:val="28"/>
          <w:lang w:val="sv-SE"/>
        </w:rPr>
        <w:t xml:space="preserve">%). </w:t>
      </w:r>
    </w:p>
    <w:p>
      <w:pPr>
        <w:pStyle w:val="TextBody"/>
        <w:widowControl w:val="false"/>
        <w:tabs>
          <w:tab w:val="clear" w:pos="720"/>
          <w:tab w:val="left" w:pos="7655" w:leader="none"/>
        </w:tabs>
        <w:spacing w:before="100" w:after="0"/>
        <w:ind w:firstLine="709"/>
        <w:rPr>
          <w:color w:val="000000"/>
          <w:sz w:val="28"/>
          <w:szCs w:val="28"/>
          <w:lang w:val="cs-CZ"/>
        </w:rPr>
      </w:pPr>
      <w:r>
        <w:rPr>
          <w:i/>
          <w:color w:val="000000"/>
          <w:sz w:val="28"/>
          <w:szCs w:val="28"/>
          <w:lang w:val="cs-CZ"/>
        </w:rPr>
        <w:t>* Đánh giá chung:</w:t>
      </w:r>
      <w:r>
        <w:rPr>
          <w:color w:val="000000"/>
          <w:sz w:val="28"/>
          <w:szCs w:val="28"/>
          <w:lang w:val="cs-CZ"/>
        </w:rPr>
        <w:t xml:space="preserve"> </w:t>
      </w:r>
      <w:r>
        <w:rPr>
          <w:color w:val="000000"/>
          <w:sz w:val="28"/>
          <w:szCs w:val="28"/>
          <w:lang w:val="sv-SE"/>
        </w:rPr>
        <w:t xml:space="preserve">Trung Quốc chưa bỏ hoàn toàn chính sách ”Zero Covid”, đồng Nhân dân tệ của Trung Quốc cũng như đồng Baht của Thái Lan mất giá hơn so với VNĐ và đồng USD, nên Trung Quốc đang có xu hướng nhập khẩu nhiều các sản phẩm của Thái Lan hơn. </w:t>
      </w:r>
      <w:r>
        <w:rPr>
          <w:bCs/>
          <w:color w:val="000000"/>
          <w:sz w:val="28"/>
          <w:szCs w:val="28"/>
          <w:lang w:val="cs-CZ"/>
        </w:rPr>
        <w:t>Quả bưởi tươi (citrus maxima) là loại trái cây thứ 7 của nước ta được phép nhập khẩu vào thị trường Hoa Kỳ</w:t>
      </w:r>
      <w:r>
        <w:rPr>
          <w:rStyle w:val="FootnoteCharacters"/>
          <w:rStyle w:val="FootnoteAnchor"/>
          <w:bCs/>
          <w:color w:val="000000"/>
          <w:sz w:val="28"/>
          <w:szCs w:val="28"/>
          <w:lang w:val="cs-CZ"/>
        </w:rPr>
        <w:footnoteReference w:id="7"/>
      </w:r>
      <w:r>
        <w:rPr>
          <w:bCs/>
          <w:color w:val="000000"/>
          <w:sz w:val="28"/>
          <w:szCs w:val="28"/>
          <w:lang w:val="cs-CZ"/>
        </w:rPr>
        <w:t xml:space="preserve">; </w:t>
      </w:r>
      <w:r>
        <w:rPr>
          <w:rFonts w:cs="Helvetica Neue;Times New Roman" w:ascii="Helvetica Neue;Times New Roman" w:hAnsi="Helvetica Neue;Times New Roman"/>
          <w:color w:val="111111"/>
          <w:sz w:val="30"/>
          <w:szCs w:val="30"/>
          <w:shd w:fill="FFFFFF" w:val="clear"/>
          <w:lang w:val="sv-SE"/>
        </w:rPr>
        <w:t>đây là kết quả của nỗ lực đàm phán suốt thời gian dài của các cơ quan chuyên môn giữa hai bên và sự đồng hành kiên trì của cộng đồng những người sản xuất và xuất khẩu bưởi Việt Nam.</w:t>
      </w:r>
      <w:r>
        <w:rPr>
          <w:bCs/>
          <w:color w:val="000000"/>
          <w:sz w:val="28"/>
          <w:szCs w:val="28"/>
          <w:lang w:val="cs-CZ"/>
        </w:rPr>
        <w:t xml:space="preserve"> </w:t>
      </w:r>
      <w:r>
        <w:rPr>
          <w:color w:val="000000"/>
          <w:sz w:val="28"/>
          <w:szCs w:val="28"/>
          <w:lang w:val="sv-SE"/>
        </w:rPr>
        <w:t>EU truy xuất nguồn gốc nguyên liệu gỗ rất nghiêm ngặt nên xuất khẩu viên nén gỗ từ Việt Nam sang EU vẫn còn khiêm tốn; Tiêu chuẩn của EU hiện cao hơn hàng xuất khẩu đi Nhật Bản và Hàn Quốc. đây là một thách thức rất lớn, đòi hỏi phải đầu tư lớn để cải thiện thiết bị và công nghệ.</w:t>
      </w:r>
    </w:p>
    <w:p>
      <w:pPr>
        <w:pStyle w:val="Normal"/>
        <w:widowControl w:val="false"/>
        <w:autoSpaceDE w:val="false"/>
        <w:spacing w:before="100" w:after="0"/>
        <w:ind w:firstLine="709"/>
        <w:jc w:val="both"/>
        <w:rPr>
          <w:i/>
          <w:i/>
          <w:sz w:val="28"/>
          <w:szCs w:val="28"/>
          <w:lang w:val="cs-CZ"/>
        </w:rPr>
      </w:pPr>
      <w:bookmarkEnd w:id="11"/>
      <w:r>
        <w:rPr>
          <w:i/>
          <w:iCs/>
          <w:sz w:val="28"/>
          <w:szCs w:val="28"/>
          <w:lang w:val="cs-CZ"/>
        </w:rPr>
        <w:t xml:space="preserve">* Về nhập khẩu </w:t>
      </w:r>
    </w:p>
    <w:p>
      <w:pPr>
        <w:pStyle w:val="Normal"/>
        <w:widowControl w:val="false"/>
        <w:autoSpaceDE w:val="false"/>
        <w:spacing w:before="100" w:after="0"/>
        <w:ind w:firstLine="709"/>
        <w:jc w:val="both"/>
        <w:rPr>
          <w:sz w:val="28"/>
          <w:szCs w:val="28"/>
          <w:lang w:val="cs-CZ"/>
        </w:rPr>
      </w:pPr>
      <w:r>
        <w:rPr>
          <w:sz w:val="28"/>
          <w:szCs w:val="28"/>
          <w:lang w:val="cs-CZ"/>
        </w:rPr>
        <w:t>- Kim ngạch nhập khẩu: Tính chung 11 tháng, kim ngạch NK các mặt hàng NLTS ước trên 41,22 tỷ USD, tăng 6,9% so với cùng kỳ năm 202</w:t>
      </w:r>
      <w:r>
        <w:rPr>
          <w:sz w:val="28"/>
          <w:szCs w:val="28"/>
          <w:lang w:val="vi-VN"/>
        </w:rPr>
        <w:t>1</w:t>
      </w:r>
      <w:r>
        <w:rPr>
          <w:sz w:val="28"/>
          <w:szCs w:val="28"/>
          <w:lang w:val="cs-CZ"/>
        </w:rPr>
        <w:t xml:space="preserve">. Trong đó, giá trị NK các mặt hàng nông sản chính ước đạt trên 25,21 tỷ USD, tăng 3,9%; nhóm hàng thủy sản ước 2,50 tỷ USD, tăng 39,7%; nhóm lâm sản chính 2,89 tỷ USD, tăng 4,0%; nhóm sản phẩm chăn nuôi gần 3,01 tỷ USD, </w:t>
      </w:r>
      <w:r>
        <w:rPr>
          <w:sz w:val="28"/>
          <w:szCs w:val="28"/>
          <w:lang w:val="vi-VN"/>
        </w:rPr>
        <w:t>giảm</w:t>
      </w:r>
      <w:r>
        <w:rPr>
          <w:sz w:val="28"/>
          <w:szCs w:val="28"/>
          <w:lang w:val="cs-CZ"/>
        </w:rPr>
        <w:t xml:space="preserve"> 3,2%; nhóm đầu vào sản xuất </w:t>
      </w:r>
      <w:r>
        <w:rPr>
          <w:sz w:val="28"/>
          <w:szCs w:val="28"/>
          <w:lang w:val="vi-VN"/>
        </w:rPr>
        <w:t xml:space="preserve">ước </w:t>
      </w:r>
      <w:r>
        <w:rPr>
          <w:sz w:val="28"/>
          <w:szCs w:val="28"/>
          <w:lang w:val="cs-CZ"/>
        </w:rPr>
        <w:t xml:space="preserve">7,57 tỷ USD, tăng 14,9%. </w:t>
      </w:r>
    </w:p>
    <w:p>
      <w:pPr>
        <w:pStyle w:val="Normal"/>
        <w:widowControl w:val="false"/>
        <w:autoSpaceDE w:val="false"/>
        <w:spacing w:before="100" w:after="0"/>
        <w:ind w:firstLine="720"/>
        <w:jc w:val="both"/>
        <w:rPr/>
      </w:pPr>
      <w:r>
        <w:rPr>
          <w:sz w:val="28"/>
          <w:szCs w:val="28"/>
          <w:lang w:val="sv-SE"/>
        </w:rPr>
        <w:t>- Về thị trường NK: Khu vực châu Á chiếm 30,6% thị phần NK của Việt Nam, thứ 2 là châu Mỹ chiếm 25,1</w:t>
      </w:r>
      <w:r>
        <w:rPr>
          <w:sz w:val="28"/>
          <w:szCs w:val="28"/>
          <w:lang w:val="vi-VN"/>
        </w:rPr>
        <w:t>%,</w:t>
      </w:r>
      <w:r>
        <w:rPr>
          <w:sz w:val="28"/>
          <w:szCs w:val="28"/>
          <w:lang w:val="sv-SE"/>
        </w:rPr>
        <w:t xml:space="preserve"> châu Đại dương chiếm 7,4%, châu Âu chiếm 4,3% và châu Phi chiếm 3,2%. Achentina, Trung Quốc và Hoa Kỳ là 3 thị trường cung cấp hàng nông, lâm, thủy sản lớn nhất cho Việt Nam với thị phần trong tổng giá trị nhập khẩu lần lượt là 8,8%; 8,6% và 8,5%. </w:t>
      </w:r>
    </w:p>
    <w:p>
      <w:pPr>
        <w:pStyle w:val="Normal"/>
        <w:widowControl w:val="false"/>
        <w:spacing w:before="100" w:after="0"/>
        <w:ind w:firstLine="720"/>
        <w:jc w:val="both"/>
        <w:rPr>
          <w:sz w:val="28"/>
          <w:szCs w:val="28"/>
          <w:lang w:val="sv-SE"/>
        </w:rPr>
      </w:pPr>
      <w:bookmarkStart w:id="12" w:name="_Hlk36194168"/>
      <w:bookmarkEnd w:id="12"/>
      <w:r>
        <w:rPr>
          <w:sz w:val="28"/>
          <w:szCs w:val="28"/>
          <w:lang w:val="sv-SE"/>
        </w:rPr>
        <w:t xml:space="preserve">b) Thị trường trong nước: </w:t>
      </w:r>
      <w:r>
        <w:rPr>
          <w:sz w:val="28"/>
          <w:szCs w:val="28"/>
          <w:lang w:val="es-NI"/>
        </w:rPr>
        <w:t>Hiện nay lưu thông hàng hóa trên thị trường trở lại bình thường như trước khi có dịch, nguồn cung dồi dào nên giá cả không có biến động lớn. Tuy có biến động tăng giảm tùy giai đoạn như mặt hàng thịt lợn nhưng tính chung cả năm,</w:t>
      </w:r>
      <w:r>
        <w:rPr>
          <w:sz w:val="28"/>
          <w:szCs w:val="28"/>
          <w:lang w:val="pt-BR"/>
        </w:rPr>
        <w:t xml:space="preserve"> g</w:t>
      </w:r>
      <w:r>
        <w:rPr>
          <w:sz w:val="28"/>
          <w:szCs w:val="28"/>
          <w:lang w:val="es-NI"/>
        </w:rPr>
        <w:t xml:space="preserve">iá cả các mặt hàng lương thực thực phẩm thiết yếu trong nước tương đối ổn định. Do ảnh hưởng của đại dịch Covid-19, xung đột giữa Nga-Ucraina nên </w:t>
      </w:r>
      <w:r>
        <w:rPr>
          <w:rFonts w:eastAsia="Batang;바탕"/>
          <w:sz w:val="28"/>
          <w:szCs w:val="28"/>
          <w:lang w:val="es-ES" w:eastAsia="ko-KR"/>
        </w:rPr>
        <w:t>nhóm các mặt hàng vật tư nông nghiệp đầu vào tiếp tục ở mức cao so với năm 2021 (phân bón, thức ăn chăn nuôi)</w:t>
      </w:r>
      <w:r>
        <w:rPr>
          <w:rStyle w:val="FootnoteCharacters"/>
          <w:rStyle w:val="FootnoteAnchor"/>
          <w:rFonts w:eastAsia="Batang;바탕"/>
          <w:sz w:val="28"/>
          <w:szCs w:val="28"/>
          <w:lang w:val="es-ES" w:eastAsia="ko-KR"/>
        </w:rPr>
        <w:footnoteReference w:id="8"/>
      </w:r>
      <w:r>
        <w:rPr>
          <w:rFonts w:eastAsia="Batang;바탕"/>
          <w:sz w:val="28"/>
          <w:szCs w:val="28"/>
          <w:lang w:val="es-ES" w:eastAsia="ko-KR"/>
        </w:rPr>
        <w:t xml:space="preserve">. </w:t>
      </w:r>
    </w:p>
    <w:p>
      <w:pPr>
        <w:pStyle w:val="Normal"/>
        <w:widowControl w:val="false"/>
        <w:shd w:fill="FFFFFF" w:val="clear"/>
        <w:spacing w:before="100" w:after="0"/>
        <w:ind w:firstLine="709"/>
        <w:jc w:val="both"/>
        <w:rPr/>
      </w:pPr>
      <w:r>
        <w:rPr>
          <w:sz w:val="28"/>
          <w:szCs w:val="28"/>
          <w:shd w:fill="FFFFFF" w:val="clear"/>
          <w:lang w:val="sv-SE"/>
        </w:rPr>
        <w:t>c) Công tác hỗ trợ tiêu thụ nông sản, ổn định giá</w:t>
      </w:r>
    </w:p>
    <w:p>
      <w:pPr>
        <w:pStyle w:val="Normal"/>
        <w:widowControl w:val="false"/>
        <w:shd w:fill="FFFFFF" w:val="clear"/>
        <w:spacing w:before="100" w:after="0"/>
        <w:ind w:firstLine="709"/>
        <w:jc w:val="both"/>
        <w:rPr>
          <w:sz w:val="28"/>
          <w:szCs w:val="28"/>
          <w:shd w:fill="FFFFFF" w:val="clear"/>
          <w:lang w:val="es-ES"/>
        </w:rPr>
      </w:pPr>
      <w:r>
        <w:rPr>
          <w:rFonts w:eastAsia="Batang;바탕"/>
          <w:sz w:val="28"/>
          <w:szCs w:val="28"/>
          <w:lang w:val="es-ES" w:eastAsia="ko-KR"/>
        </w:rPr>
        <w:t xml:space="preserve">- </w:t>
      </w:r>
      <w:r>
        <w:rPr>
          <w:rFonts w:eastAsia="Calibri"/>
          <w:bCs/>
          <w:sz w:val="28"/>
          <w:szCs w:val="28"/>
          <w:lang w:val="it-IT"/>
        </w:rPr>
        <w:t xml:space="preserve">Theo dõi sát biến động thị trường; </w:t>
      </w:r>
      <w:r>
        <w:rPr>
          <w:rFonts w:eastAsia="Batang;바탕"/>
          <w:sz w:val="28"/>
          <w:szCs w:val="28"/>
          <w:lang w:val="es-ES" w:eastAsia="ko-KR"/>
        </w:rPr>
        <w:t>tình hình sản xuất và nguồn cung, đặc biệt là các nông sản vào chính vụ  như nhãn, na, sầu riêng, xoài, thanh long, bơ… Tuyên truyền, thông tin và định hướng sản xuất, kinh doanh đáp ứng nhu cầu thị trường, hạn chế các yếu tố tác động đến giá cả, đảm bảo lợi ích của người dân.</w:t>
      </w:r>
    </w:p>
    <w:p>
      <w:pPr>
        <w:pStyle w:val="Normal"/>
        <w:widowControl w:val="false"/>
        <w:spacing w:before="100" w:after="0"/>
        <w:ind w:firstLine="709"/>
        <w:jc w:val="both"/>
        <w:rPr>
          <w:rFonts w:eastAsia="Batang;바탕"/>
          <w:sz w:val="28"/>
          <w:szCs w:val="28"/>
          <w:lang w:val="es-ES" w:eastAsia="ko-KR"/>
        </w:rPr>
      </w:pPr>
      <w:r>
        <w:rPr>
          <w:rFonts w:eastAsia="Batang;바탕"/>
          <w:sz w:val="28"/>
          <w:szCs w:val="28"/>
          <w:lang w:val="es-ES" w:eastAsia="ko-KR"/>
        </w:rPr>
        <w:t xml:space="preserve">- Tiếp tục đẩy mạnh đàm phán, mở cửa thị trường xuất khẩu chính ngạch. Hỗ trợ, hướng dẫn người dân, doanh nghiệp tổ chức sản xuất, kinh doanh theo phương thức mới đảm bảo đáp ứng yêu cầu kỹ thuật của các thị trường. </w:t>
      </w:r>
    </w:p>
    <w:p>
      <w:pPr>
        <w:pStyle w:val="Normal"/>
        <w:widowControl w:val="false"/>
        <w:spacing w:before="100" w:after="0"/>
        <w:ind w:firstLine="709"/>
        <w:jc w:val="both"/>
        <w:rPr>
          <w:rFonts w:eastAsia="Batang;바탕"/>
          <w:sz w:val="28"/>
          <w:szCs w:val="28"/>
          <w:lang w:val="es-ES" w:eastAsia="ko-KR"/>
        </w:rPr>
      </w:pPr>
      <w:r>
        <w:rPr>
          <w:rFonts w:eastAsia="Batang;바탕"/>
          <w:sz w:val="28"/>
          <w:szCs w:val="28"/>
          <w:lang w:val="es-ES" w:eastAsia="ko-KR"/>
        </w:rPr>
        <w:t xml:space="preserve">- Tham gia, phối hợp, hỗ trợ các địa phương, đơn vị tổ chức các hoạt động xúc tiến thương mại, tiêu thụ nông sản. </w:t>
      </w:r>
    </w:p>
    <w:p>
      <w:pPr>
        <w:pStyle w:val="Normal"/>
        <w:widowControl w:val="false"/>
        <w:spacing w:before="100" w:after="0"/>
        <w:ind w:firstLine="720"/>
        <w:jc w:val="both"/>
        <w:rPr>
          <w:b/>
          <w:b/>
          <w:bCs/>
          <w:sz w:val="28"/>
          <w:szCs w:val="28"/>
          <w:lang w:val="vi-VN"/>
        </w:rPr>
      </w:pPr>
      <w:r>
        <w:rPr>
          <w:b/>
          <w:bCs/>
          <w:sz w:val="28"/>
          <w:szCs w:val="28"/>
          <w:lang w:val="vi-VN"/>
        </w:rPr>
        <w:t>3. Quản lý chất lượng, an toàn thực phẩm</w:t>
      </w:r>
    </w:p>
    <w:p>
      <w:pPr>
        <w:pStyle w:val="NormalWeb"/>
        <w:widowControl w:val="false"/>
        <w:spacing w:before="280" w:after="0"/>
        <w:ind w:firstLine="709"/>
        <w:jc w:val="both"/>
        <w:rPr/>
      </w:pPr>
      <w:r>
        <w:rPr>
          <w:sz w:val="28"/>
          <w:szCs w:val="28"/>
          <w:lang w:val="da-DK"/>
        </w:rPr>
        <w:t xml:space="preserve">Tổ chức triển khai và đôn đốc, hỗ trợ các địa phương triển khai Đề án </w:t>
      </w:r>
      <w:r>
        <w:rPr>
          <w:sz w:val="28"/>
          <w:szCs w:val="28"/>
          <w:lang w:val="vi-VN"/>
        </w:rPr>
        <w:t>“</w:t>
      </w:r>
      <w:r>
        <w:rPr>
          <w:sz w:val="28"/>
          <w:szCs w:val="28"/>
          <w:lang w:val="da-DK"/>
        </w:rPr>
        <w:t>Đảm bảo ATTP, nâng cao chất lượng nông lâm thủy sản giai đoạn 2021-2030</w:t>
      </w:r>
      <w:r>
        <w:rPr>
          <w:sz w:val="28"/>
          <w:szCs w:val="28"/>
          <w:lang w:val="vi-VN"/>
        </w:rPr>
        <w:t>”</w:t>
      </w:r>
      <w:r>
        <w:rPr>
          <w:sz w:val="28"/>
          <w:szCs w:val="28"/>
          <w:lang w:val="da-DK"/>
        </w:rPr>
        <w:t xml:space="preserve">; </w:t>
      </w:r>
      <w:r>
        <w:rPr>
          <w:spacing w:val="9"/>
          <w:sz w:val="28"/>
          <w:szCs w:val="28"/>
          <w:lang w:val="vi-VN"/>
        </w:rPr>
        <w:t>x</w:t>
      </w:r>
      <w:r>
        <w:rPr>
          <w:sz w:val="28"/>
          <w:szCs w:val="28"/>
          <w:lang w:val="vi-VN"/>
        </w:rPr>
        <w:t>ây dựng và phát triển mô hình cung cấp thực phẩm NLTS an toàn trên phạm vi toà</w:t>
      </w:r>
      <w:r>
        <w:rPr>
          <w:sz w:val="28"/>
          <w:szCs w:val="28"/>
          <w:lang w:val="es-ES_tradnl"/>
        </w:rPr>
        <w:t>n qu</w:t>
      </w:r>
      <w:r>
        <w:rPr>
          <w:sz w:val="28"/>
          <w:szCs w:val="28"/>
          <w:lang w:val="vi-VN"/>
        </w:rPr>
        <w:t xml:space="preserve">ốc; đã có </w:t>
      </w:r>
      <w:r>
        <w:rPr>
          <w:b/>
          <w:bCs/>
          <w:sz w:val="28"/>
          <w:szCs w:val="28"/>
          <w:lang w:val="vi-VN"/>
        </w:rPr>
        <w:t>1.669 chuỗi</w:t>
      </w:r>
      <w:r>
        <w:rPr>
          <w:sz w:val="28"/>
          <w:szCs w:val="28"/>
          <w:lang w:val="vi-VN"/>
        </w:rPr>
        <w:t xml:space="preserve"> được kiểm soát với sự tham gia của một số tập đoàn lớn (Dabaco, Ba Huân, Saigon Coop, San Hà ...).</w:t>
      </w:r>
    </w:p>
    <w:p>
      <w:pPr>
        <w:pStyle w:val="Normal"/>
        <w:widowControl w:val="false"/>
        <w:tabs>
          <w:tab w:val="clear" w:pos="720"/>
          <w:tab w:val="left" w:pos="709" w:leader="none"/>
        </w:tabs>
        <w:spacing w:before="100" w:after="0"/>
        <w:ind w:firstLine="720"/>
        <w:jc w:val="both"/>
        <w:rPr>
          <w:rStyle w:val="Hyperlink0"/>
          <w:rFonts w:eastAsia="Arial"/>
          <w:lang w:val="cs-CZ"/>
        </w:rPr>
      </w:pPr>
      <w:r>
        <w:rPr>
          <w:sz w:val="28"/>
          <w:szCs w:val="28"/>
          <w:lang w:val="sv-SE"/>
        </w:rPr>
        <w:t xml:space="preserve">Duy trì triển khai các chương trình giám sát vệ sinh ATTP nông lâm thủy sản. </w:t>
      </w:r>
      <w:r>
        <w:rPr>
          <w:sz w:val="28"/>
          <w:szCs w:val="28"/>
          <w:lang w:val="cs-CZ"/>
        </w:rPr>
        <w:t>Tiếp cận chủ động trong xử lý các sự cố mất ATTP và đàm phán xử lý các rào cản kỹ thuật, mở rộng thị trường xuất khẩu sản phẩm nông lâm thủy sản Việt Nam</w:t>
      </w:r>
      <w:r>
        <w:rPr>
          <w:rStyle w:val="FootnoteCharacters"/>
          <w:rStyle w:val="FootnoteAnchor"/>
          <w:sz w:val="28"/>
          <w:szCs w:val="28"/>
          <w:lang w:val="cs-CZ"/>
        </w:rPr>
        <w:footnoteReference w:id="9"/>
      </w:r>
      <w:r>
        <w:rPr>
          <w:sz w:val="28"/>
          <w:szCs w:val="28"/>
          <w:lang w:val="cs-CZ"/>
        </w:rPr>
        <w:t xml:space="preserve">. </w:t>
      </w:r>
      <w:r>
        <w:rPr>
          <w:sz w:val="28"/>
          <w:szCs w:val="28"/>
          <w:lang w:val="sv-SE"/>
        </w:rPr>
        <w:t>Lũy kế 11 tháng, t</w:t>
      </w:r>
      <w:r>
        <w:rPr>
          <w:rStyle w:val="Hyperlink0"/>
          <w:rFonts w:eastAsia="Arial"/>
          <w:lang w:val="cs-CZ"/>
        </w:rPr>
        <w:t xml:space="preserve">ỷ lệ mẫu thực phẩm NLTS được giám sát đạt yêu cầu ATTP đạt 97,3%; tỷ lệ cơ sở sản xuất, kinh doanh NLTS được chứng nhận đủ điều kiện bảo đảm ATTP đạt 99,2%; tỷ lệ cơ sở sản xuất kinh doanh NLTS ký cam kết tuân thủ quy định ATTP đạt 89%. </w:t>
      </w:r>
    </w:p>
    <w:p>
      <w:pPr>
        <w:pStyle w:val="Xmsonormal"/>
        <w:spacing w:before="280" w:after="0"/>
        <w:ind w:firstLine="720"/>
        <w:jc w:val="both"/>
        <w:rPr>
          <w:sz w:val="28"/>
          <w:szCs w:val="28"/>
          <w:lang w:val="cs-CZ"/>
        </w:rPr>
      </w:pPr>
      <w:r>
        <w:rPr>
          <w:sz w:val="28"/>
          <w:szCs w:val="28"/>
          <w:shd w:fill="FFFFFF" w:val="clear"/>
          <w:lang w:val="cs-CZ"/>
        </w:rPr>
        <w:t>B</w:t>
      </w:r>
      <w:r>
        <w:rPr>
          <w:sz w:val="28"/>
          <w:szCs w:val="28"/>
          <w:lang w:val="cs-CZ"/>
        </w:rPr>
        <w:t xml:space="preserve">ổ sung và gia hạn </w:t>
      </w:r>
      <w:r>
        <w:rPr>
          <w:sz w:val="28"/>
          <w:szCs w:val="28"/>
          <w:lang w:val="nl-NL"/>
        </w:rPr>
        <w:t xml:space="preserve">chỉ định 13 </w:t>
      </w:r>
      <w:r>
        <w:rPr>
          <w:sz w:val="28"/>
          <w:szCs w:val="28"/>
          <w:lang w:val="sv-SE"/>
        </w:rPr>
        <w:t xml:space="preserve">cơ sở kiểm nghiệm thực phẩm phục vụ quản lý nhà nước; cấp 02 giấy chứng nhận đăng ký hoạt động đánh giá sự phù hợp; </w:t>
      </w:r>
      <w:r>
        <w:rPr>
          <w:sz w:val="28"/>
          <w:szCs w:val="28"/>
          <w:lang w:val="cs-CZ"/>
        </w:rPr>
        <w:t>hủy bỏ hiệu lực chỉ định 01 cơ sở kiểm nghiệm thực phẩm</w:t>
      </w:r>
      <w:r>
        <w:rPr>
          <w:sz w:val="28"/>
          <w:szCs w:val="28"/>
          <w:lang w:val="sv-SE"/>
        </w:rPr>
        <w:t>.</w:t>
      </w:r>
    </w:p>
    <w:p>
      <w:pPr>
        <w:pStyle w:val="Normal"/>
        <w:widowControl w:val="false"/>
        <w:spacing w:before="100" w:after="0"/>
        <w:ind w:firstLine="720"/>
        <w:jc w:val="both"/>
        <w:rPr>
          <w:sz w:val="28"/>
          <w:szCs w:val="28"/>
          <w:lang w:val="nl-NL"/>
        </w:rPr>
      </w:pPr>
      <w:r>
        <w:rPr>
          <w:sz w:val="28"/>
          <w:szCs w:val="28"/>
          <w:lang w:val="nl-NL"/>
        </w:rPr>
        <w:t xml:space="preserve">Trong tháng 11, </w:t>
      </w:r>
      <w:r>
        <w:rPr>
          <w:sz w:val="28"/>
          <w:szCs w:val="28"/>
          <w:lang w:val="vi-VN"/>
        </w:rPr>
        <w:t xml:space="preserve">có </w:t>
      </w:r>
      <w:r>
        <w:rPr>
          <w:sz w:val="28"/>
          <w:szCs w:val="28"/>
          <w:lang w:val="cs-CZ"/>
        </w:rPr>
        <w:t xml:space="preserve">01 </w:t>
      </w:r>
      <w:r>
        <w:rPr>
          <w:sz w:val="28"/>
          <w:szCs w:val="28"/>
          <w:lang w:val="vi-VN"/>
        </w:rPr>
        <w:t xml:space="preserve">lô hàng </w:t>
      </w:r>
      <w:r>
        <w:rPr>
          <w:bCs/>
          <w:sz w:val="28"/>
          <w:szCs w:val="28"/>
          <w:lang w:val="sv-SE"/>
        </w:rPr>
        <w:t>chanh leo</w:t>
      </w:r>
      <w:r>
        <w:rPr>
          <w:sz w:val="28"/>
          <w:szCs w:val="28"/>
          <w:lang w:val="vi-VN"/>
        </w:rPr>
        <w:t xml:space="preserve"> </w:t>
      </w:r>
      <w:r>
        <w:rPr>
          <w:sz w:val="28"/>
          <w:szCs w:val="28"/>
          <w:lang w:val="cs-CZ"/>
        </w:rPr>
        <w:t xml:space="preserve">sang Pháp (sai hồ sơ); </w:t>
      </w:r>
      <w:r>
        <w:rPr>
          <w:bCs/>
          <w:sz w:val="28"/>
          <w:szCs w:val="28"/>
          <w:lang w:val="sv-SE"/>
        </w:rPr>
        <w:t xml:space="preserve">02 lô hàng vi phạm quy </w:t>
      </w:r>
      <w:r>
        <w:rPr>
          <w:bCs/>
          <w:sz w:val="28"/>
          <w:szCs w:val="28"/>
          <w:lang w:val="sv-SE"/>
        </w:rPr>
        <w:t>đ</w:t>
      </w:r>
      <w:r>
        <w:rPr>
          <w:bCs/>
          <w:sz w:val="28"/>
          <w:szCs w:val="28"/>
          <w:lang w:val="sv-SE"/>
        </w:rPr>
        <w:t xml:space="preserve">ịnh KDTV của Nhật Bản; không có lô hàng thực phẩm XK bị cảnh báo vi phạm ATTP. </w:t>
      </w:r>
      <w:r>
        <w:rPr>
          <w:sz w:val="28"/>
          <w:szCs w:val="28"/>
          <w:lang w:val="cs-CZ"/>
        </w:rPr>
        <w:t xml:space="preserve">Đã </w:t>
      </w:r>
      <w:r>
        <w:rPr>
          <w:sz w:val="28"/>
          <w:szCs w:val="28"/>
          <w:lang w:val="nl-NL"/>
        </w:rPr>
        <w:t>kiểm tra ATTP hàng có nguồn gốc thực vật 18.587 lô hàng (tăng 69,9% so với T11/2022)</w:t>
      </w:r>
      <w:r>
        <w:rPr>
          <w:bCs/>
          <w:sz w:val="28"/>
          <w:szCs w:val="28"/>
          <w:lang w:val="cs-CZ"/>
        </w:rPr>
        <w:t xml:space="preserve">; </w:t>
      </w:r>
      <w:r>
        <w:rPr>
          <w:sz w:val="28"/>
          <w:szCs w:val="28"/>
          <w:lang w:val="nl-NL"/>
        </w:rPr>
        <w:t xml:space="preserve">trọng lượng 1,22 triệu tấn (tăng 65,3%). Lũy kế 11 tháng, kiểm tra ATTP 162.003 lô hàng (tăng 54,9% so CKNT), </w:t>
      </w:r>
      <w:r>
        <w:rPr>
          <w:sz w:val="28"/>
          <w:szCs w:val="28"/>
          <w:shd w:fill="FFFFFF" w:val="clear"/>
          <w:lang w:val="nl-NL"/>
        </w:rPr>
        <w:t>tổng trọng lượng trên 13,4 triệu tấn (</w:t>
      </w:r>
      <w:r>
        <w:rPr>
          <w:sz w:val="28"/>
          <w:szCs w:val="28"/>
          <w:lang w:val="nl-NL"/>
        </w:rPr>
        <w:t>tăng 17,15</w:t>
      </w:r>
      <w:r>
        <w:rPr>
          <w:sz w:val="28"/>
          <w:szCs w:val="28"/>
          <w:shd w:fill="FFFFFF" w:val="clear"/>
          <w:lang w:val="nl-NL"/>
        </w:rPr>
        <w:t>%)</w:t>
      </w:r>
      <w:r>
        <w:rPr>
          <w:sz w:val="28"/>
          <w:szCs w:val="28"/>
          <w:lang w:val="nl-NL"/>
        </w:rPr>
        <w:t>.</w:t>
      </w:r>
    </w:p>
    <w:p>
      <w:pPr>
        <w:pStyle w:val="Normal"/>
        <w:widowControl w:val="false"/>
        <w:spacing w:before="100" w:after="0"/>
        <w:ind w:firstLine="720"/>
        <w:jc w:val="both"/>
        <w:rPr/>
      </w:pPr>
      <w:r>
        <w:rPr>
          <w:b/>
          <w:bCs/>
          <w:sz w:val="28"/>
          <w:szCs w:val="28"/>
          <w:lang w:val="vi-VN"/>
        </w:rPr>
        <w:t>4. Phát triển nông thôn, xây dựng NTM</w:t>
      </w:r>
      <w:r>
        <w:rPr>
          <w:b/>
          <w:bCs/>
          <w:sz w:val="28"/>
          <w:szCs w:val="28"/>
          <w:lang w:val="nl-NL"/>
        </w:rPr>
        <w:t>; đổi mới tổ chức sản xuất</w:t>
      </w:r>
      <w:r>
        <w:rPr>
          <w:b/>
          <w:bCs/>
          <w:sz w:val="28"/>
          <w:szCs w:val="28"/>
          <w:lang w:val="vi-VN"/>
        </w:rPr>
        <w:t xml:space="preserve"> </w:t>
      </w:r>
      <w:r>
        <w:rPr>
          <w:bCs/>
          <w:sz w:val="28"/>
          <w:szCs w:val="28"/>
          <w:lang w:val="vi-VN"/>
        </w:rPr>
        <w:t xml:space="preserve"> </w:t>
      </w:r>
    </w:p>
    <w:p>
      <w:pPr>
        <w:pStyle w:val="Normal"/>
        <w:widowControl w:val="false"/>
        <w:spacing w:before="100" w:after="0"/>
        <w:ind w:firstLine="720"/>
        <w:jc w:val="both"/>
        <w:rPr>
          <w:spacing w:val="-4"/>
          <w:sz w:val="28"/>
          <w:szCs w:val="28"/>
          <w:shd w:fill="FFFFFF" w:val="clear"/>
          <w:lang w:val="vi-VN"/>
        </w:rPr>
      </w:pPr>
      <w:r>
        <w:rPr>
          <w:bCs/>
          <w:spacing w:val="-4"/>
          <w:sz w:val="28"/>
          <w:szCs w:val="28"/>
          <w:lang w:val="vi-VN"/>
        </w:rPr>
        <w:t xml:space="preserve">a) Xây dựng nông thôn mới: </w:t>
      </w:r>
      <w:r>
        <w:rPr>
          <w:spacing w:val="-4"/>
          <w:sz w:val="28"/>
          <w:szCs w:val="28"/>
          <w:lang w:val="af-ZA"/>
        </w:rPr>
        <w:t xml:space="preserve">Có </w:t>
      </w:r>
      <w:r>
        <w:rPr>
          <w:b/>
          <w:spacing w:val="-4"/>
          <w:sz w:val="28"/>
          <w:szCs w:val="28"/>
          <w:lang w:val="de-DE"/>
        </w:rPr>
        <w:t>5.869/</w:t>
      </w:r>
      <w:r>
        <w:rPr>
          <w:bCs/>
          <w:spacing w:val="-4"/>
          <w:sz w:val="28"/>
          <w:szCs w:val="28"/>
          <w:lang w:val="de-DE"/>
        </w:rPr>
        <w:t>8.225</w:t>
      </w:r>
      <w:r>
        <w:rPr>
          <w:spacing w:val="-4"/>
          <w:sz w:val="28"/>
          <w:szCs w:val="28"/>
          <w:lang w:val="de-DE"/>
        </w:rPr>
        <w:t xml:space="preserve"> xã (71,4%) </w:t>
      </w:r>
      <w:r>
        <w:rPr>
          <w:spacing w:val="-4"/>
          <w:sz w:val="28"/>
          <w:szCs w:val="28"/>
          <w:lang w:val="af-ZA"/>
        </w:rPr>
        <w:t>đạt chuẩn nông thôn mới</w:t>
      </w:r>
      <w:r>
        <w:rPr>
          <w:spacing w:val="-4"/>
          <w:sz w:val="28"/>
          <w:szCs w:val="28"/>
          <w:shd w:fill="FFFFFF" w:val="clear"/>
          <w:lang w:val="vi-VN"/>
        </w:rPr>
        <w:t xml:space="preserve">; có 937 xã đạt chuẩn NTM nâng cao; </w:t>
      </w:r>
      <w:r>
        <w:rPr>
          <w:spacing w:val="-4"/>
          <w:sz w:val="28"/>
          <w:szCs w:val="28"/>
          <w:lang w:val="de-DE"/>
        </w:rPr>
        <w:t>110 xã đạt chuẩn NTM kiểu mẫu; bình quân cả nước đạt 1</w:t>
      </w:r>
      <w:r>
        <w:rPr>
          <w:spacing w:val="-4"/>
          <w:sz w:val="28"/>
          <w:szCs w:val="28"/>
          <w:lang w:val="vi-VN"/>
        </w:rPr>
        <w:t>7,1</w:t>
      </w:r>
      <w:r>
        <w:rPr>
          <w:spacing w:val="-4"/>
          <w:sz w:val="28"/>
          <w:szCs w:val="28"/>
          <w:lang w:val="de-DE"/>
        </w:rPr>
        <w:t xml:space="preserve"> tiêu chí/xã;</w:t>
      </w:r>
      <w:r>
        <w:rPr>
          <w:spacing w:val="-4"/>
          <w:sz w:val="28"/>
          <w:szCs w:val="28"/>
          <w:shd w:fill="FFFFFF" w:val="clear"/>
          <w:lang w:val="vi-VN"/>
        </w:rPr>
        <w:t xml:space="preserve"> có </w:t>
      </w:r>
      <w:r>
        <w:rPr>
          <w:bCs/>
          <w:spacing w:val="-4"/>
          <w:sz w:val="28"/>
          <w:szCs w:val="28"/>
          <w:shd w:fill="FFFFFF" w:val="clear"/>
          <w:lang w:val="vi-VN"/>
        </w:rPr>
        <w:t>255</w:t>
      </w:r>
      <w:r>
        <w:rPr>
          <w:spacing w:val="-4"/>
          <w:sz w:val="28"/>
          <w:szCs w:val="28"/>
          <w:shd w:fill="FFFFFF" w:val="clear"/>
          <w:lang w:val="vi-VN"/>
        </w:rPr>
        <w:t xml:space="preserve"> đơn vị cấp huyện thuộc 58 tỉnh, thành phố hoàn thành nhiệm vụ/đạt chuẩn NTM (đạt </w:t>
      </w:r>
      <w:r>
        <w:rPr>
          <w:spacing w:val="-4"/>
          <w:sz w:val="28"/>
          <w:szCs w:val="28"/>
          <w:lang w:val="de-DE"/>
        </w:rPr>
        <w:t>39,6% số huyện cả nước)</w:t>
      </w:r>
      <w:r>
        <w:rPr>
          <w:spacing w:val="-4"/>
          <w:sz w:val="28"/>
          <w:szCs w:val="28"/>
          <w:shd w:fill="FFFFFF" w:val="clear"/>
          <w:lang w:val="vi-VN"/>
        </w:rPr>
        <w:t xml:space="preserve">. Có </w:t>
      </w:r>
      <w:r>
        <w:rPr>
          <w:bCs/>
          <w:spacing w:val="-4"/>
          <w:sz w:val="28"/>
          <w:szCs w:val="28"/>
          <w:shd w:fill="FFFFFF" w:val="clear"/>
          <w:lang w:val="vi-VN"/>
        </w:rPr>
        <w:t>18</w:t>
      </w:r>
      <w:r>
        <w:rPr>
          <w:spacing w:val="-4"/>
          <w:sz w:val="28"/>
          <w:szCs w:val="28"/>
          <w:shd w:fill="FFFFFF" w:val="clear"/>
          <w:lang w:val="vi-VN"/>
        </w:rPr>
        <w:t xml:space="preserve"> tỉnh</w:t>
      </w:r>
      <w:r>
        <w:rPr>
          <w:rStyle w:val="FootnoteCharacters"/>
          <w:rStyle w:val="FootnoteAnchor"/>
          <w:spacing w:val="-4"/>
          <w:sz w:val="28"/>
          <w:szCs w:val="28"/>
          <w:shd w:fill="FFFFFF" w:val="clear"/>
        </w:rPr>
        <w:footnoteReference w:id="10"/>
      </w:r>
      <w:r>
        <w:rPr>
          <w:spacing w:val="-4"/>
          <w:sz w:val="28"/>
          <w:szCs w:val="28"/>
          <w:shd w:fill="FFFFFF" w:val="clear"/>
          <w:lang w:val="vi-VN"/>
        </w:rPr>
        <w:t xml:space="preserve"> có 100% số xã đạt chuẩn NTM. </w:t>
      </w:r>
      <w:r>
        <w:rPr>
          <w:spacing w:val="-4"/>
          <w:sz w:val="28"/>
          <w:szCs w:val="28"/>
          <w:lang w:val="de-DE"/>
        </w:rPr>
        <w:t xml:space="preserve">Cả nước đã có </w:t>
      </w:r>
      <w:r>
        <w:rPr>
          <w:b/>
          <w:spacing w:val="-4"/>
          <w:sz w:val="28"/>
          <w:szCs w:val="28"/>
          <w:lang w:val="de-DE"/>
        </w:rPr>
        <w:t>8.689</w:t>
      </w:r>
      <w:r>
        <w:rPr>
          <w:spacing w:val="-4"/>
          <w:sz w:val="28"/>
          <w:szCs w:val="28"/>
          <w:lang w:val="de-DE"/>
        </w:rPr>
        <w:t xml:space="preserve"> sản phẩm OCOP đạt 3 sao trở lên, trong đó 65,5% sản phẩm 3 sao, 33,3% sản phẩm 4 sao, 1% sản phẩm tiềm năng 5 sao và 20 sản phẩm 5 sao; với hơn </w:t>
      </w:r>
      <w:r>
        <w:rPr>
          <w:b/>
          <w:spacing w:val="-4"/>
          <w:sz w:val="28"/>
          <w:szCs w:val="28"/>
          <w:lang w:val="de-DE"/>
        </w:rPr>
        <w:t xml:space="preserve">4.273 </w:t>
      </w:r>
      <w:r>
        <w:rPr>
          <w:spacing w:val="-4"/>
          <w:sz w:val="28"/>
          <w:szCs w:val="28"/>
          <w:lang w:val="de-DE"/>
        </w:rPr>
        <w:t>chủ thể tham gia</w:t>
      </w:r>
      <w:r>
        <w:rPr>
          <w:color w:val="000000"/>
          <w:spacing w:val="-4"/>
          <w:sz w:val="28"/>
          <w:szCs w:val="28"/>
          <w:lang w:val="vi-VN" w:eastAsia="ja-JP"/>
        </w:rPr>
        <w:t>.</w:t>
      </w:r>
      <w:r>
        <w:rPr>
          <w:i/>
          <w:color w:val="000000"/>
          <w:spacing w:val="-4"/>
          <w:sz w:val="28"/>
          <w:szCs w:val="28"/>
          <w:lang w:val="de-DE"/>
        </w:rPr>
        <w:t xml:space="preserve"> </w:t>
      </w:r>
    </w:p>
    <w:p>
      <w:pPr>
        <w:pStyle w:val="Normal"/>
        <w:widowControl w:val="false"/>
        <w:spacing w:before="100" w:after="0"/>
        <w:ind w:firstLine="720"/>
        <w:jc w:val="both"/>
        <w:rPr>
          <w:bCs/>
          <w:sz w:val="28"/>
          <w:szCs w:val="28"/>
          <w:lang w:val="de-DE" w:eastAsia="ja-JP"/>
        </w:rPr>
      </w:pPr>
      <w:r>
        <w:rPr>
          <w:bCs/>
          <w:sz w:val="28"/>
          <w:szCs w:val="28"/>
          <w:lang w:val="de-DE" w:eastAsia="ja-JP"/>
        </w:rPr>
        <w:t xml:space="preserve">Bộ ban hành 02 Quyết định triển khai Chương trình KHCN phục vụ xây dựng NTM và thành lập HĐ thẩm định TW công nhận huyện đạt chuẩn NTM... </w:t>
      </w:r>
      <w:r>
        <w:rPr>
          <w:bCs/>
          <w:sz w:val="28"/>
          <w:szCs w:val="28"/>
          <w:lang w:val="vi-VN" w:eastAsia="ja-JP"/>
        </w:rPr>
        <w:t xml:space="preserve">Tiếp tục hoàn thiện </w:t>
      </w:r>
      <w:r>
        <w:rPr>
          <w:iCs/>
          <w:sz w:val="28"/>
          <w:szCs w:val="28"/>
          <w:lang w:val="de-DE"/>
        </w:rPr>
        <w:t>d</w:t>
      </w:r>
      <w:r>
        <w:rPr>
          <w:iCs/>
          <w:sz w:val="28"/>
          <w:szCs w:val="28"/>
          <w:lang w:val="vi-VN"/>
        </w:rPr>
        <w:t xml:space="preserve">ự thảo </w:t>
      </w:r>
      <w:r>
        <w:rPr>
          <w:iCs/>
          <w:spacing w:val="-4"/>
          <w:sz w:val="28"/>
          <w:szCs w:val="28"/>
          <w:lang w:val="vi-VN"/>
        </w:rPr>
        <w:t xml:space="preserve">Quyết định của </w:t>
      </w:r>
      <w:r>
        <w:rPr>
          <w:iCs/>
          <w:spacing w:val="-4"/>
          <w:sz w:val="28"/>
          <w:szCs w:val="28"/>
          <w:lang w:val="de-DE"/>
        </w:rPr>
        <w:t>TTCP</w:t>
      </w:r>
      <w:r>
        <w:rPr>
          <w:iCs/>
          <w:spacing w:val="-4"/>
          <w:sz w:val="28"/>
          <w:szCs w:val="28"/>
          <w:lang w:val="vi-VN"/>
        </w:rPr>
        <w:t xml:space="preserve"> ban hành Bộ tiêu chí đánh giá, phân hạng sản phẩm Chương trình OCOP giai đoạn 2021-2025; </w:t>
      </w:r>
      <w:r>
        <w:rPr>
          <w:bCs/>
          <w:sz w:val="28"/>
          <w:szCs w:val="28"/>
          <w:lang w:val="vi-VN"/>
        </w:rPr>
        <w:t xml:space="preserve">Dự thảo </w:t>
      </w:r>
      <w:r>
        <w:rPr>
          <w:sz w:val="28"/>
          <w:szCs w:val="28"/>
          <w:lang w:val="vi-VN"/>
        </w:rPr>
        <w:t>Nghị quyết của Ban Cán sự đảng Bộ về tập trung lãnh đạo, chỉ đạo thực hiện Chương trình MTQG xây dựng NTM gắn với CCL nông nghiệp giai đoạn 2021-2025</w:t>
      </w:r>
      <w:r>
        <w:rPr>
          <w:bCs/>
          <w:sz w:val="28"/>
          <w:szCs w:val="28"/>
          <w:lang w:val="vi-VN"/>
        </w:rPr>
        <w:t xml:space="preserve">. </w:t>
      </w:r>
    </w:p>
    <w:p>
      <w:pPr>
        <w:pStyle w:val="Normal"/>
        <w:widowControl w:val="false"/>
        <w:spacing w:before="100" w:after="0"/>
        <w:ind w:firstLine="720"/>
        <w:jc w:val="both"/>
        <w:rPr>
          <w:bCs/>
          <w:sz w:val="28"/>
          <w:szCs w:val="28"/>
          <w:lang w:val="vi-VN"/>
        </w:rPr>
      </w:pPr>
      <w:r>
        <w:rPr>
          <w:bCs/>
          <w:sz w:val="28"/>
          <w:szCs w:val="28"/>
          <w:lang w:val="vi-VN"/>
        </w:rPr>
        <w:t>b) Đổi mới, tổ chức lại sản xuất; phát triển kinh tế nông thôn</w:t>
      </w:r>
    </w:p>
    <w:p>
      <w:pPr>
        <w:pStyle w:val="Normal"/>
        <w:widowControl w:val="false"/>
        <w:autoSpaceDE w:val="false"/>
        <w:spacing w:before="100" w:after="0"/>
        <w:ind w:firstLine="707"/>
        <w:jc w:val="both"/>
        <w:rPr>
          <w:b/>
          <w:b/>
          <w:sz w:val="28"/>
          <w:szCs w:val="28"/>
          <w:lang w:val="vi-VN"/>
        </w:rPr>
      </w:pPr>
      <w:r>
        <w:rPr>
          <w:bCs/>
          <w:sz w:val="28"/>
          <w:szCs w:val="28"/>
          <w:lang w:val="vi-VN"/>
        </w:rPr>
        <w:t>C</w:t>
      </w:r>
      <w:r>
        <w:rPr>
          <w:sz w:val="28"/>
          <w:szCs w:val="28"/>
          <w:lang w:val="vi-VN"/>
        </w:rPr>
        <w:t xml:space="preserve">ả nước có 19.175 HTX nông nghiệp (tăng 795 HTX so CKNT), trong đó có trên 60% xếp loại khá, tốt trở lên. Tổ chức triển khai Đề án thí điểm xây dựng vùng nguyên liệu nông lâm sản đạt chuẩn phục vụ tiêu thụ trong nước và xuất khẩu giai đoạn 2022-2025; </w:t>
      </w:r>
      <w:r>
        <w:rPr>
          <w:iCs/>
          <w:sz w:val="28"/>
          <w:szCs w:val="28"/>
          <w:lang w:val="vi-VN"/>
        </w:rPr>
        <w:t xml:space="preserve">Đề án nâng cao năng lực thích ứng với Biến đổi khí hậu cho HTX nông nghiệp vùng ĐBSCL giai đoạn 2021-2025; </w:t>
      </w:r>
      <w:r>
        <w:rPr>
          <w:bCs/>
          <w:iCs/>
          <w:sz w:val="28"/>
          <w:szCs w:val="28"/>
          <w:lang w:val="vi-VN"/>
        </w:rPr>
        <w:t xml:space="preserve">tiếp tục hoàn thiện hồ sơ Nghị quyết của Chính phủ về phát triển HTX nông nghiệp phục vụ cơ cấu lại ngành nông nghiệp và xây dựng nông thôn mới. </w:t>
      </w:r>
      <w:r>
        <w:rPr>
          <w:sz w:val="28"/>
          <w:szCs w:val="28"/>
          <w:lang w:val="vi-VN"/>
        </w:rPr>
        <w:t>Xây dựng Kế hoạch của Bộ triển khai thực hiện Nghị Quyết số 20-NQ/TW của BCH Trung ương Đảng về đổi mới phát triển kinh tế tập thể giai đoạn mới; hoàn thiện dự thảo Quyết định “Chiến lược phát triển ngành nghề nông thôn đến năm 2030, tầm nhìn đến năm 2045”. Tổ chức thành công Hội thi sản phẩm thủ công mỹ nghệ Việt Nam.</w:t>
      </w:r>
    </w:p>
    <w:p>
      <w:pPr>
        <w:pStyle w:val="Normal"/>
        <w:widowControl w:val="false"/>
        <w:autoSpaceDE w:val="false"/>
        <w:spacing w:before="100" w:after="0"/>
        <w:ind w:firstLine="707"/>
        <w:jc w:val="both"/>
        <w:rPr>
          <w:b/>
          <w:b/>
          <w:sz w:val="28"/>
          <w:szCs w:val="28"/>
          <w:lang w:val="vi-VN"/>
        </w:rPr>
      </w:pPr>
      <w:r>
        <w:rPr>
          <w:b/>
          <w:sz w:val="28"/>
          <w:szCs w:val="28"/>
          <w:lang w:val="vi-VN"/>
        </w:rPr>
        <w:t>5. Công tác thủy lợi, phòng chống thiên tai</w:t>
      </w:r>
    </w:p>
    <w:p>
      <w:pPr>
        <w:pStyle w:val="Normal"/>
        <w:widowControl w:val="false"/>
        <w:spacing w:before="100" w:after="0"/>
        <w:ind w:firstLine="707"/>
        <w:jc w:val="both"/>
        <w:rPr/>
      </w:pPr>
      <w:r>
        <w:rPr>
          <w:bCs/>
          <w:sz w:val="28"/>
          <w:szCs w:val="28"/>
          <w:lang w:val="it-IT"/>
        </w:rPr>
        <w:t xml:space="preserve">Trong tháng 11, </w:t>
      </w:r>
      <w:r>
        <w:rPr>
          <w:sz w:val="28"/>
          <w:szCs w:val="28"/>
          <w:lang w:val="vi-VN"/>
        </w:rPr>
        <w:t xml:space="preserve">tổ chức trực ban, theo dõi chặt chẽ diễn biến thời tiết, tình hình thiên tai; </w:t>
      </w:r>
      <w:r>
        <w:rPr>
          <w:color w:val="000000"/>
          <w:spacing w:val="-4"/>
          <w:sz w:val="28"/>
          <w:szCs w:val="28"/>
          <w:lang w:val="de-DE"/>
        </w:rPr>
        <w:t>chỉ đạo ứng phó với gió mạnh trên biển và vùng áp thấp có khả năng hình thành trên biển Đông</w:t>
      </w:r>
      <w:r>
        <w:rPr>
          <w:sz w:val="28"/>
          <w:szCs w:val="28"/>
          <w:lang w:val="vi-VN"/>
        </w:rPr>
        <w:t xml:space="preserve">. Theo dõi nguồn nước </w:t>
      </w:r>
      <w:r>
        <w:rPr>
          <w:spacing w:val="-6"/>
          <w:sz w:val="28"/>
          <w:szCs w:val="28"/>
          <w:lang w:val="vi-VN"/>
        </w:rPr>
        <w:t>hỗ trợ các địa phương thực hiện các giải pháp phòng, chống hạn hán, xâm nhập mặn, ngập lụt, úng, bảo đảm an toàn công trình thủy lợi và cấp nước cho sản xuất</w:t>
      </w:r>
      <w:r>
        <w:rPr>
          <w:sz w:val="28"/>
          <w:szCs w:val="28"/>
          <w:lang w:val="vi-VN"/>
        </w:rPr>
        <w:t>.</w:t>
      </w:r>
    </w:p>
    <w:p>
      <w:pPr>
        <w:pStyle w:val="Normal"/>
        <w:widowControl w:val="false"/>
        <w:shd w:fill="FFFFFF" w:val="clear"/>
        <w:spacing w:before="100" w:after="0"/>
        <w:ind w:firstLine="707"/>
        <w:jc w:val="both"/>
        <w:rPr>
          <w:sz w:val="28"/>
          <w:szCs w:val="28"/>
          <w:lang w:val="vi-VN"/>
        </w:rPr>
      </w:pPr>
      <w:r>
        <w:rPr>
          <w:bCs/>
          <w:iCs/>
          <w:sz w:val="28"/>
          <w:szCs w:val="28"/>
          <w:lang w:val="vi-VN"/>
        </w:rPr>
        <w:t>Hoàn thành hồ sơ Quy hoạch P</w:t>
      </w:r>
      <w:r>
        <w:rPr>
          <w:bCs/>
          <w:sz w:val="28"/>
          <w:szCs w:val="28"/>
          <w:lang w:val="vi-VN"/>
        </w:rPr>
        <w:t>hòng, chống thiên tai và thủy lợi giai đoạn 2021-2030, tầm nhìn 2050</w:t>
      </w:r>
      <w:r>
        <w:rPr>
          <w:bCs/>
          <w:i/>
          <w:sz w:val="28"/>
          <w:szCs w:val="28"/>
          <w:lang w:val="vi-VN"/>
        </w:rPr>
        <w:t xml:space="preserve"> </w:t>
      </w:r>
      <w:r>
        <w:rPr>
          <w:bCs/>
          <w:iCs/>
          <w:sz w:val="28"/>
          <w:szCs w:val="28"/>
          <w:lang w:val="vi-VN"/>
        </w:rPr>
        <w:t>theo ý kiến của Hội đồng thẩm định (</w:t>
      </w:r>
      <w:r>
        <w:rPr>
          <w:bCs/>
          <w:iCs/>
          <w:sz w:val="28"/>
          <w:szCs w:val="28"/>
          <w:lang w:val="vi-VN"/>
        </w:rPr>
        <w:t>đ</w:t>
      </w:r>
      <w:r>
        <w:rPr>
          <w:bCs/>
          <w:iCs/>
          <w:sz w:val="28"/>
          <w:szCs w:val="28"/>
          <w:lang w:val="vi-VN"/>
        </w:rPr>
        <w:t xml:space="preserve">ang chờ lịch họp của Chủ tịch Hội </w:t>
      </w:r>
      <w:r>
        <w:rPr>
          <w:bCs/>
          <w:iCs/>
          <w:sz w:val="28"/>
          <w:szCs w:val="28"/>
          <w:lang w:val="vi-VN"/>
        </w:rPr>
        <w:t>đ</w:t>
      </w:r>
      <w:r>
        <w:rPr>
          <w:bCs/>
          <w:iCs/>
          <w:sz w:val="28"/>
          <w:szCs w:val="28"/>
          <w:lang w:val="vi-VN"/>
        </w:rPr>
        <w:t xml:space="preserve">ồng thẩm </w:t>
      </w:r>
      <w:r>
        <w:rPr>
          <w:bCs/>
          <w:iCs/>
          <w:sz w:val="28"/>
          <w:szCs w:val="28"/>
          <w:lang w:val="vi-VN"/>
        </w:rPr>
        <w:t>đ</w:t>
      </w:r>
      <w:r>
        <w:rPr>
          <w:bCs/>
          <w:iCs/>
          <w:sz w:val="28"/>
          <w:szCs w:val="28"/>
          <w:lang w:val="vi-VN"/>
        </w:rPr>
        <w:t xml:space="preserve">ịnh). </w:t>
      </w:r>
      <w:r>
        <w:rPr>
          <w:spacing w:val="-4"/>
          <w:sz w:val="28"/>
          <w:szCs w:val="28"/>
          <w:lang w:val="vi-VN"/>
        </w:rPr>
        <w:t>Hoàn thiện và trình TTCP phê duyệt Chương trình Tổng thể phòng, chống thiên tai quốc gia</w:t>
      </w:r>
      <w:r>
        <w:rPr>
          <w:sz w:val="28"/>
          <w:szCs w:val="28"/>
          <w:lang w:val="vi-VN"/>
        </w:rPr>
        <w:t xml:space="preserve">; </w:t>
      </w:r>
      <w:r>
        <w:rPr>
          <w:bCs/>
          <w:sz w:val="28"/>
          <w:szCs w:val="28"/>
          <w:lang w:val="vi-VN"/>
        </w:rPr>
        <w:t>dự thảo Tờ trình và Quyết định của TTCP điều chỉnh bổ sung một số điều của Quyết định số 257/QĐ-TTg</w:t>
      </w:r>
      <w:r>
        <w:rPr>
          <w:sz w:val="28"/>
          <w:szCs w:val="28"/>
          <w:lang w:val="vi-VN"/>
        </w:rPr>
        <w:t xml:space="preserve">; </w:t>
      </w:r>
      <w:r>
        <w:rPr>
          <w:bCs/>
          <w:spacing w:val="-6"/>
          <w:sz w:val="28"/>
          <w:szCs w:val="28"/>
          <w:lang w:val="de-DE"/>
        </w:rPr>
        <w:t>Tham mưu Ban Chỉ đạo quốc gia ban hành Quyết định</w:t>
      </w:r>
      <w:r>
        <w:rPr>
          <w:rStyle w:val="FootnoteCharacters"/>
          <w:rStyle w:val="FootnoteAnchor"/>
          <w:bCs/>
          <w:spacing w:val="-6"/>
          <w:sz w:val="28"/>
          <w:szCs w:val="28"/>
          <w:lang w:val="de-DE"/>
        </w:rPr>
        <w:footnoteReference w:id="11"/>
      </w:r>
      <w:r>
        <w:rPr>
          <w:bCs/>
          <w:spacing w:val="-6"/>
          <w:sz w:val="28"/>
          <w:szCs w:val="28"/>
          <w:lang w:val="de-DE"/>
        </w:rPr>
        <w:t xml:space="preserve"> điều chỉnh, bổ sung Bộ chỉ số đánh giá công tác phòng, chống thiên tai cấp tỉnh.</w:t>
      </w:r>
    </w:p>
    <w:p>
      <w:pPr>
        <w:pStyle w:val="Normal"/>
        <w:widowControl w:val="false"/>
        <w:shd w:fill="FFFFFF" w:val="clear"/>
        <w:tabs>
          <w:tab w:val="clear" w:pos="720"/>
          <w:tab w:val="left" w:pos="0" w:leader="none"/>
          <w:tab w:val="left" w:pos="993" w:leader="none"/>
        </w:tabs>
        <w:spacing w:before="100" w:after="0"/>
        <w:ind w:firstLine="709"/>
        <w:jc w:val="both"/>
        <w:rPr>
          <w:sz w:val="28"/>
          <w:szCs w:val="28"/>
          <w:lang w:val="vi-VN"/>
        </w:rPr>
      </w:pPr>
      <w:r>
        <w:rPr>
          <w:sz w:val="28"/>
          <w:szCs w:val="28"/>
          <w:lang w:val="de-DE"/>
        </w:rPr>
        <w:t xml:space="preserve">Tháng 11, thiên tai </w:t>
      </w:r>
      <w:r>
        <w:rPr>
          <w:spacing w:val="-6"/>
          <w:sz w:val="28"/>
          <w:szCs w:val="28"/>
          <w:lang w:val="vi-VN"/>
        </w:rPr>
        <w:t>làm 01 người chết, mất tích, 04 người bị thương, thiệt hại về kinh tế ước tính là 553 triệu đồng</w:t>
      </w:r>
      <w:r>
        <w:rPr>
          <w:rStyle w:val="FootnoteCharacters"/>
          <w:rStyle w:val="FootnoteAnchor"/>
          <w:spacing w:val="-6"/>
          <w:sz w:val="28"/>
          <w:szCs w:val="28"/>
        </w:rPr>
        <w:footnoteReference w:id="12"/>
      </w:r>
      <w:r>
        <w:rPr>
          <w:spacing w:val="-6"/>
          <w:sz w:val="28"/>
          <w:szCs w:val="28"/>
          <w:lang w:val="vi-VN"/>
        </w:rPr>
        <w:t>.</w:t>
      </w:r>
      <w:r>
        <w:rPr>
          <w:spacing w:val="-4"/>
          <w:sz w:val="28"/>
          <w:szCs w:val="28"/>
          <w:lang w:val="vi-VN"/>
        </w:rPr>
        <w:t xml:space="preserve"> </w:t>
      </w:r>
      <w:r>
        <w:rPr>
          <w:bCs/>
          <w:iCs/>
          <w:spacing w:val="-4"/>
          <w:sz w:val="28"/>
          <w:szCs w:val="28"/>
          <w:lang w:val="vi-VN"/>
        </w:rPr>
        <w:t>Luỹ kế đến ngày 28/11, c</w:t>
      </w:r>
      <w:r>
        <w:rPr>
          <w:spacing w:val="-4"/>
          <w:sz w:val="28"/>
          <w:szCs w:val="28"/>
          <w:lang w:val="vi-VN"/>
        </w:rPr>
        <w:t>ả nước đã xảy ra 21/22 loại hình thiên tai</w:t>
      </w:r>
      <w:r>
        <w:rPr>
          <w:rStyle w:val="FootnoteCharacters"/>
          <w:rStyle w:val="FootnoteAnchor"/>
          <w:spacing w:val="-4"/>
          <w:sz w:val="28"/>
          <w:szCs w:val="28"/>
        </w:rPr>
        <w:footnoteReference w:id="13"/>
      </w:r>
      <w:r>
        <w:rPr>
          <w:spacing w:val="-4"/>
          <w:sz w:val="28"/>
          <w:szCs w:val="28"/>
          <w:lang w:val="vi-VN"/>
        </w:rPr>
        <w:t xml:space="preserve"> làm 165 người chết, mất tích; 280 người bị thương; thiệt hại về kinh tế ước khoảng 18.969 tỷ đồng</w:t>
      </w:r>
      <w:r>
        <w:rPr>
          <w:rStyle w:val="FootnoteCharacters"/>
          <w:rStyle w:val="FootnoteAnchor"/>
          <w:spacing w:val="-4"/>
          <w:sz w:val="28"/>
          <w:szCs w:val="28"/>
        </w:rPr>
        <w:footnoteReference w:id="14"/>
      </w:r>
      <w:r>
        <w:rPr>
          <w:spacing w:val="-4"/>
          <w:sz w:val="28"/>
          <w:szCs w:val="28"/>
          <w:lang w:val="vi-VN"/>
        </w:rPr>
        <w:t>, gấp 3,6 lần so với CKNT.</w:t>
      </w:r>
    </w:p>
    <w:p>
      <w:pPr>
        <w:pStyle w:val="Normal"/>
        <w:widowControl w:val="false"/>
        <w:shd w:fill="FFFFFF" w:val="clear"/>
        <w:spacing w:before="100" w:after="0"/>
        <w:ind w:firstLine="707"/>
        <w:jc w:val="both"/>
        <w:rPr/>
      </w:pPr>
      <w:bookmarkStart w:id="13" w:name="_Hlk36194168"/>
      <w:bookmarkEnd w:id="13"/>
      <w:r>
        <w:rPr>
          <w:b/>
          <w:sz w:val="28"/>
          <w:szCs w:val="28"/>
          <w:lang w:val="vi-VN"/>
        </w:rPr>
        <w:t>6. Đầu tư xây dựng cơ bản</w:t>
      </w:r>
    </w:p>
    <w:p>
      <w:pPr>
        <w:pStyle w:val="Normal"/>
        <w:widowControl w:val="false"/>
        <w:shd w:fill="FFFFFF" w:val="clear"/>
        <w:spacing w:before="100" w:after="0"/>
        <w:ind w:firstLine="707"/>
        <w:jc w:val="both"/>
        <w:rPr>
          <w:sz w:val="28"/>
          <w:szCs w:val="28"/>
          <w:lang w:val="vi-VN"/>
        </w:rPr>
      </w:pPr>
      <w:r>
        <w:rPr>
          <w:rFonts w:eastAsia="MS Mincho;Yu Gothic UI"/>
          <w:sz w:val="28"/>
          <w:szCs w:val="28"/>
          <w:lang w:val="vi-VN" w:eastAsia="ja-JP"/>
        </w:rPr>
        <w:t xml:space="preserve">Rà soát, đôn đốc các CĐT khẩn trương </w:t>
      </w:r>
      <w:r>
        <w:rPr>
          <w:rFonts w:eastAsia="MS Mincho;Yu Gothic UI"/>
          <w:iCs/>
          <w:sz w:val="28"/>
          <w:szCs w:val="28"/>
          <w:lang w:val="vi-VN" w:eastAsia="ja-JP"/>
        </w:rPr>
        <w:t xml:space="preserve">tháo gỡ khó khăn, vương mắc đối với các dự án để </w:t>
      </w:r>
      <w:r>
        <w:rPr>
          <w:rFonts w:eastAsia="MS Mincho;Yu Gothic UI"/>
          <w:sz w:val="28"/>
          <w:szCs w:val="28"/>
          <w:lang w:val="vi-VN" w:eastAsia="ja-JP"/>
        </w:rPr>
        <w:t>đẩy nhanh tiến độ phê duyệt (đối với các dự án mở mới), thực hiện</w:t>
      </w:r>
      <w:r>
        <w:rPr>
          <w:rFonts w:eastAsia="MS Mincho;Yu Gothic UI"/>
          <w:iCs/>
          <w:sz w:val="28"/>
          <w:szCs w:val="28"/>
          <w:lang w:val="vi-VN" w:eastAsia="ja-JP"/>
        </w:rPr>
        <w:t xml:space="preserve"> và giải ngân. </w:t>
      </w:r>
      <w:r>
        <w:rPr>
          <w:sz w:val="28"/>
          <w:szCs w:val="28"/>
          <w:lang w:val="vi-VN"/>
        </w:rPr>
        <w:t xml:space="preserve">Mười một tháng, khối lượng giải ngân khoảng </w:t>
      </w:r>
      <w:r>
        <w:rPr>
          <w:sz w:val="28"/>
          <w:szCs w:val="28"/>
          <w:lang w:val="af-ZA"/>
        </w:rPr>
        <w:t>3.264 tỷ đồng, đạt 50,7% vốn đã giao</w:t>
      </w:r>
      <w:r>
        <w:rPr>
          <w:sz w:val="28"/>
          <w:szCs w:val="28"/>
          <w:lang w:val="vi-VN"/>
        </w:rPr>
        <w:t>, cụ thể:</w:t>
      </w:r>
    </w:p>
    <w:p>
      <w:pPr>
        <w:pStyle w:val="Normal"/>
        <w:widowControl w:val="false"/>
        <w:shd w:fill="FFFFFF" w:val="clear"/>
        <w:spacing w:before="0" w:after="120"/>
        <w:ind w:left="5760" w:right="113" w:firstLine="720"/>
        <w:textAlignment w:val="baseline"/>
        <w:rPr>
          <w:i/>
          <w:i/>
          <w:sz w:val="28"/>
          <w:szCs w:val="28"/>
          <w:lang w:val="af-ZA"/>
        </w:rPr>
      </w:pPr>
      <w:r>
        <w:rPr>
          <w:i/>
          <w:sz w:val="28"/>
          <w:szCs w:val="28"/>
          <w:lang w:val="af-ZA"/>
        </w:rPr>
        <w:t>Đơn vị: Tỷ đồng</w:t>
      </w:r>
    </w:p>
    <w:tbl>
      <w:tblPr>
        <w:tblW w:w="8485" w:type="dxa"/>
        <w:jc w:val="center"/>
        <w:tblInd w:w="0" w:type="dxa"/>
        <w:tblLayout w:type="fixed"/>
        <w:tblCellMar>
          <w:top w:w="0" w:type="dxa"/>
          <w:left w:w="108" w:type="dxa"/>
          <w:bottom w:w="0" w:type="dxa"/>
          <w:right w:w="108" w:type="dxa"/>
        </w:tblCellMar>
      </w:tblPr>
      <w:tblGrid>
        <w:gridCol w:w="625"/>
        <w:gridCol w:w="3056"/>
        <w:gridCol w:w="1133"/>
        <w:gridCol w:w="1871"/>
        <w:gridCol w:w="1800"/>
      </w:tblGrid>
      <w:tr>
        <w:trPr>
          <w:tblHeader w:val="true"/>
          <w:trHeight w:val="467" w:hRule="atLeast"/>
        </w:trPr>
        <w:tc>
          <w:tcPr>
            <w:tcW w:w="62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b/>
                <w:b/>
                <w:bCs/>
                <w:sz w:val="26"/>
                <w:szCs w:val="26"/>
              </w:rPr>
            </w:pPr>
            <w:r>
              <w:rPr>
                <w:b/>
                <w:bCs/>
                <w:sz w:val="26"/>
                <w:szCs w:val="26"/>
              </w:rPr>
              <w:t>TT</w:t>
            </w:r>
          </w:p>
        </w:tc>
        <w:tc>
          <w:tcPr>
            <w:tcW w:w="305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b/>
                <w:b/>
                <w:bCs/>
                <w:sz w:val="26"/>
                <w:szCs w:val="26"/>
              </w:rPr>
            </w:pPr>
            <w:r>
              <w:rPr>
                <w:b/>
                <w:bCs/>
                <w:sz w:val="26"/>
                <w:szCs w:val="26"/>
              </w:rPr>
              <w:t>Danh mục</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b/>
                <w:b/>
                <w:bCs/>
                <w:sz w:val="26"/>
                <w:szCs w:val="26"/>
              </w:rPr>
            </w:pPr>
            <w:r>
              <w:rPr>
                <w:b/>
                <w:bCs/>
                <w:sz w:val="26"/>
                <w:szCs w:val="26"/>
              </w:rPr>
              <w:t>KH 2022</w:t>
            </w:r>
          </w:p>
        </w:tc>
        <w:tc>
          <w:tcPr>
            <w:tcW w:w="3671" w:type="dxa"/>
            <w:gridSpan w:val="2"/>
            <w:tcBorders>
              <w:top w:val="single" w:sz="4" w:space="0" w:color="000000"/>
              <w:bottom w:val="single" w:sz="4" w:space="0" w:color="000000"/>
              <w:right w:val="single" w:sz="4" w:space="0" w:color="000000"/>
            </w:tcBorders>
            <w:vAlign w:val="center"/>
          </w:tcPr>
          <w:p>
            <w:pPr>
              <w:pStyle w:val="Normal"/>
              <w:spacing w:before="0" w:after="120"/>
              <w:jc w:val="center"/>
              <w:rPr>
                <w:b/>
                <w:b/>
                <w:bCs/>
                <w:sz w:val="26"/>
                <w:szCs w:val="26"/>
              </w:rPr>
            </w:pPr>
            <w:r>
              <w:rPr>
                <w:b/>
                <w:bCs/>
                <w:sz w:val="26"/>
                <w:szCs w:val="26"/>
              </w:rPr>
              <w:t>Ước giải ngân đến 30/11/2022</w:t>
            </w:r>
          </w:p>
        </w:tc>
      </w:tr>
      <w:tr>
        <w:trPr>
          <w:tblHeader w:val="true"/>
          <w:trHeight w:val="462" w:hRule="atLeast"/>
        </w:trPr>
        <w:tc>
          <w:tcPr>
            <w:tcW w:w="62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20"/>
              <w:rPr>
                <w:b/>
                <w:b/>
                <w:bCs/>
                <w:sz w:val="26"/>
                <w:szCs w:val="26"/>
              </w:rPr>
            </w:pPr>
            <w:r>
              <w:rPr>
                <w:b/>
                <w:bCs/>
                <w:sz w:val="26"/>
                <w:szCs w:val="26"/>
              </w:rPr>
            </w:r>
          </w:p>
        </w:tc>
        <w:tc>
          <w:tcPr>
            <w:tcW w:w="305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20"/>
              <w:rPr>
                <w:b/>
                <w:b/>
                <w:bCs/>
                <w:sz w:val="26"/>
                <w:szCs w:val="26"/>
              </w:rPr>
            </w:pPr>
            <w:r>
              <w:rPr>
                <w:b/>
                <w:bCs/>
                <w:sz w:val="26"/>
                <w:szCs w:val="26"/>
              </w:rPr>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20"/>
              <w:rPr>
                <w:b/>
                <w:b/>
                <w:bCs/>
                <w:sz w:val="26"/>
                <w:szCs w:val="26"/>
              </w:rPr>
            </w:pPr>
            <w:r>
              <w:rPr>
                <w:b/>
                <w:bCs/>
                <w:sz w:val="26"/>
                <w:szCs w:val="26"/>
              </w:rPr>
            </w:r>
          </w:p>
        </w:tc>
        <w:tc>
          <w:tcPr>
            <w:tcW w:w="1871" w:type="dxa"/>
            <w:tcBorders>
              <w:bottom w:val="single" w:sz="4" w:space="0" w:color="000000"/>
              <w:right w:val="single" w:sz="4" w:space="0" w:color="000000"/>
            </w:tcBorders>
            <w:vAlign w:val="center"/>
          </w:tcPr>
          <w:p>
            <w:pPr>
              <w:pStyle w:val="Normal"/>
              <w:spacing w:before="0" w:after="120"/>
              <w:jc w:val="center"/>
              <w:rPr>
                <w:b/>
                <w:b/>
                <w:bCs/>
                <w:i/>
                <w:i/>
                <w:iCs/>
                <w:sz w:val="26"/>
                <w:szCs w:val="26"/>
              </w:rPr>
            </w:pPr>
            <w:r>
              <w:rPr>
                <w:b/>
                <w:bCs/>
                <w:i/>
                <w:iCs/>
                <w:sz w:val="26"/>
                <w:szCs w:val="26"/>
              </w:rPr>
              <w:t>Giá trị</w:t>
            </w:r>
          </w:p>
        </w:tc>
        <w:tc>
          <w:tcPr>
            <w:tcW w:w="1800" w:type="dxa"/>
            <w:tcBorders>
              <w:bottom w:val="single" w:sz="4" w:space="0" w:color="000000"/>
              <w:right w:val="single" w:sz="4" w:space="0" w:color="000000"/>
            </w:tcBorders>
            <w:vAlign w:val="center"/>
          </w:tcPr>
          <w:p>
            <w:pPr>
              <w:pStyle w:val="Normal"/>
              <w:spacing w:before="0" w:after="120"/>
              <w:jc w:val="center"/>
              <w:rPr>
                <w:b/>
                <w:b/>
                <w:bCs/>
                <w:i/>
                <w:i/>
                <w:iCs/>
                <w:sz w:val="26"/>
                <w:szCs w:val="26"/>
              </w:rPr>
            </w:pPr>
            <w:r>
              <w:rPr>
                <w:b/>
                <w:bCs/>
                <w:i/>
                <w:iCs/>
                <w:sz w:val="26"/>
                <w:szCs w:val="26"/>
              </w:rPr>
              <w:t>Tỷ lệ</w:t>
            </w:r>
          </w:p>
        </w:tc>
      </w:tr>
      <w:tr>
        <w:trPr>
          <w:trHeight w:val="535" w:hRule="atLeast"/>
        </w:trPr>
        <w:tc>
          <w:tcPr>
            <w:tcW w:w="625" w:type="dxa"/>
            <w:tcBorders>
              <w:left w:val="single" w:sz="4" w:space="0" w:color="000000"/>
              <w:bottom w:val="dotted" w:sz="4" w:space="0" w:color="000000"/>
              <w:right w:val="single" w:sz="4" w:space="0" w:color="000000"/>
            </w:tcBorders>
            <w:vAlign w:val="center"/>
          </w:tcPr>
          <w:p>
            <w:pPr>
              <w:pStyle w:val="Normal"/>
              <w:spacing w:before="0" w:after="120"/>
              <w:jc w:val="center"/>
              <w:rPr>
                <w:b/>
                <w:b/>
                <w:bCs/>
                <w:sz w:val="26"/>
                <w:szCs w:val="26"/>
              </w:rPr>
            </w:pPr>
            <w:r>
              <w:rPr>
                <w:b/>
                <w:bCs/>
                <w:sz w:val="26"/>
                <w:szCs w:val="26"/>
              </w:rPr>
              <w:t>1</w:t>
            </w:r>
          </w:p>
        </w:tc>
        <w:tc>
          <w:tcPr>
            <w:tcW w:w="3056" w:type="dxa"/>
            <w:tcBorders>
              <w:bottom w:val="dotted" w:sz="4" w:space="0" w:color="000000"/>
              <w:right w:val="single" w:sz="4" w:space="0" w:color="000000"/>
            </w:tcBorders>
            <w:vAlign w:val="center"/>
          </w:tcPr>
          <w:p>
            <w:pPr>
              <w:pStyle w:val="Normal"/>
              <w:spacing w:before="0" w:after="120"/>
              <w:rPr>
                <w:b/>
                <w:b/>
                <w:bCs/>
                <w:sz w:val="26"/>
                <w:szCs w:val="26"/>
              </w:rPr>
            </w:pPr>
            <w:r>
              <w:rPr>
                <w:b/>
                <w:bCs/>
                <w:sz w:val="26"/>
                <w:szCs w:val="26"/>
              </w:rPr>
              <w:t>Dự án vốn trong nước</w:t>
            </w:r>
          </w:p>
        </w:tc>
        <w:tc>
          <w:tcPr>
            <w:tcW w:w="1133" w:type="dxa"/>
            <w:tcBorders>
              <w:bottom w:val="dotted" w:sz="4" w:space="0" w:color="000000"/>
              <w:right w:val="single" w:sz="4" w:space="0" w:color="000000"/>
            </w:tcBorders>
            <w:vAlign w:val="center"/>
          </w:tcPr>
          <w:p>
            <w:pPr>
              <w:pStyle w:val="Normal"/>
              <w:spacing w:before="0" w:after="120"/>
              <w:jc w:val="right"/>
              <w:rPr>
                <w:rFonts w:eastAsia="Calibri"/>
                <w:b/>
                <w:b/>
                <w:bCs/>
                <w:sz w:val="26"/>
                <w:szCs w:val="26"/>
              </w:rPr>
            </w:pPr>
            <w:r>
              <w:rPr>
                <w:rFonts w:eastAsia="Calibri"/>
                <w:b/>
                <w:bCs/>
                <w:sz w:val="26"/>
                <w:szCs w:val="26"/>
              </w:rPr>
              <w:t>4.272</w:t>
            </w:r>
          </w:p>
        </w:tc>
        <w:tc>
          <w:tcPr>
            <w:tcW w:w="1871" w:type="dxa"/>
            <w:tcBorders>
              <w:bottom w:val="dotted" w:sz="4" w:space="0" w:color="000000"/>
              <w:right w:val="single" w:sz="4" w:space="0" w:color="000000"/>
            </w:tcBorders>
            <w:vAlign w:val="center"/>
          </w:tcPr>
          <w:p>
            <w:pPr>
              <w:pStyle w:val="Normal"/>
              <w:spacing w:before="0" w:after="120"/>
              <w:ind w:firstLine="567"/>
              <w:jc w:val="right"/>
              <w:rPr>
                <w:rFonts w:eastAsia="Calibri"/>
                <w:b/>
                <w:b/>
                <w:bCs/>
                <w:sz w:val="26"/>
                <w:szCs w:val="26"/>
              </w:rPr>
            </w:pPr>
            <w:r>
              <w:rPr>
                <w:rFonts w:eastAsia="Calibri"/>
                <w:b/>
                <w:bCs/>
                <w:sz w:val="26"/>
                <w:szCs w:val="26"/>
              </w:rPr>
              <w:t>2.010</w:t>
            </w:r>
          </w:p>
        </w:tc>
        <w:tc>
          <w:tcPr>
            <w:tcW w:w="1800" w:type="dxa"/>
            <w:tcBorders>
              <w:bottom w:val="dotted" w:sz="4" w:space="0" w:color="000000"/>
              <w:right w:val="single" w:sz="4" w:space="0" w:color="000000"/>
            </w:tcBorders>
            <w:vAlign w:val="center"/>
          </w:tcPr>
          <w:p>
            <w:pPr>
              <w:pStyle w:val="Normal"/>
              <w:spacing w:before="0" w:after="120"/>
              <w:ind w:firstLine="567"/>
              <w:jc w:val="center"/>
              <w:rPr>
                <w:rFonts w:eastAsia="Calibri"/>
                <w:b/>
                <w:b/>
                <w:bCs/>
                <w:sz w:val="26"/>
                <w:szCs w:val="26"/>
              </w:rPr>
            </w:pPr>
            <w:r>
              <w:rPr>
                <w:rFonts w:eastAsia="Calibri"/>
                <w:b/>
                <w:bCs/>
                <w:sz w:val="26"/>
                <w:szCs w:val="26"/>
              </w:rPr>
              <w:t>47,05%</w:t>
            </w:r>
          </w:p>
        </w:tc>
      </w:tr>
      <w:tr>
        <w:trPr>
          <w:trHeight w:val="433" w:hRule="atLeast"/>
        </w:trPr>
        <w:tc>
          <w:tcPr>
            <w:tcW w:w="625" w:type="dxa"/>
            <w:tcBorders>
              <w:top w:val="dotted" w:sz="4" w:space="0" w:color="000000"/>
              <w:left w:val="single" w:sz="4" w:space="0" w:color="000000"/>
              <w:bottom w:val="dotted" w:sz="4" w:space="0" w:color="000000"/>
              <w:right w:val="single" w:sz="4" w:space="0" w:color="000000"/>
            </w:tcBorders>
            <w:vAlign w:val="center"/>
          </w:tcPr>
          <w:p>
            <w:pPr>
              <w:pStyle w:val="Normal"/>
              <w:spacing w:before="0" w:after="120"/>
              <w:jc w:val="center"/>
              <w:rPr>
                <w:sz w:val="26"/>
                <w:szCs w:val="26"/>
              </w:rPr>
            </w:pPr>
            <w:r>
              <w:rPr>
                <w:sz w:val="26"/>
                <w:szCs w:val="26"/>
              </w:rPr>
              <w:t>a</w:t>
            </w:r>
          </w:p>
        </w:tc>
        <w:tc>
          <w:tcPr>
            <w:tcW w:w="3056" w:type="dxa"/>
            <w:tcBorders>
              <w:top w:val="dotted" w:sz="4" w:space="0" w:color="000000"/>
              <w:bottom w:val="dotted" w:sz="4" w:space="0" w:color="000000"/>
              <w:right w:val="single" w:sz="4" w:space="0" w:color="000000"/>
            </w:tcBorders>
            <w:vAlign w:val="center"/>
          </w:tcPr>
          <w:p>
            <w:pPr>
              <w:pStyle w:val="Normal"/>
              <w:spacing w:before="0" w:after="120"/>
              <w:rPr>
                <w:i/>
                <w:i/>
                <w:iCs/>
                <w:sz w:val="26"/>
                <w:szCs w:val="26"/>
              </w:rPr>
            </w:pPr>
            <w:r>
              <w:rPr>
                <w:i/>
                <w:iCs/>
                <w:sz w:val="26"/>
                <w:szCs w:val="26"/>
              </w:rPr>
              <w:t>Dự án thủy lợi, đê kè</w:t>
            </w:r>
          </w:p>
        </w:tc>
        <w:tc>
          <w:tcPr>
            <w:tcW w:w="1133" w:type="dxa"/>
            <w:tcBorders>
              <w:top w:val="dotted" w:sz="4" w:space="0" w:color="000000"/>
              <w:bottom w:val="dotted" w:sz="4" w:space="0" w:color="000000"/>
              <w:right w:val="single" w:sz="4" w:space="0" w:color="000000"/>
            </w:tcBorders>
            <w:vAlign w:val="center"/>
          </w:tcPr>
          <w:p>
            <w:pPr>
              <w:pStyle w:val="Normal"/>
              <w:spacing w:before="0" w:after="120"/>
              <w:jc w:val="right"/>
              <w:rPr>
                <w:rFonts w:eastAsia="Calibri"/>
                <w:i/>
                <w:i/>
                <w:iCs/>
                <w:sz w:val="26"/>
                <w:szCs w:val="26"/>
              </w:rPr>
            </w:pPr>
            <w:r>
              <w:rPr>
                <w:rFonts w:eastAsia="Calibri"/>
                <w:i/>
                <w:iCs/>
                <w:sz w:val="26"/>
                <w:szCs w:val="26"/>
              </w:rPr>
              <w:t>3.822</w:t>
            </w:r>
          </w:p>
        </w:tc>
        <w:tc>
          <w:tcPr>
            <w:tcW w:w="1871" w:type="dxa"/>
            <w:tcBorders>
              <w:top w:val="dotted" w:sz="4" w:space="0" w:color="000000"/>
              <w:bottom w:val="dotted" w:sz="4" w:space="0" w:color="000000"/>
              <w:right w:val="single" w:sz="4" w:space="0" w:color="000000"/>
            </w:tcBorders>
            <w:vAlign w:val="center"/>
          </w:tcPr>
          <w:p>
            <w:pPr>
              <w:pStyle w:val="Normal"/>
              <w:spacing w:before="0" w:after="120"/>
              <w:ind w:firstLine="567"/>
              <w:jc w:val="right"/>
              <w:rPr>
                <w:rFonts w:eastAsia="Calibri"/>
                <w:i/>
                <w:i/>
                <w:iCs/>
                <w:sz w:val="26"/>
                <w:szCs w:val="26"/>
              </w:rPr>
            </w:pPr>
            <w:r>
              <w:rPr>
                <w:rFonts w:eastAsia="Calibri"/>
                <w:i/>
                <w:iCs/>
                <w:sz w:val="26"/>
                <w:szCs w:val="26"/>
              </w:rPr>
              <w:t>1.825</w:t>
            </w:r>
          </w:p>
        </w:tc>
        <w:tc>
          <w:tcPr>
            <w:tcW w:w="1800" w:type="dxa"/>
            <w:tcBorders>
              <w:top w:val="dotted" w:sz="4" w:space="0" w:color="000000"/>
              <w:bottom w:val="dotted" w:sz="4" w:space="0" w:color="000000"/>
              <w:right w:val="single" w:sz="4" w:space="0" w:color="000000"/>
            </w:tcBorders>
            <w:vAlign w:val="center"/>
          </w:tcPr>
          <w:p>
            <w:pPr>
              <w:pStyle w:val="Normal"/>
              <w:spacing w:before="0" w:after="120"/>
              <w:ind w:firstLine="567"/>
              <w:jc w:val="center"/>
              <w:rPr>
                <w:rFonts w:eastAsia="Calibri"/>
                <w:sz w:val="26"/>
                <w:szCs w:val="26"/>
              </w:rPr>
            </w:pPr>
            <w:r>
              <w:rPr>
                <w:rFonts w:eastAsia="Calibri"/>
                <w:sz w:val="26"/>
                <w:szCs w:val="26"/>
              </w:rPr>
              <w:t>47,75%</w:t>
            </w:r>
          </w:p>
        </w:tc>
      </w:tr>
      <w:tr>
        <w:trPr>
          <w:trHeight w:val="445" w:hRule="atLeast"/>
        </w:trPr>
        <w:tc>
          <w:tcPr>
            <w:tcW w:w="625" w:type="dxa"/>
            <w:tcBorders>
              <w:top w:val="dotted" w:sz="4" w:space="0" w:color="000000"/>
              <w:left w:val="single" w:sz="4" w:space="0" w:color="000000"/>
              <w:bottom w:val="dotted" w:sz="4" w:space="0" w:color="000000"/>
              <w:right w:val="single" w:sz="4" w:space="0" w:color="000000"/>
            </w:tcBorders>
            <w:vAlign w:val="center"/>
          </w:tcPr>
          <w:p>
            <w:pPr>
              <w:pStyle w:val="Normal"/>
              <w:spacing w:before="0" w:after="120"/>
              <w:jc w:val="center"/>
              <w:rPr>
                <w:sz w:val="26"/>
                <w:szCs w:val="26"/>
              </w:rPr>
            </w:pPr>
            <w:r>
              <w:rPr>
                <w:sz w:val="26"/>
                <w:szCs w:val="26"/>
              </w:rPr>
              <w:t>b</w:t>
            </w:r>
          </w:p>
        </w:tc>
        <w:tc>
          <w:tcPr>
            <w:tcW w:w="3056" w:type="dxa"/>
            <w:tcBorders>
              <w:top w:val="dotted" w:sz="4" w:space="0" w:color="000000"/>
              <w:bottom w:val="dotted" w:sz="4" w:space="0" w:color="000000"/>
              <w:right w:val="single" w:sz="4" w:space="0" w:color="000000"/>
            </w:tcBorders>
            <w:vAlign w:val="center"/>
          </w:tcPr>
          <w:p>
            <w:pPr>
              <w:pStyle w:val="Normal"/>
              <w:spacing w:before="0" w:after="120"/>
              <w:rPr>
                <w:i/>
                <w:i/>
                <w:iCs/>
                <w:sz w:val="26"/>
                <w:szCs w:val="26"/>
              </w:rPr>
            </w:pPr>
            <w:r>
              <w:rPr>
                <w:i/>
                <w:iCs/>
                <w:sz w:val="26"/>
                <w:szCs w:val="26"/>
              </w:rPr>
              <w:t>Dự án nông, lâm, thủy, viện trường</w:t>
            </w:r>
          </w:p>
        </w:tc>
        <w:tc>
          <w:tcPr>
            <w:tcW w:w="1133" w:type="dxa"/>
            <w:tcBorders>
              <w:top w:val="dotted" w:sz="4" w:space="0" w:color="000000"/>
              <w:bottom w:val="dotted" w:sz="4" w:space="0" w:color="000000"/>
              <w:right w:val="single" w:sz="4" w:space="0" w:color="000000"/>
            </w:tcBorders>
            <w:vAlign w:val="center"/>
          </w:tcPr>
          <w:p>
            <w:pPr>
              <w:pStyle w:val="Normal"/>
              <w:spacing w:before="0" w:after="120"/>
              <w:jc w:val="right"/>
              <w:rPr>
                <w:rFonts w:eastAsia="Calibri"/>
                <w:i/>
                <w:i/>
                <w:iCs/>
                <w:sz w:val="26"/>
                <w:szCs w:val="26"/>
              </w:rPr>
            </w:pPr>
            <w:r>
              <w:rPr>
                <w:rFonts w:eastAsia="Calibri"/>
                <w:i/>
                <w:iCs/>
                <w:sz w:val="26"/>
                <w:szCs w:val="26"/>
              </w:rPr>
              <w:t>450</w:t>
            </w:r>
          </w:p>
        </w:tc>
        <w:tc>
          <w:tcPr>
            <w:tcW w:w="1871" w:type="dxa"/>
            <w:tcBorders>
              <w:top w:val="dotted" w:sz="4" w:space="0" w:color="000000"/>
              <w:bottom w:val="dotted" w:sz="4" w:space="0" w:color="000000"/>
              <w:right w:val="single" w:sz="4" w:space="0" w:color="000000"/>
            </w:tcBorders>
            <w:vAlign w:val="center"/>
          </w:tcPr>
          <w:p>
            <w:pPr>
              <w:pStyle w:val="Normal"/>
              <w:spacing w:before="0" w:after="120"/>
              <w:ind w:firstLine="567"/>
              <w:jc w:val="right"/>
              <w:rPr>
                <w:rFonts w:eastAsia="Calibri"/>
                <w:i/>
                <w:i/>
                <w:iCs/>
                <w:sz w:val="26"/>
                <w:szCs w:val="26"/>
              </w:rPr>
            </w:pPr>
            <w:r>
              <w:rPr>
                <w:rFonts w:eastAsia="Calibri"/>
                <w:i/>
                <w:iCs/>
                <w:sz w:val="26"/>
                <w:szCs w:val="26"/>
              </w:rPr>
              <w:t>185</w:t>
            </w:r>
          </w:p>
        </w:tc>
        <w:tc>
          <w:tcPr>
            <w:tcW w:w="1800" w:type="dxa"/>
            <w:tcBorders>
              <w:top w:val="dotted" w:sz="4" w:space="0" w:color="000000"/>
              <w:bottom w:val="dotted" w:sz="4" w:space="0" w:color="000000"/>
              <w:right w:val="single" w:sz="4" w:space="0" w:color="000000"/>
            </w:tcBorders>
            <w:vAlign w:val="center"/>
          </w:tcPr>
          <w:p>
            <w:pPr>
              <w:pStyle w:val="Normal"/>
              <w:spacing w:before="0" w:after="120"/>
              <w:ind w:firstLine="567"/>
              <w:jc w:val="center"/>
              <w:rPr>
                <w:rFonts w:eastAsia="Calibri"/>
                <w:sz w:val="26"/>
                <w:szCs w:val="26"/>
              </w:rPr>
            </w:pPr>
            <w:r>
              <w:rPr>
                <w:rFonts w:eastAsia="Calibri"/>
                <w:sz w:val="26"/>
                <w:szCs w:val="26"/>
              </w:rPr>
              <w:t>41,11%</w:t>
            </w:r>
          </w:p>
        </w:tc>
      </w:tr>
      <w:tr>
        <w:trPr>
          <w:trHeight w:val="274" w:hRule="atLeast"/>
        </w:trPr>
        <w:tc>
          <w:tcPr>
            <w:tcW w:w="625" w:type="dxa"/>
            <w:tcBorders>
              <w:top w:val="dotted" w:sz="4" w:space="0" w:color="000000"/>
              <w:left w:val="single" w:sz="4" w:space="0" w:color="000000"/>
              <w:bottom w:val="dotted" w:sz="4" w:space="0" w:color="000000"/>
              <w:right w:val="single" w:sz="4" w:space="0" w:color="000000"/>
            </w:tcBorders>
            <w:vAlign w:val="center"/>
          </w:tcPr>
          <w:p>
            <w:pPr>
              <w:pStyle w:val="Normal"/>
              <w:spacing w:before="0" w:after="120"/>
              <w:jc w:val="center"/>
              <w:rPr>
                <w:b/>
                <w:b/>
                <w:bCs/>
                <w:sz w:val="26"/>
                <w:szCs w:val="26"/>
              </w:rPr>
            </w:pPr>
            <w:r>
              <w:rPr>
                <w:b/>
                <w:bCs/>
                <w:sz w:val="26"/>
                <w:szCs w:val="26"/>
              </w:rPr>
              <w:t>2</w:t>
            </w:r>
          </w:p>
        </w:tc>
        <w:tc>
          <w:tcPr>
            <w:tcW w:w="3056" w:type="dxa"/>
            <w:tcBorders>
              <w:top w:val="dotted" w:sz="4" w:space="0" w:color="000000"/>
              <w:bottom w:val="dotted" w:sz="4" w:space="0" w:color="000000"/>
              <w:right w:val="single" w:sz="4" w:space="0" w:color="000000"/>
            </w:tcBorders>
            <w:vAlign w:val="center"/>
          </w:tcPr>
          <w:p>
            <w:pPr>
              <w:pStyle w:val="Normal"/>
              <w:spacing w:before="0" w:after="120"/>
              <w:rPr>
                <w:b/>
                <w:b/>
                <w:bCs/>
                <w:sz w:val="26"/>
                <w:szCs w:val="26"/>
              </w:rPr>
            </w:pPr>
            <w:r>
              <w:rPr>
                <w:b/>
                <w:bCs/>
                <w:sz w:val="26"/>
                <w:szCs w:val="26"/>
              </w:rPr>
              <w:t>Dự án vốn vay ODA</w:t>
            </w:r>
          </w:p>
        </w:tc>
        <w:tc>
          <w:tcPr>
            <w:tcW w:w="1133" w:type="dxa"/>
            <w:tcBorders>
              <w:top w:val="dotted" w:sz="4" w:space="0" w:color="000000"/>
              <w:bottom w:val="dotted" w:sz="4" w:space="0" w:color="000000"/>
              <w:right w:val="single" w:sz="4" w:space="0" w:color="000000"/>
            </w:tcBorders>
            <w:vAlign w:val="center"/>
          </w:tcPr>
          <w:p>
            <w:pPr>
              <w:pStyle w:val="Normal"/>
              <w:spacing w:before="0" w:after="120"/>
              <w:jc w:val="right"/>
              <w:rPr>
                <w:rFonts w:eastAsia="Calibri"/>
                <w:b/>
                <w:b/>
                <w:bCs/>
                <w:sz w:val="26"/>
                <w:szCs w:val="26"/>
              </w:rPr>
            </w:pPr>
            <w:r>
              <w:rPr>
                <w:rFonts w:eastAsia="Calibri"/>
                <w:b/>
                <w:bCs/>
                <w:sz w:val="26"/>
                <w:szCs w:val="26"/>
              </w:rPr>
              <w:t>2.166</w:t>
            </w:r>
          </w:p>
        </w:tc>
        <w:tc>
          <w:tcPr>
            <w:tcW w:w="1871" w:type="dxa"/>
            <w:tcBorders>
              <w:top w:val="dotted" w:sz="4" w:space="0" w:color="000000"/>
              <w:bottom w:val="dotted" w:sz="4" w:space="0" w:color="000000"/>
              <w:right w:val="single" w:sz="4" w:space="0" w:color="000000"/>
            </w:tcBorders>
            <w:vAlign w:val="center"/>
          </w:tcPr>
          <w:p>
            <w:pPr>
              <w:pStyle w:val="Normal"/>
              <w:spacing w:before="0" w:after="120"/>
              <w:ind w:firstLine="567"/>
              <w:jc w:val="right"/>
              <w:rPr>
                <w:rFonts w:eastAsia="Calibri"/>
                <w:b/>
                <w:b/>
                <w:bCs/>
                <w:sz w:val="26"/>
                <w:szCs w:val="26"/>
              </w:rPr>
            </w:pPr>
            <w:r>
              <w:rPr>
                <w:rFonts w:eastAsia="Calibri"/>
                <w:b/>
                <w:bCs/>
                <w:sz w:val="26"/>
                <w:szCs w:val="26"/>
              </w:rPr>
              <w:t>1.254</w:t>
            </w:r>
          </w:p>
        </w:tc>
        <w:tc>
          <w:tcPr>
            <w:tcW w:w="1800" w:type="dxa"/>
            <w:tcBorders>
              <w:top w:val="dotted" w:sz="4" w:space="0" w:color="000000"/>
              <w:bottom w:val="dotted" w:sz="4" w:space="0" w:color="000000"/>
              <w:right w:val="single" w:sz="4" w:space="0" w:color="000000"/>
            </w:tcBorders>
            <w:vAlign w:val="center"/>
          </w:tcPr>
          <w:p>
            <w:pPr>
              <w:pStyle w:val="Normal"/>
              <w:spacing w:before="0" w:after="120"/>
              <w:ind w:firstLine="567"/>
              <w:jc w:val="center"/>
              <w:rPr>
                <w:rFonts w:eastAsia="Calibri"/>
                <w:b/>
                <w:b/>
                <w:bCs/>
                <w:sz w:val="26"/>
                <w:szCs w:val="26"/>
              </w:rPr>
            </w:pPr>
            <w:r>
              <w:rPr>
                <w:rFonts w:eastAsia="Calibri"/>
                <w:b/>
                <w:bCs/>
                <w:sz w:val="26"/>
                <w:szCs w:val="26"/>
              </w:rPr>
              <w:t>57,89%</w:t>
            </w:r>
          </w:p>
        </w:tc>
      </w:tr>
      <w:tr>
        <w:trPr>
          <w:trHeight w:val="247" w:hRule="atLeast"/>
        </w:trPr>
        <w:tc>
          <w:tcPr>
            <w:tcW w:w="625" w:type="dxa"/>
            <w:tcBorders>
              <w:top w:val="dotted" w:sz="4" w:space="0" w:color="000000"/>
              <w:left w:val="single" w:sz="4" w:space="0" w:color="000000"/>
              <w:bottom w:val="dotted" w:sz="4" w:space="0" w:color="000000"/>
              <w:right w:val="single" w:sz="4" w:space="0" w:color="000000"/>
            </w:tcBorders>
            <w:vAlign w:val="center"/>
          </w:tcPr>
          <w:p>
            <w:pPr>
              <w:pStyle w:val="Normal"/>
              <w:spacing w:before="0" w:after="120"/>
              <w:jc w:val="center"/>
              <w:rPr>
                <w:sz w:val="26"/>
                <w:szCs w:val="26"/>
              </w:rPr>
            </w:pPr>
            <w:r>
              <w:rPr>
                <w:sz w:val="26"/>
                <w:szCs w:val="26"/>
              </w:rPr>
              <w:t>a</w:t>
            </w:r>
          </w:p>
        </w:tc>
        <w:tc>
          <w:tcPr>
            <w:tcW w:w="3056" w:type="dxa"/>
            <w:tcBorders>
              <w:top w:val="dotted" w:sz="4" w:space="0" w:color="000000"/>
              <w:bottom w:val="dotted" w:sz="4" w:space="0" w:color="000000"/>
              <w:right w:val="single" w:sz="4" w:space="0" w:color="000000"/>
            </w:tcBorders>
            <w:vAlign w:val="center"/>
          </w:tcPr>
          <w:p>
            <w:pPr>
              <w:pStyle w:val="Normal"/>
              <w:spacing w:before="0" w:after="120"/>
              <w:rPr>
                <w:i/>
                <w:i/>
                <w:iCs/>
                <w:sz w:val="26"/>
                <w:szCs w:val="26"/>
              </w:rPr>
            </w:pPr>
            <w:r>
              <w:rPr>
                <w:i/>
                <w:iCs/>
                <w:sz w:val="26"/>
                <w:szCs w:val="26"/>
              </w:rPr>
              <w:t>- Vốn trong nước</w:t>
            </w:r>
          </w:p>
        </w:tc>
        <w:tc>
          <w:tcPr>
            <w:tcW w:w="1133" w:type="dxa"/>
            <w:tcBorders>
              <w:top w:val="dotted" w:sz="4" w:space="0" w:color="000000"/>
              <w:bottom w:val="dotted" w:sz="4" w:space="0" w:color="000000"/>
              <w:right w:val="single" w:sz="4" w:space="0" w:color="000000"/>
            </w:tcBorders>
            <w:vAlign w:val="center"/>
          </w:tcPr>
          <w:p>
            <w:pPr>
              <w:pStyle w:val="Normal"/>
              <w:spacing w:before="0" w:after="120"/>
              <w:jc w:val="right"/>
              <w:rPr>
                <w:rFonts w:eastAsia="Calibri"/>
                <w:i/>
                <w:i/>
                <w:iCs/>
                <w:sz w:val="26"/>
                <w:szCs w:val="26"/>
              </w:rPr>
            </w:pPr>
            <w:r>
              <w:rPr>
                <w:rFonts w:eastAsia="Calibri"/>
                <w:i/>
                <w:iCs/>
                <w:sz w:val="26"/>
                <w:szCs w:val="26"/>
              </w:rPr>
              <w:t>266</w:t>
            </w:r>
          </w:p>
        </w:tc>
        <w:tc>
          <w:tcPr>
            <w:tcW w:w="1871" w:type="dxa"/>
            <w:tcBorders>
              <w:top w:val="dotted" w:sz="4" w:space="0" w:color="000000"/>
              <w:bottom w:val="dotted" w:sz="4" w:space="0" w:color="000000"/>
              <w:right w:val="single" w:sz="4" w:space="0" w:color="000000"/>
            </w:tcBorders>
            <w:vAlign w:val="center"/>
          </w:tcPr>
          <w:p>
            <w:pPr>
              <w:pStyle w:val="Normal"/>
              <w:spacing w:before="0" w:after="120"/>
              <w:ind w:firstLine="567"/>
              <w:jc w:val="right"/>
              <w:rPr>
                <w:rFonts w:eastAsia="Calibri"/>
                <w:i/>
                <w:i/>
                <w:iCs/>
                <w:sz w:val="26"/>
                <w:szCs w:val="26"/>
              </w:rPr>
            </w:pPr>
            <w:r>
              <w:rPr>
                <w:rFonts w:eastAsia="Calibri"/>
                <w:i/>
                <w:iCs/>
                <w:sz w:val="26"/>
                <w:szCs w:val="26"/>
              </w:rPr>
              <w:t>182</w:t>
            </w:r>
          </w:p>
        </w:tc>
        <w:tc>
          <w:tcPr>
            <w:tcW w:w="1800" w:type="dxa"/>
            <w:tcBorders>
              <w:top w:val="dotted" w:sz="4" w:space="0" w:color="000000"/>
              <w:bottom w:val="dotted" w:sz="4" w:space="0" w:color="000000"/>
              <w:right w:val="single" w:sz="4" w:space="0" w:color="000000"/>
            </w:tcBorders>
            <w:vAlign w:val="center"/>
          </w:tcPr>
          <w:p>
            <w:pPr>
              <w:pStyle w:val="Normal"/>
              <w:spacing w:before="0" w:after="120"/>
              <w:ind w:firstLine="567"/>
              <w:jc w:val="center"/>
              <w:rPr>
                <w:rFonts w:eastAsia="Calibri"/>
                <w:sz w:val="26"/>
                <w:szCs w:val="26"/>
              </w:rPr>
            </w:pPr>
            <w:r>
              <w:rPr>
                <w:rFonts w:eastAsia="Calibri"/>
                <w:sz w:val="26"/>
                <w:szCs w:val="26"/>
              </w:rPr>
              <w:t>68,42%</w:t>
            </w:r>
          </w:p>
        </w:tc>
      </w:tr>
      <w:tr>
        <w:trPr>
          <w:trHeight w:val="202" w:hRule="atLeast"/>
        </w:trPr>
        <w:tc>
          <w:tcPr>
            <w:tcW w:w="625" w:type="dxa"/>
            <w:tcBorders>
              <w:top w:val="dotted" w:sz="4" w:space="0" w:color="000000"/>
              <w:left w:val="single" w:sz="4" w:space="0" w:color="000000"/>
              <w:bottom w:val="dotted" w:sz="4" w:space="0" w:color="000000"/>
              <w:right w:val="single" w:sz="4" w:space="0" w:color="000000"/>
            </w:tcBorders>
            <w:vAlign w:val="center"/>
          </w:tcPr>
          <w:p>
            <w:pPr>
              <w:pStyle w:val="Normal"/>
              <w:spacing w:before="0" w:after="120"/>
              <w:jc w:val="center"/>
              <w:rPr>
                <w:sz w:val="26"/>
                <w:szCs w:val="26"/>
              </w:rPr>
            </w:pPr>
            <w:r>
              <w:rPr>
                <w:sz w:val="26"/>
                <w:szCs w:val="26"/>
              </w:rPr>
              <w:t>b</w:t>
            </w:r>
          </w:p>
        </w:tc>
        <w:tc>
          <w:tcPr>
            <w:tcW w:w="3056" w:type="dxa"/>
            <w:tcBorders>
              <w:top w:val="dotted" w:sz="4" w:space="0" w:color="000000"/>
              <w:bottom w:val="dotted" w:sz="4" w:space="0" w:color="000000"/>
              <w:right w:val="single" w:sz="4" w:space="0" w:color="000000"/>
            </w:tcBorders>
            <w:vAlign w:val="center"/>
          </w:tcPr>
          <w:p>
            <w:pPr>
              <w:pStyle w:val="Normal"/>
              <w:spacing w:before="0" w:after="120"/>
              <w:rPr>
                <w:i/>
                <w:i/>
                <w:iCs/>
                <w:sz w:val="26"/>
                <w:szCs w:val="26"/>
              </w:rPr>
            </w:pPr>
            <w:r>
              <w:rPr>
                <w:i/>
                <w:iCs/>
                <w:sz w:val="26"/>
                <w:szCs w:val="26"/>
              </w:rPr>
              <w:t>- Vốn nước ngoài</w:t>
            </w:r>
          </w:p>
        </w:tc>
        <w:tc>
          <w:tcPr>
            <w:tcW w:w="1133" w:type="dxa"/>
            <w:tcBorders>
              <w:top w:val="dotted" w:sz="4" w:space="0" w:color="000000"/>
              <w:bottom w:val="dotted" w:sz="4" w:space="0" w:color="000000"/>
              <w:right w:val="single" w:sz="4" w:space="0" w:color="000000"/>
            </w:tcBorders>
            <w:vAlign w:val="center"/>
          </w:tcPr>
          <w:p>
            <w:pPr>
              <w:pStyle w:val="Normal"/>
              <w:spacing w:before="0" w:after="120"/>
              <w:jc w:val="right"/>
              <w:rPr>
                <w:rFonts w:eastAsia="Calibri"/>
                <w:i/>
                <w:i/>
                <w:iCs/>
                <w:sz w:val="26"/>
                <w:szCs w:val="26"/>
              </w:rPr>
            </w:pPr>
            <w:r>
              <w:rPr>
                <w:rFonts w:eastAsia="Calibri"/>
                <w:i/>
                <w:iCs/>
                <w:sz w:val="26"/>
                <w:szCs w:val="26"/>
              </w:rPr>
              <w:t>1.900</w:t>
            </w:r>
          </w:p>
        </w:tc>
        <w:tc>
          <w:tcPr>
            <w:tcW w:w="1871" w:type="dxa"/>
            <w:tcBorders>
              <w:top w:val="dotted" w:sz="4" w:space="0" w:color="000000"/>
              <w:bottom w:val="dotted" w:sz="4" w:space="0" w:color="000000"/>
              <w:right w:val="single" w:sz="4" w:space="0" w:color="000000"/>
            </w:tcBorders>
            <w:vAlign w:val="center"/>
          </w:tcPr>
          <w:p>
            <w:pPr>
              <w:pStyle w:val="Normal"/>
              <w:spacing w:before="0" w:after="120"/>
              <w:ind w:firstLine="567"/>
              <w:jc w:val="right"/>
              <w:rPr>
                <w:rFonts w:eastAsia="Calibri"/>
                <w:i/>
                <w:i/>
                <w:iCs/>
                <w:sz w:val="26"/>
                <w:szCs w:val="26"/>
              </w:rPr>
            </w:pPr>
            <w:r>
              <w:rPr>
                <w:rFonts w:eastAsia="Calibri"/>
                <w:i/>
                <w:iCs/>
                <w:sz w:val="26"/>
                <w:szCs w:val="26"/>
              </w:rPr>
              <w:t>1.072</w:t>
            </w:r>
          </w:p>
        </w:tc>
        <w:tc>
          <w:tcPr>
            <w:tcW w:w="1800" w:type="dxa"/>
            <w:tcBorders>
              <w:top w:val="dotted" w:sz="4" w:space="0" w:color="000000"/>
              <w:bottom w:val="dotted" w:sz="4" w:space="0" w:color="000000"/>
              <w:right w:val="single" w:sz="4" w:space="0" w:color="000000"/>
            </w:tcBorders>
            <w:vAlign w:val="center"/>
          </w:tcPr>
          <w:p>
            <w:pPr>
              <w:pStyle w:val="Normal"/>
              <w:spacing w:before="0" w:after="120"/>
              <w:ind w:firstLine="567"/>
              <w:jc w:val="center"/>
              <w:rPr>
                <w:rFonts w:eastAsia="Calibri"/>
                <w:sz w:val="26"/>
                <w:szCs w:val="26"/>
              </w:rPr>
            </w:pPr>
            <w:r>
              <w:rPr>
                <w:rFonts w:eastAsia="Calibri"/>
                <w:sz w:val="26"/>
                <w:szCs w:val="26"/>
              </w:rPr>
              <w:t>56,42%</w:t>
            </w:r>
          </w:p>
        </w:tc>
      </w:tr>
      <w:tr>
        <w:trPr>
          <w:trHeight w:val="478" w:hRule="atLeast"/>
        </w:trPr>
        <w:tc>
          <w:tcPr>
            <w:tcW w:w="368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b/>
                <w:b/>
                <w:bCs/>
                <w:sz w:val="26"/>
                <w:szCs w:val="26"/>
              </w:rPr>
            </w:pPr>
            <w:r>
              <w:rPr>
                <w:b/>
                <w:bCs/>
                <w:sz w:val="26"/>
                <w:szCs w:val="26"/>
              </w:rPr>
              <w:t xml:space="preserve"> </w:t>
            </w:r>
            <w:r>
              <w:rPr>
                <w:b/>
                <w:bCs/>
                <w:sz w:val="26"/>
                <w:szCs w:val="26"/>
              </w:rPr>
              <w:t>Tổng cộng</w:t>
            </w:r>
          </w:p>
        </w:tc>
        <w:tc>
          <w:tcPr>
            <w:tcW w:w="1133" w:type="dxa"/>
            <w:tcBorders>
              <w:bottom w:val="single" w:sz="4" w:space="0" w:color="000000"/>
              <w:right w:val="single" w:sz="4" w:space="0" w:color="000000"/>
            </w:tcBorders>
            <w:vAlign w:val="center"/>
          </w:tcPr>
          <w:p>
            <w:pPr>
              <w:pStyle w:val="Normal"/>
              <w:spacing w:before="0" w:after="120"/>
              <w:jc w:val="right"/>
              <w:rPr>
                <w:b/>
                <w:b/>
                <w:bCs/>
                <w:sz w:val="26"/>
                <w:szCs w:val="26"/>
              </w:rPr>
            </w:pPr>
            <w:r>
              <w:rPr>
                <w:b/>
                <w:bCs/>
                <w:sz w:val="26"/>
                <w:szCs w:val="26"/>
              </w:rPr>
              <w:t>6.438</w:t>
            </w:r>
          </w:p>
        </w:tc>
        <w:tc>
          <w:tcPr>
            <w:tcW w:w="1871" w:type="dxa"/>
            <w:tcBorders>
              <w:bottom w:val="single" w:sz="4" w:space="0" w:color="000000"/>
              <w:right w:val="single" w:sz="4" w:space="0" w:color="000000"/>
            </w:tcBorders>
            <w:vAlign w:val="center"/>
          </w:tcPr>
          <w:p>
            <w:pPr>
              <w:pStyle w:val="Normal"/>
              <w:spacing w:before="0" w:after="120"/>
              <w:jc w:val="right"/>
              <w:rPr>
                <w:rFonts w:eastAsia="Calibri"/>
                <w:b/>
                <w:b/>
                <w:bCs/>
                <w:sz w:val="26"/>
                <w:szCs w:val="26"/>
              </w:rPr>
            </w:pPr>
            <w:r>
              <w:rPr>
                <w:rFonts w:eastAsia="Calibri"/>
                <w:b/>
                <w:bCs/>
                <w:sz w:val="26"/>
                <w:szCs w:val="26"/>
              </w:rPr>
              <w:t>3.264</w:t>
            </w:r>
          </w:p>
        </w:tc>
        <w:tc>
          <w:tcPr>
            <w:tcW w:w="1800" w:type="dxa"/>
            <w:tcBorders>
              <w:bottom w:val="single" w:sz="4" w:space="0" w:color="000000"/>
              <w:right w:val="single" w:sz="4" w:space="0" w:color="000000"/>
            </w:tcBorders>
            <w:vAlign w:val="center"/>
          </w:tcPr>
          <w:p>
            <w:pPr>
              <w:pStyle w:val="Normal"/>
              <w:spacing w:before="0" w:after="120"/>
              <w:ind w:firstLine="567"/>
              <w:jc w:val="center"/>
              <w:rPr>
                <w:rFonts w:eastAsia="Calibri"/>
                <w:b/>
                <w:b/>
                <w:bCs/>
                <w:sz w:val="26"/>
                <w:szCs w:val="26"/>
              </w:rPr>
            </w:pPr>
            <w:r>
              <w:rPr>
                <w:rFonts w:eastAsia="Calibri"/>
                <w:b/>
                <w:bCs/>
                <w:sz w:val="26"/>
                <w:szCs w:val="26"/>
              </w:rPr>
              <w:t>50,70%</w:t>
            </w:r>
          </w:p>
        </w:tc>
      </w:tr>
    </w:tbl>
    <w:p>
      <w:pPr>
        <w:pStyle w:val="Normal"/>
        <w:widowControl w:val="false"/>
        <w:tabs>
          <w:tab w:val="clear" w:pos="720"/>
          <w:tab w:val="left" w:pos="826" w:leader="none"/>
        </w:tabs>
        <w:spacing w:before="120" w:after="0"/>
        <w:ind w:firstLine="709"/>
        <w:jc w:val="both"/>
        <w:rPr/>
      </w:pPr>
      <w:r>
        <w:rPr>
          <w:sz w:val="28"/>
          <w:szCs w:val="28"/>
        </w:rPr>
        <w:t>- Đối với 54 dự án kéo dài vốn 2021: Đã giải ngân 52%, cả năm ước giải ngân đạt 92%.</w:t>
      </w:r>
    </w:p>
    <w:p>
      <w:pPr>
        <w:pStyle w:val="Normal"/>
        <w:widowControl w:val="false"/>
        <w:tabs>
          <w:tab w:val="clear" w:pos="720"/>
          <w:tab w:val="left" w:pos="826" w:leader="none"/>
        </w:tabs>
        <w:spacing w:before="120" w:after="0"/>
        <w:ind w:firstLine="709"/>
        <w:jc w:val="both"/>
        <w:rPr>
          <w:sz w:val="28"/>
          <w:szCs w:val="28"/>
        </w:rPr>
      </w:pPr>
      <w:r>
        <w:rPr>
          <w:sz w:val="28"/>
          <w:szCs w:val="28"/>
        </w:rPr>
        <w:t xml:space="preserve">- Đối với 26 dự án chuyển tiếp: Dự kiến không thể giải ngân hết kế hoạch vốn 2022. Bộ đã có văn bản số 5839/BNN-KH ngày 07/9/2022 đề nghị Bộ Kế hoạch và Đầu tư tổng hợp trình cấp có thẩm quyền điều chỉnh </w:t>
      </w:r>
      <w:r>
        <w:rPr>
          <w:b/>
          <w:i/>
          <w:sz w:val="28"/>
          <w:szCs w:val="28"/>
        </w:rPr>
        <w:t>giảm 950 tỷ đồng</w:t>
      </w:r>
      <w:r>
        <w:rPr>
          <w:sz w:val="28"/>
          <w:szCs w:val="28"/>
        </w:rPr>
        <w:t xml:space="preserve">. </w:t>
      </w:r>
    </w:p>
    <w:p>
      <w:pPr>
        <w:pStyle w:val="Normal"/>
        <w:widowControl w:val="false"/>
        <w:tabs>
          <w:tab w:val="clear" w:pos="720"/>
          <w:tab w:val="left" w:pos="826" w:leader="none"/>
        </w:tabs>
        <w:spacing w:before="120" w:after="0"/>
        <w:ind w:firstLine="709"/>
        <w:jc w:val="both"/>
        <w:rPr>
          <w:i/>
          <w:i/>
          <w:sz w:val="28"/>
          <w:szCs w:val="28"/>
        </w:rPr>
      </w:pPr>
      <w:r>
        <w:rPr>
          <w:sz w:val="28"/>
          <w:szCs w:val="28"/>
        </w:rPr>
        <w:t>- Đối với 131 dự án mở mới 2021-2025: 20 dự án chưa được giao vốn</w:t>
      </w:r>
      <w:r>
        <w:rPr>
          <w:rStyle w:val="FootnoteCharacters"/>
          <w:rStyle w:val="FootnoteAnchor"/>
          <w:sz w:val="28"/>
          <w:szCs w:val="28"/>
        </w:rPr>
        <w:footnoteReference w:id="15"/>
      </w:r>
      <w:r>
        <w:rPr>
          <w:sz w:val="28"/>
          <w:szCs w:val="28"/>
        </w:rPr>
        <w:t>; 111 dự án đã được bố trí kế hoạch vốn</w:t>
      </w:r>
      <w:r>
        <w:rPr>
          <w:i/>
          <w:sz w:val="28"/>
          <w:szCs w:val="28"/>
        </w:rPr>
        <w:t xml:space="preserve"> (82 dự án độc lập đã duyệt 34 dự án; 174 dự án thành phần (thuộc 29 dự án) Bộ đã phê duyệt 60 dự án thành phần; dự kiến đến 30/12 có thể phê duyêt tiếp 45 DATP).</w:t>
      </w:r>
    </w:p>
    <w:p>
      <w:pPr>
        <w:pStyle w:val="Normal"/>
        <w:widowControl w:val="false"/>
        <w:spacing w:before="120" w:after="0"/>
        <w:ind w:left="142" w:hanging="0"/>
        <w:jc w:val="both"/>
        <w:rPr>
          <w:bCs/>
          <w:iCs/>
          <w:sz w:val="28"/>
          <w:szCs w:val="28"/>
          <w:lang w:val="es-ES"/>
        </w:rPr>
      </w:pPr>
      <w:r>
        <w:rPr>
          <w:sz w:val="28"/>
          <w:szCs w:val="28"/>
          <w:lang w:val="af-ZA"/>
        </w:rPr>
        <w:tab/>
      </w:r>
      <w:r>
        <w:rPr>
          <w:b/>
          <w:sz w:val="28"/>
          <w:szCs w:val="28"/>
          <w:lang w:val="af-ZA"/>
        </w:rPr>
        <w:t>7</w:t>
      </w:r>
      <w:r>
        <w:rPr>
          <w:b/>
          <w:sz w:val="28"/>
          <w:szCs w:val="28"/>
          <w:lang w:val="vi-VN"/>
        </w:rPr>
        <w:t xml:space="preserve">. </w:t>
      </w:r>
      <w:r>
        <w:rPr>
          <w:b/>
          <w:sz w:val="28"/>
          <w:szCs w:val="28"/>
          <w:lang w:val="af-ZA"/>
        </w:rPr>
        <w:t>Công tác khác</w:t>
      </w:r>
    </w:p>
    <w:p>
      <w:pPr>
        <w:pStyle w:val="TextBody"/>
        <w:widowControl w:val="false"/>
        <w:spacing w:before="120" w:after="0"/>
        <w:ind w:firstLine="720"/>
        <w:rPr/>
      </w:pPr>
      <w:r>
        <w:rPr>
          <w:bCs/>
          <w:iCs/>
          <w:color w:val="000000"/>
          <w:sz w:val="28"/>
          <w:szCs w:val="28"/>
          <w:lang w:val="sv-SE"/>
        </w:rPr>
        <w:t xml:space="preserve">a) Kế hoạch, tài chính: Hoàn thiện và trình Chính phủ phê duyệt </w:t>
      </w:r>
      <w:r>
        <w:rPr>
          <w:bCs/>
          <w:iCs/>
          <w:color w:val="000000"/>
          <w:sz w:val="28"/>
          <w:szCs w:val="28"/>
          <w:lang w:val="vi-VN"/>
        </w:rPr>
        <w:t>Chương trình</w:t>
      </w:r>
      <w:r>
        <w:rPr>
          <w:bCs/>
          <w:iCs/>
          <w:color w:val="000000"/>
          <w:sz w:val="28"/>
          <w:szCs w:val="28"/>
          <w:lang w:val="sv-SE"/>
        </w:rPr>
        <w:t xml:space="preserve"> hành động</w:t>
      </w:r>
      <w:r>
        <w:rPr>
          <w:bCs/>
          <w:iCs/>
          <w:color w:val="000000"/>
          <w:sz w:val="28"/>
          <w:szCs w:val="28"/>
          <w:lang w:val="vi-VN"/>
        </w:rPr>
        <w:t xml:space="preserve"> </w:t>
      </w:r>
      <w:r>
        <w:rPr>
          <w:bCs/>
          <w:iCs/>
          <w:color w:val="000000"/>
          <w:sz w:val="28"/>
          <w:szCs w:val="28"/>
          <w:lang w:val="sv-SE"/>
        </w:rPr>
        <w:t xml:space="preserve">thực hiện Nghị quyết số 19-NQ/TW ngày 16/6/2022 </w:t>
      </w:r>
      <w:r>
        <w:rPr>
          <w:bCs/>
          <w:color w:val="000000"/>
          <w:sz w:val="28"/>
          <w:szCs w:val="28"/>
          <w:lang w:val="pt-BR"/>
        </w:rPr>
        <w:t xml:space="preserve">về NN, NT, NT đến năm 2030, tầm nhìn đến 2045; chuẩn bị in tài liệu Hỏi đáp về Chiến lược phát triển Ngành. Báo cáo kết quả thực hiện cơ cấu lại ngành nông nghiệp 2 năm 2021 - 2022. </w:t>
      </w:r>
    </w:p>
    <w:p>
      <w:pPr>
        <w:pStyle w:val="TextBody"/>
        <w:widowControl w:val="false"/>
        <w:spacing w:before="120" w:after="0"/>
        <w:ind w:firstLine="720"/>
        <w:rPr>
          <w:color w:val="000000"/>
          <w:sz w:val="28"/>
          <w:szCs w:val="28"/>
          <w:lang w:val="af-ZA"/>
        </w:rPr>
      </w:pPr>
      <w:r>
        <w:rPr>
          <w:sz w:val="28"/>
          <w:szCs w:val="28"/>
        </w:rPr>
        <w:t xml:space="preserve"> </w:t>
      </w:r>
      <w:r>
        <w:rPr>
          <w:sz w:val="28"/>
          <w:szCs w:val="28"/>
        </w:rPr>
        <w:t>Phối hợp kiểm toán nhà nước kiểm toán Báo cáo Quyết toán, Báo cáo Tài chính năm 2021</w:t>
      </w:r>
      <w:r>
        <w:rPr>
          <w:sz w:val="28"/>
          <w:szCs w:val="28"/>
          <w:lang w:val="en-US"/>
        </w:rPr>
        <w:t xml:space="preserve">; </w:t>
      </w:r>
      <w:r>
        <w:rPr>
          <w:sz w:val="28"/>
          <w:szCs w:val="28"/>
          <w:lang w:val="vi-VN"/>
        </w:rPr>
        <w:t>Thực hiện thẩm định phương án tự chủ tài chính các đơn vị sự nghiệp công lập.</w:t>
      </w:r>
      <w:r>
        <w:rPr>
          <w:sz w:val="28"/>
          <w:szCs w:val="28"/>
          <w:lang w:val="en-US"/>
        </w:rPr>
        <w:t xml:space="preserve"> </w:t>
      </w:r>
      <w:r>
        <w:rPr>
          <w:sz w:val="28"/>
          <w:szCs w:val="28"/>
        </w:rPr>
        <w:t>Phối hợp với UBND các tỉnh k</w:t>
      </w:r>
      <w:r>
        <w:rPr>
          <w:sz w:val="28"/>
          <w:szCs w:val="28"/>
          <w:shd w:fill="F9F9F9" w:val="clear"/>
        </w:rPr>
        <w:t>iểm tra hiện trạng</w:t>
      </w:r>
      <w:r>
        <w:rPr>
          <w:sz w:val="28"/>
          <w:szCs w:val="28"/>
          <w:shd w:fill="F9F9F9" w:val="clear"/>
          <w:lang w:val="en-US"/>
        </w:rPr>
        <w:t xml:space="preserve">, </w:t>
      </w:r>
      <w:r>
        <w:rPr>
          <w:sz w:val="28"/>
          <w:szCs w:val="28"/>
        </w:rPr>
        <w:t xml:space="preserve">tổng hợp lên phương án sắp xếp nhà đất </w:t>
      </w:r>
      <w:r>
        <w:rPr>
          <w:sz w:val="28"/>
          <w:szCs w:val="28"/>
          <w:shd w:fill="F9F9F9" w:val="clear"/>
        </w:rPr>
        <w:t>tại các tỉnh</w:t>
      </w:r>
      <w:r>
        <w:rPr>
          <w:sz w:val="28"/>
          <w:szCs w:val="28"/>
          <w:shd w:fill="F9F9F9" w:val="clear"/>
          <w:lang w:val="en-US"/>
        </w:rPr>
        <w:t>:</w:t>
      </w:r>
      <w:r>
        <w:rPr>
          <w:sz w:val="28"/>
          <w:szCs w:val="28"/>
          <w:shd w:fill="F9F9F9" w:val="clear"/>
        </w:rPr>
        <w:t xml:space="preserve"> Hà Giang, Quảng Trị, Quảng Bình, Long An</w:t>
      </w:r>
      <w:r>
        <w:rPr>
          <w:sz w:val="28"/>
          <w:szCs w:val="28"/>
          <w:shd w:fill="F9F9F9" w:val="clear"/>
          <w:lang w:val="en-US"/>
        </w:rPr>
        <w:t>.</w:t>
      </w:r>
    </w:p>
    <w:p>
      <w:pPr>
        <w:pStyle w:val="TextBody"/>
        <w:widowControl w:val="false"/>
        <w:spacing w:before="120" w:after="0"/>
        <w:ind w:firstLine="720"/>
        <w:rPr/>
      </w:pPr>
      <w:r>
        <w:rPr>
          <w:bCs/>
          <w:iCs/>
          <w:color w:val="000000"/>
          <w:sz w:val="28"/>
          <w:szCs w:val="28"/>
          <w:lang w:val="da-DK"/>
        </w:rPr>
        <w:t xml:space="preserve">b) </w:t>
      </w:r>
      <w:r>
        <w:rPr>
          <w:bCs/>
          <w:iCs/>
          <w:color w:val="000000"/>
          <w:sz w:val="28"/>
          <w:szCs w:val="28"/>
          <w:lang w:val="pt-BR"/>
        </w:rPr>
        <w:t xml:space="preserve">Tổ chức bộ máy: </w:t>
      </w:r>
      <w:r>
        <w:rPr>
          <w:sz w:val="28"/>
          <w:szCs w:val="28"/>
        </w:rPr>
        <w:t xml:space="preserve">Báo cáo </w:t>
      </w:r>
      <w:r>
        <w:rPr>
          <w:sz w:val="28"/>
          <w:szCs w:val="28"/>
          <w:lang w:val="af-ZA"/>
        </w:rPr>
        <w:t>PTTg</w:t>
      </w:r>
      <w:r>
        <w:rPr>
          <w:sz w:val="28"/>
          <w:szCs w:val="28"/>
        </w:rPr>
        <w:t xml:space="preserve"> Thường trực Phạm Bình Minh </w:t>
      </w:r>
      <w:r>
        <w:rPr>
          <w:sz w:val="28"/>
          <w:szCs w:val="28"/>
          <w:lang w:val="af-ZA"/>
        </w:rPr>
        <w:t xml:space="preserve">tiếp thu, giải trình, hoàn thiện ý kiến Thành viên Chính phủ </w:t>
      </w:r>
      <w:r>
        <w:rPr>
          <w:sz w:val="28"/>
          <w:szCs w:val="28"/>
        </w:rPr>
        <w:t xml:space="preserve">về </w:t>
      </w:r>
      <w:r>
        <w:rPr>
          <w:sz w:val="28"/>
          <w:szCs w:val="28"/>
          <w:lang w:val="af-ZA"/>
        </w:rPr>
        <w:t xml:space="preserve">xây dựng </w:t>
      </w:r>
      <w:r>
        <w:rPr>
          <w:sz w:val="28"/>
          <w:szCs w:val="28"/>
        </w:rPr>
        <w:t>Nghị định thay thế Nghị định số 15/2017/NĐ-CP quy định chức năng, nhiệm vụ, quyền hạn và cơ cấu tổ chức của Bộ.</w:t>
      </w:r>
      <w:r>
        <w:rPr>
          <w:iCs/>
          <w:color w:val="000000"/>
          <w:sz w:val="28"/>
          <w:szCs w:val="28"/>
          <w:lang w:val="af-ZA"/>
        </w:rPr>
        <w:t xml:space="preserve"> Hoàn thiện </w:t>
      </w:r>
      <w:r>
        <w:rPr>
          <w:color w:val="000000"/>
          <w:sz w:val="28"/>
          <w:szCs w:val="28"/>
          <w:lang w:val="af-ZA"/>
        </w:rPr>
        <w:t xml:space="preserve">Đề án sắp xếp các đơn vị sự nghiệp công lập thuộc Bộ. </w:t>
      </w:r>
      <w:r>
        <w:rPr>
          <w:sz w:val="28"/>
          <w:szCs w:val="28"/>
          <w:lang w:val="af-ZA"/>
        </w:rPr>
        <w:t>Tổng hợp, rà soát quy hoạch các đơn vị giai đoạn 2021 - 2026 và xây dựng giai đoạn 2026 - 2030.</w:t>
      </w:r>
    </w:p>
    <w:p>
      <w:pPr>
        <w:pStyle w:val="TextBody"/>
        <w:widowControl w:val="false"/>
        <w:spacing w:before="120" w:after="0"/>
        <w:ind w:firstLine="720"/>
        <w:rPr>
          <w:sz w:val="28"/>
          <w:szCs w:val="28"/>
          <w:lang w:val="nb-NO"/>
        </w:rPr>
      </w:pPr>
      <w:r>
        <w:rPr>
          <w:bCs/>
          <w:sz w:val="28"/>
          <w:szCs w:val="28"/>
          <w:lang w:val="pt-BR"/>
        </w:rPr>
        <w:t xml:space="preserve">c) </w:t>
      </w:r>
      <w:r>
        <w:rPr>
          <w:sz w:val="28"/>
          <w:szCs w:val="28"/>
          <w:lang w:val="af-ZA"/>
        </w:rPr>
        <w:t xml:space="preserve">Khoa học công nghệ: </w:t>
      </w:r>
      <w:r>
        <w:rPr>
          <w:sz w:val="28"/>
          <w:szCs w:val="28"/>
          <w:lang w:val="es-ES"/>
        </w:rPr>
        <w:t>Rà soát, phê duyệt Thuyết minh của các nhiệm vụ KHCN thực hiện từ năm 2023</w:t>
      </w:r>
      <w:r>
        <w:rPr>
          <w:sz w:val="28"/>
          <w:szCs w:val="28"/>
          <w:lang w:val="af-ZA"/>
        </w:rPr>
        <w:t xml:space="preserve">. Tiếp tục </w:t>
      </w:r>
      <w:r>
        <w:rPr>
          <w:sz w:val="28"/>
          <w:szCs w:val="28"/>
          <w:lang w:val="nb-NO"/>
        </w:rPr>
        <w:t>hoàn thiện Chiến lược phát triển khoa học, công nghệ và đổi mới sáng tạo ngành NN và PTNT giai đoạn 2021-2030. Tháng 11, cấp số hiệu 03 tiêu chuẩn, 02 quy chuẩn thuộc lĩnh vực thủy lợi, phân bón</w:t>
      </w:r>
      <w:r>
        <w:rPr>
          <w:spacing w:val="-4"/>
          <w:sz w:val="28"/>
          <w:szCs w:val="28"/>
          <w:lang w:val="nb-NO"/>
        </w:rPr>
        <w:t xml:space="preserve">. </w:t>
      </w:r>
      <w:r>
        <w:rPr>
          <w:sz w:val="28"/>
          <w:szCs w:val="28"/>
          <w:lang w:val="nb-NO"/>
        </w:rPr>
        <w:t>Lũy kế 11 tháng, có 88 TCVN, QCVN đã được cấp số hiệu, đạt 48,1% kế hoạch năm 2022.</w:t>
      </w:r>
    </w:p>
    <w:p>
      <w:pPr>
        <w:pStyle w:val="TextBody"/>
        <w:widowControl w:val="false"/>
        <w:spacing w:before="120" w:after="0"/>
        <w:ind w:firstLine="720"/>
        <w:rPr/>
      </w:pPr>
      <w:r>
        <w:rPr>
          <w:color w:val="000000"/>
          <w:sz w:val="28"/>
          <w:szCs w:val="28"/>
          <w:lang w:val="nb-NO"/>
        </w:rPr>
        <w:t xml:space="preserve">d) Xây dựng văn bản: Tháng 11, </w:t>
      </w:r>
      <w:r>
        <w:rPr>
          <w:rFonts w:eastAsia="Arial Unicode MS"/>
          <w:color w:val="000000"/>
          <w:sz w:val="28"/>
          <w:szCs w:val="28"/>
          <w:lang w:val="nb-NO"/>
        </w:rPr>
        <w:t>trình Chính phủ ban hành 01 Nghị định, Bộ ban hành 01 Thông tư. Lũy kế 11 tháng, Chính phủ đã ban hành 06 Nghị định (có 04 NĐ Bộ trình năm 2021); Bộ đã trình Chính phủ 04 Nghị định (chưa ban hành); TTgCP ban hành 03 Quyết định; Bộ đã trình 01 Quyết định (chưa ban hành); Bộ trưởng ban hành 18 Thông tư (trong đó có 04 TT ngoài KH).</w:t>
      </w:r>
    </w:p>
    <w:p>
      <w:pPr>
        <w:pStyle w:val="TextBody"/>
        <w:widowControl w:val="false"/>
        <w:spacing w:before="120" w:after="0"/>
        <w:ind w:firstLine="709"/>
        <w:rPr>
          <w:b/>
          <w:b/>
          <w:bCs/>
          <w:color w:val="000000"/>
          <w:lang w:val="nb-NO"/>
        </w:rPr>
      </w:pPr>
      <w:r>
        <w:rPr>
          <w:b/>
          <w:bCs/>
          <w:color w:val="000000"/>
          <w:lang w:val="nb-NO"/>
        </w:rPr>
        <w:t>II. CHUYỂN ĐỔI TƯ DUY TỪ SẢN XUẤT NÔNG NGHIỆP SANG KINH TẾ NÔNG NGHIỆP</w:t>
      </w:r>
    </w:p>
    <w:p>
      <w:pPr>
        <w:pStyle w:val="Normal"/>
        <w:widowControl w:val="false"/>
        <w:spacing w:before="120" w:after="0"/>
        <w:ind w:firstLine="720"/>
        <w:jc w:val="both"/>
        <w:rPr>
          <w:bCs/>
          <w:sz w:val="28"/>
          <w:szCs w:val="28"/>
          <w:lang w:val="nb-NO"/>
        </w:rPr>
      </w:pPr>
      <w:r>
        <w:rPr>
          <w:bCs/>
          <w:sz w:val="28"/>
          <w:szCs w:val="28"/>
          <w:lang w:val="nb-NO"/>
        </w:rPr>
        <w:t>Toàn Ngành tập trung triển khai thực hiện Chiến lược phát triển NN và NT bền vững, Kế hoạch cơ cấu lại ngành, Nghị quyết số 19-NQ/TW về nông nghiệp, nông dân, nông thôn. Một số hoạt động và kết quả đạt được như:</w:t>
      </w:r>
    </w:p>
    <w:p>
      <w:pPr>
        <w:pStyle w:val="Normal"/>
        <w:widowControl w:val="false"/>
        <w:spacing w:before="120" w:after="0"/>
        <w:ind w:firstLine="720"/>
        <w:jc w:val="both"/>
        <w:rPr>
          <w:bCs/>
          <w:sz w:val="28"/>
          <w:szCs w:val="28"/>
          <w:lang w:val="nb-NO"/>
        </w:rPr>
      </w:pPr>
      <w:r>
        <w:rPr>
          <w:bCs/>
          <w:sz w:val="28"/>
          <w:szCs w:val="28"/>
          <w:lang w:val="nb-NO"/>
        </w:rPr>
        <w:t>- Đã có nhiều diện tích lúa kém hiệu quả được người dân và địa phương chủ động chuyển đổi sang cây trồng khác, nuôi trồng thủy sản có hiệu quả hơn; Bộ hướng dẫn người dân, địa phương khuyến khích áp dụng quy trình sản xuất hữu cơ, giảm thâm dụng tài nguyên thiên nhiên và vật tư đầu vào; sử dụng những giống lúa thơm, chất lượng cao và chủ lực xuất khẩu (</w:t>
      </w:r>
      <w:r>
        <w:rPr>
          <w:sz w:val="28"/>
          <w:szCs w:val="28"/>
          <w:lang w:val="pt-BR"/>
        </w:rPr>
        <w:t>Jasmine 85, nhóm giống ST, Nàng Hoa 9, VD20, Đài Thơm 8; nhóm giống OM,...</w:t>
      </w:r>
      <w:r>
        <w:rPr>
          <w:bCs/>
          <w:sz w:val="28"/>
          <w:szCs w:val="28"/>
          <w:lang w:val="nb-NO"/>
        </w:rPr>
        <w:t xml:space="preserve">) nhằm đáp ứng nhu cầu ngày càng khó tính của người tiêu dùng trong nước và xuất khẩu. </w:t>
      </w:r>
    </w:p>
    <w:p>
      <w:pPr>
        <w:pStyle w:val="Normal"/>
        <w:widowControl w:val="false"/>
        <w:spacing w:before="120" w:after="0"/>
        <w:jc w:val="both"/>
        <w:rPr>
          <w:bCs/>
          <w:sz w:val="28"/>
          <w:szCs w:val="28"/>
          <w:lang w:val="nb-NO"/>
        </w:rPr>
      </w:pPr>
      <w:r>
        <w:rPr>
          <w:bCs/>
          <w:sz w:val="28"/>
          <w:szCs w:val="28"/>
          <w:lang w:val="nb-NO"/>
        </w:rPr>
        <w:tab/>
        <w:t>Đối với cây vụ đông, đã hướng người dân phát triển ngô thực phẩm, ngô sinh khối thời gian sinh trưởng ngắn, phục vụ tốt nhu cầu tiêu dùng, chế biến TACN; đa dạng hóa nhóm cây vụ đông; d</w:t>
      </w:r>
      <w:r>
        <w:rPr>
          <w:sz w:val="28"/>
          <w:szCs w:val="28"/>
          <w:lang w:val="nb-NO"/>
        </w:rPr>
        <w:t>ừng cơ cấu nhóm cây ưa ấm đẩy mạnh nhóm ưa lạnh và nhóm trung tính, các cây có giá trị kinh tế cao, gắn sản xuất với thị trường tiêu thụ.</w:t>
      </w:r>
    </w:p>
    <w:p>
      <w:pPr>
        <w:pStyle w:val="Normal"/>
        <w:widowControl w:val="false"/>
        <w:spacing w:before="120" w:after="0"/>
        <w:ind w:firstLine="720"/>
        <w:jc w:val="both"/>
        <w:rPr>
          <w:sz w:val="28"/>
          <w:szCs w:val="28"/>
          <w:lang w:val="nb-NO"/>
        </w:rPr>
      </w:pPr>
      <w:r>
        <w:rPr>
          <w:sz w:val="28"/>
          <w:szCs w:val="28"/>
          <w:lang w:val="nb-NO"/>
        </w:rPr>
        <w:t xml:space="preserve">- Nhiều mô hình nông nghiệp sinh thái, xanh, hữu có có hiệu quả kinh tế được phát triển, như: nhờ phát triển mạnh chăn nuôi lợn, gà đồi ăn chuối thành công, tập đoàn Hoàng Anh - Gia Lai đã “thoát cửa tử” nhờ chính từ lĩnh vực nông nghiệp. Các tỉnh, thành phố ĐBSCL đã quan tâm chỉ đạo, nông dân có nhiều kinh nghiệm và áp dụng thành công quy trình kỹ thuật rải vụ, nhờ vậy hiệu quả kinh tế của rải vụ 5 loại cây ăn quả (thanh long, xoài, chôm chôm, sầu riêng, nhãn) tăng 1,5 lần đến 2 lần so sản xuất chính vụ. </w:t>
      </w:r>
    </w:p>
    <w:p>
      <w:pPr>
        <w:pStyle w:val="Normal"/>
        <w:widowControl w:val="false"/>
        <w:spacing w:before="120" w:after="0"/>
        <w:ind w:firstLine="720"/>
        <w:jc w:val="both"/>
        <w:rPr>
          <w:sz w:val="28"/>
          <w:szCs w:val="28"/>
          <w:lang w:val="nb-NO"/>
        </w:rPr>
      </w:pPr>
      <w:r>
        <w:rPr>
          <w:sz w:val="28"/>
          <w:szCs w:val="28"/>
          <w:lang w:val="nb-NO"/>
        </w:rPr>
        <w:t xml:space="preserve">Thông qua các chương trình, dự án khuyến nông Bộ đã hướng dẫn, tuyên tuyền để phát triển các mô hình nổi bật trong sản xuất NLTS. Trong 11 tháng đã triển khai 162 dự án khuyến nông trung ương, các dự án đã </w:t>
      </w:r>
      <w:r>
        <w:rPr>
          <w:spacing w:val="4"/>
          <w:sz w:val="28"/>
          <w:szCs w:val="28"/>
          <w:lang w:val="nb-NO"/>
        </w:rPr>
        <w:t>cấp phát vật tư, tập huấn trong và ngoài mô hình; t</w:t>
      </w:r>
      <w:r>
        <w:rPr>
          <w:sz w:val="28"/>
          <w:szCs w:val="28"/>
          <w:lang w:val="vi-VN"/>
        </w:rPr>
        <w:t xml:space="preserve">ổ chức </w:t>
      </w:r>
      <w:r>
        <w:rPr>
          <w:sz w:val="28"/>
          <w:szCs w:val="28"/>
          <w:lang w:val="nb-NO"/>
        </w:rPr>
        <w:t>203</w:t>
      </w:r>
      <w:r>
        <w:rPr>
          <w:sz w:val="28"/>
          <w:szCs w:val="28"/>
          <w:lang w:val="vi-VN"/>
        </w:rPr>
        <w:t xml:space="preserve"> lớp tập huấn tập trung vào các chủ đề: kinh tế tuần hoàn, nông nghiệp hữu cơ, tổ chức sản xuất, thị trường, vùng nguyên liệu... 50 đoàn khảo sát, học tập trong nước.</w:t>
      </w:r>
    </w:p>
    <w:p>
      <w:pPr>
        <w:pStyle w:val="Normal"/>
        <w:widowControl w:val="false"/>
        <w:spacing w:before="120" w:after="0"/>
        <w:ind w:firstLine="720"/>
        <w:jc w:val="both"/>
        <w:rPr>
          <w:spacing w:val="-4"/>
          <w:sz w:val="28"/>
          <w:szCs w:val="28"/>
          <w:lang w:val="nb-NO"/>
        </w:rPr>
      </w:pPr>
      <w:r>
        <w:rPr>
          <w:bCs/>
          <w:sz w:val="28"/>
          <w:szCs w:val="28"/>
          <w:lang w:val="nb-NO"/>
        </w:rPr>
        <w:t>- Công tác quản lý chất lượng giống được nhiều địa phương quan tâm thực hiện, tỷ lệ diện tích rừng trồng được kiểm soát chất lượng giống đạt 85%.</w:t>
      </w:r>
      <w:r>
        <w:rPr>
          <w:b/>
          <w:bCs/>
          <w:sz w:val="28"/>
          <w:szCs w:val="28"/>
          <w:lang w:val="nb-NO"/>
        </w:rPr>
        <w:t xml:space="preserve"> </w:t>
      </w:r>
      <w:r>
        <w:rPr>
          <w:bCs/>
          <w:sz w:val="28"/>
          <w:szCs w:val="28"/>
          <w:lang w:val="nb-NO"/>
        </w:rPr>
        <w:t xml:space="preserve">Nhiều địa phương và chủ rừng đã quan tâm xây dựng phương án quản lý bảo vệ rừng; đến nay, đã có </w:t>
      </w:r>
      <w:r>
        <w:rPr>
          <w:spacing w:val="-4"/>
          <w:sz w:val="28"/>
          <w:szCs w:val="28"/>
          <w:lang w:val="nb-NO"/>
        </w:rPr>
        <w:t xml:space="preserve">398 nghìn ha được cấp chứng chỉ quản lý rừng bền vững tại 32 địa phương. Tiền thu dịch vụ môi trường rừng nhanh, vượt 17,6% kế hoạch năm 2022. </w:t>
      </w:r>
    </w:p>
    <w:p>
      <w:pPr>
        <w:pStyle w:val="Normal"/>
        <w:widowControl w:val="false"/>
        <w:spacing w:before="120" w:after="0"/>
        <w:ind w:firstLine="720"/>
        <w:jc w:val="both"/>
        <w:rPr>
          <w:spacing w:val="-4"/>
          <w:sz w:val="28"/>
          <w:szCs w:val="28"/>
          <w:lang w:val="nb-NO"/>
        </w:rPr>
      </w:pPr>
      <w:r>
        <w:rPr>
          <w:spacing w:val="-4"/>
          <w:sz w:val="28"/>
          <w:szCs w:val="28"/>
          <w:lang w:val="nb-NO"/>
        </w:rPr>
        <w:t xml:space="preserve">- Đã xây dựng 1.669 chuỗi cung cấp thực phẩm NLTS an toàn với sự tham gia của nhiều tập đoàn lớn, duy trì kiểm tra mẫu NLTS sau thu hoạch, tỷ lệ vi phạm ATTP thấp (2,7%) với 99,2% cơ sở đáp ứng quy định ATTP, không có lô hàng thực phẩm XK nào vi phạm ATTP; kiểm soát sản phẩm nhập khẩu… góp phần đảm bảo ATTP trong nước và xuất khẩu; củng cố niềm tin của người tiêu dùng trong nước. </w:t>
      </w:r>
    </w:p>
    <w:p>
      <w:pPr>
        <w:pStyle w:val="Normal"/>
        <w:widowControl w:val="false"/>
        <w:spacing w:before="120" w:after="0"/>
        <w:ind w:firstLine="720"/>
        <w:jc w:val="both"/>
        <w:rPr>
          <w:spacing w:val="-4"/>
          <w:sz w:val="28"/>
          <w:szCs w:val="28"/>
          <w:lang w:val="nb-NO"/>
        </w:rPr>
      </w:pPr>
      <w:r>
        <w:rPr>
          <w:spacing w:val="-4"/>
          <w:sz w:val="28"/>
          <w:szCs w:val="28"/>
          <w:lang w:val="nb-NO"/>
        </w:rPr>
        <w:t>- Phát triển, nhân rộng các hình thức tổ chức sản xuất có hiệu quả; số lượng doanh nghiệp, hợp tác xã nông nghiệp gia tăng; nhiều trang trại, hộ kinh doanh chuyển đổi thành lập doanh nghiệp mới có quy mô và hiệu quả cao hơn.</w:t>
      </w:r>
    </w:p>
    <w:p>
      <w:pPr>
        <w:pStyle w:val="Normal"/>
        <w:widowControl w:val="false"/>
        <w:spacing w:before="120" w:after="0"/>
        <w:ind w:firstLine="720"/>
        <w:jc w:val="both"/>
        <w:rPr>
          <w:bCs/>
          <w:sz w:val="28"/>
          <w:szCs w:val="28"/>
          <w:lang w:val="nb-NO"/>
        </w:rPr>
      </w:pPr>
      <w:r>
        <w:rPr>
          <w:spacing w:val="-4"/>
          <w:sz w:val="28"/>
          <w:szCs w:val="28"/>
          <w:lang w:val="nb-NO"/>
        </w:rPr>
        <w:t xml:space="preserve">- </w:t>
      </w:r>
      <w:r>
        <w:rPr>
          <w:bCs/>
          <w:spacing w:val="-4"/>
          <w:sz w:val="28"/>
          <w:szCs w:val="28"/>
          <w:lang w:val="nb-NO"/>
        </w:rPr>
        <w:t>T</w:t>
      </w:r>
      <w:r>
        <w:rPr>
          <w:bCs/>
          <w:spacing w:val="-4"/>
          <w:sz w:val="28"/>
          <w:szCs w:val="28"/>
          <w:lang w:val="vi-VN"/>
        </w:rPr>
        <w:t>hiết lập và cấp mã số vùng trồng, cơ sở đóng gói đã đạt được nhiều kết quả tích cực, góp phần nâng cao uy tín của nông sản Việt Nam trên thị trường quốc tế và tăng kim ngạch xuất khẩu; đồng thời cũng góp phần định hướng người nông dân thực hành sản xuất chuyên nghiệp hơn, sản xuất theo tiêu chuẩn và thị hiếu của thị trường</w:t>
      </w:r>
      <w:r>
        <w:rPr>
          <w:bCs/>
          <w:spacing w:val="-4"/>
          <w:sz w:val="28"/>
          <w:szCs w:val="28"/>
          <w:lang w:val="nb-NO"/>
        </w:rPr>
        <w:t>.</w:t>
      </w:r>
    </w:p>
    <w:p>
      <w:pPr>
        <w:pStyle w:val="Normal"/>
        <w:widowControl w:val="false"/>
        <w:spacing w:before="120" w:after="0"/>
        <w:ind w:firstLine="720"/>
        <w:jc w:val="both"/>
        <w:rPr>
          <w:bCs/>
          <w:sz w:val="28"/>
          <w:szCs w:val="28"/>
          <w:lang w:val="nb-NO"/>
        </w:rPr>
      </w:pPr>
      <w:r>
        <w:rPr>
          <w:bCs/>
          <w:sz w:val="28"/>
          <w:szCs w:val="28"/>
          <w:lang w:val="nb-NO"/>
        </w:rPr>
        <w:t xml:space="preserve">- Đang có chuyển biến tích cực về chất lượng, hiệu quả hoạt động của các HTX nông nghiệp, tăng quy mô thành viên qua xu thế liên kết, sáp nhập các HTX; ứng dụng công nghệ trong sản xuất kinh doanh. Nghiên cứu, xây dựng và tham mưu TTgCP ban hành cơ chế, chính sách, đề án, chương trình để thúc đẩy phát triển HTX, vùng nguyên liệu, hệ thống logistic… tạo môi trường thuận lợi để HTX hoạt động có hiệu quả, thích ứng với biến động thị trường; nghiên cứu </w:t>
      </w:r>
      <w:r>
        <w:rPr>
          <w:sz w:val="28"/>
          <w:szCs w:val="28"/>
          <w:lang w:val="nb-NO"/>
        </w:rPr>
        <w:t>các giải pháp để giảm chi phí, nguyên liệu vật tư đầu vào cho sản xuất nông nghiệp nhằm thúc đẩy chuyển đổi sang tư duy phát triển kinh tế nông nghiệp.</w:t>
      </w:r>
    </w:p>
    <w:p>
      <w:pPr>
        <w:pStyle w:val="Normal"/>
        <w:widowControl w:val="false"/>
        <w:spacing w:before="120" w:after="0"/>
        <w:ind w:firstLine="720"/>
        <w:jc w:val="both"/>
        <w:rPr/>
      </w:pPr>
      <w:r>
        <w:rPr>
          <w:bCs/>
          <w:sz w:val="28"/>
          <w:szCs w:val="28"/>
          <w:lang w:val="nb-NO"/>
        </w:rPr>
        <w:t>- Số lượng xã đạt chuẩn NTM, NTM kiểu mẫu, NTM nâng cao, huyện đạt chuẩn tăng đều theo các tháng. Tăng nhanh số lượng sản phẩm OCOP tạo điều kiện giúp doanh nghiệp quảng bá, tiêu thụ sản phẩm; đồng thời, người tiêu dùng trong nước dễ dàng tiếp cận thông tin và tiêu dùng những sản phẩm nội địa chất lượng cao. Phát triển các mô hình du lịch nông nghiệp, nông thôn đa giá trị.</w:t>
      </w:r>
    </w:p>
    <w:p>
      <w:pPr>
        <w:pStyle w:val="Normal"/>
        <w:widowControl w:val="false"/>
        <w:spacing w:before="120" w:after="0"/>
        <w:ind w:firstLine="720"/>
        <w:jc w:val="both"/>
        <w:rPr>
          <w:b/>
          <w:b/>
          <w:bCs/>
          <w:sz w:val="26"/>
          <w:szCs w:val="28"/>
          <w:lang w:val="nb-NO"/>
        </w:rPr>
      </w:pPr>
      <w:r>
        <w:rPr>
          <w:b/>
          <w:bCs/>
          <w:sz w:val="26"/>
          <w:szCs w:val="28"/>
          <w:lang w:val="nb-NO"/>
        </w:rPr>
        <w:t>III. ĐÁNH GIÁ CHUNG</w:t>
      </w:r>
    </w:p>
    <w:p>
      <w:pPr>
        <w:pStyle w:val="Normal"/>
        <w:widowControl w:val="false"/>
        <w:spacing w:before="120" w:after="0"/>
        <w:ind w:firstLine="720"/>
        <w:jc w:val="both"/>
        <w:rPr>
          <w:b/>
          <w:b/>
          <w:bCs/>
          <w:sz w:val="28"/>
          <w:szCs w:val="28"/>
          <w:lang w:val="nb-NO"/>
        </w:rPr>
      </w:pPr>
      <w:r>
        <w:rPr>
          <w:b/>
          <w:bCs/>
          <w:sz w:val="28"/>
          <w:szCs w:val="28"/>
          <w:lang w:val="nb-NO"/>
        </w:rPr>
        <w:t>1. Những mặt được, ưu điểm</w:t>
      </w:r>
    </w:p>
    <w:p>
      <w:pPr>
        <w:pStyle w:val="Normal"/>
        <w:widowControl w:val="false"/>
        <w:spacing w:before="120" w:after="0"/>
        <w:ind w:firstLine="720"/>
        <w:jc w:val="both"/>
        <w:rPr/>
      </w:pPr>
      <w:r>
        <w:rPr>
          <w:sz w:val="28"/>
          <w:szCs w:val="28"/>
          <w:lang w:val="nb-NO"/>
        </w:rPr>
        <w:t>- Mặc</w:t>
      </w:r>
      <w:r>
        <w:rPr>
          <w:sz w:val="28"/>
          <w:szCs w:val="28"/>
          <w:lang w:val="vi-VN"/>
        </w:rPr>
        <w:t xml:space="preserve"> dù, </w:t>
      </w:r>
      <w:r>
        <w:rPr>
          <w:sz w:val="28"/>
          <w:szCs w:val="28"/>
          <w:lang w:val="nb-NO"/>
        </w:rPr>
        <w:t xml:space="preserve">tiếp tục </w:t>
      </w:r>
      <w:r>
        <w:rPr>
          <w:sz w:val="28"/>
          <w:szCs w:val="28"/>
          <w:lang w:val="vi-VN"/>
        </w:rPr>
        <w:t>gặp nhiều khó khăn</w:t>
      </w:r>
      <w:r>
        <w:rPr>
          <w:sz w:val="28"/>
          <w:szCs w:val="28"/>
          <w:lang w:val="nb-NO"/>
        </w:rPr>
        <w:t>, nhất là</w:t>
      </w:r>
      <w:r>
        <w:rPr>
          <w:sz w:val="28"/>
          <w:szCs w:val="28"/>
          <w:lang w:val="vi-VN"/>
        </w:rPr>
        <w:t xml:space="preserve"> </w:t>
      </w:r>
      <w:r>
        <w:rPr>
          <w:sz w:val="28"/>
          <w:szCs w:val="28"/>
          <w:lang w:val="nb-NO"/>
        </w:rPr>
        <w:t xml:space="preserve">do ảnh hưởng hậu dịch Covid-19 và xung đột quân sự Nga - Ukraine đang diễn ra; </w:t>
      </w:r>
      <w:r>
        <w:rPr>
          <w:sz w:val="28"/>
          <w:szCs w:val="28"/>
          <w:lang w:val="vi-VN"/>
        </w:rPr>
        <w:t xml:space="preserve">nhưng </w:t>
      </w:r>
      <w:r>
        <w:rPr>
          <w:sz w:val="28"/>
          <w:szCs w:val="28"/>
          <w:lang w:val="nb-NO"/>
        </w:rPr>
        <w:t xml:space="preserve">toàn Ngành đã chủ động, tích cực, sáng tạo trong công tác tham mưu cho Chính phủ, Thủ tướng Chính phủ, phối hợp với các Bộ, ngành, địa phương quyết liệt thực hiện đồng bộ các nhiệm vụ, giải pháp tháo gỡ khó khăn để đạt </w:t>
      </w:r>
      <w:r>
        <w:rPr>
          <w:b/>
          <w:i/>
          <w:sz w:val="28"/>
          <w:szCs w:val="28"/>
          <w:lang w:val="nb-NO"/>
        </w:rPr>
        <w:t>“Mục tiêu kép”</w:t>
      </w:r>
      <w:r>
        <w:rPr>
          <w:sz w:val="28"/>
          <w:szCs w:val="28"/>
          <w:lang w:val="nb-NO"/>
        </w:rPr>
        <w:t xml:space="preserve">: (1) Duy trì tăng trưởng </w:t>
      </w:r>
      <w:r>
        <w:rPr>
          <w:sz w:val="28"/>
          <w:szCs w:val="28"/>
          <w:lang w:val="vi-VN"/>
        </w:rPr>
        <w:t xml:space="preserve">trên tất cả các </w:t>
      </w:r>
      <w:r>
        <w:rPr>
          <w:sz w:val="28"/>
          <w:szCs w:val="28"/>
          <w:lang w:val="nb-NO"/>
        </w:rPr>
        <w:t xml:space="preserve">tiểu ngành, </w:t>
      </w:r>
      <w:r>
        <w:rPr>
          <w:sz w:val="28"/>
          <w:szCs w:val="28"/>
          <w:lang w:val="vi-VN"/>
        </w:rPr>
        <w:t>lĩnh vực</w:t>
      </w:r>
      <w:r>
        <w:rPr>
          <w:sz w:val="28"/>
          <w:szCs w:val="28"/>
          <w:lang w:val="nb-NO"/>
        </w:rPr>
        <w:t>, góp phần ổn định kinh tế vĩ mô</w:t>
      </w:r>
      <w:r>
        <w:rPr>
          <w:sz w:val="28"/>
          <w:szCs w:val="28"/>
          <w:lang w:val="vi-VN"/>
        </w:rPr>
        <w:t xml:space="preserve">; </w:t>
      </w:r>
      <w:r>
        <w:rPr>
          <w:sz w:val="28"/>
          <w:szCs w:val="28"/>
          <w:lang w:val="nb-NO"/>
        </w:rPr>
        <w:t>(2) B</w:t>
      </w:r>
      <w:r>
        <w:rPr>
          <w:sz w:val="28"/>
          <w:szCs w:val="28"/>
          <w:lang w:val="vi-VN"/>
        </w:rPr>
        <w:t xml:space="preserve">ảo </w:t>
      </w:r>
      <w:r>
        <w:rPr>
          <w:sz w:val="28"/>
          <w:szCs w:val="28"/>
          <w:lang w:val="nb-NO"/>
        </w:rPr>
        <w:t xml:space="preserve">đảm </w:t>
      </w:r>
      <w:r>
        <w:rPr>
          <w:sz w:val="28"/>
          <w:szCs w:val="28"/>
          <w:lang w:val="vi-VN"/>
        </w:rPr>
        <w:t xml:space="preserve">an ninh lương thực, thực phẩm, góp phần bảo đảm các cân đối lớn của nền kinh tế; (3) </w:t>
      </w:r>
      <w:r>
        <w:rPr>
          <w:sz w:val="28"/>
          <w:szCs w:val="28"/>
          <w:lang w:val="nb-NO"/>
        </w:rPr>
        <w:t>G</w:t>
      </w:r>
      <w:r>
        <w:rPr>
          <w:sz w:val="28"/>
          <w:szCs w:val="28"/>
          <w:lang w:val="vi-VN"/>
        </w:rPr>
        <w:t>iá trị xuất khẩu NLTS đạt ở mức cao, thặng dư thương mại tăng</w:t>
      </w:r>
      <w:r>
        <w:rPr>
          <w:sz w:val="28"/>
          <w:szCs w:val="28"/>
          <w:lang w:val="nb-NO"/>
        </w:rPr>
        <w:t xml:space="preserve"> cao</w:t>
      </w:r>
      <w:r>
        <w:rPr>
          <w:sz w:val="28"/>
          <w:szCs w:val="28"/>
          <w:lang w:val="vi-VN"/>
        </w:rPr>
        <w:t xml:space="preserve">; (4) Số xã, huyện đạt chuẩn nông thôn mới tăng, sản phẩm đạt chuẩn OCOP tăng mạnh; (5) Công tác xây dựng thể, nhất là các chương trình, đề án quan trọng mà Bộ chủ trì, tham gia xây dựng đã được cấp có thẩm quyền ban hành làm cơ sở pháp lý, có chế chính sách thúc đẩy phát triển </w:t>
      </w:r>
      <w:r>
        <w:rPr>
          <w:sz w:val="28"/>
          <w:szCs w:val="28"/>
          <w:lang w:val="nb-NO"/>
        </w:rPr>
        <w:t>Ng</w:t>
      </w:r>
      <w:r>
        <w:rPr>
          <w:sz w:val="28"/>
          <w:szCs w:val="28"/>
          <w:lang w:val="vi-VN"/>
        </w:rPr>
        <w:t>ành.</w:t>
      </w:r>
    </w:p>
    <w:p>
      <w:pPr>
        <w:pStyle w:val="Normal"/>
        <w:widowControl w:val="false"/>
        <w:spacing w:before="120" w:after="0"/>
        <w:ind w:firstLine="720"/>
        <w:jc w:val="both"/>
        <w:rPr/>
      </w:pPr>
      <w:r>
        <w:rPr>
          <w:sz w:val="28"/>
          <w:szCs w:val="28"/>
          <w:lang w:val="vi-VN"/>
        </w:rPr>
        <w:t xml:space="preserve">- Nghị quyết </w:t>
      </w:r>
      <w:r>
        <w:rPr>
          <w:sz w:val="28"/>
          <w:szCs w:val="28"/>
          <w:lang w:val="da-DK"/>
        </w:rPr>
        <w:t xml:space="preserve">số </w:t>
      </w:r>
      <w:r>
        <w:rPr>
          <w:sz w:val="28"/>
          <w:szCs w:val="28"/>
          <w:lang w:val="vi-VN"/>
        </w:rPr>
        <w:t>19/NQ-TW</w:t>
      </w:r>
      <w:r>
        <w:rPr>
          <w:sz w:val="28"/>
          <w:szCs w:val="28"/>
          <w:lang w:val="da-DK"/>
        </w:rPr>
        <w:t xml:space="preserve"> ngày 16/6/2022</w:t>
      </w:r>
      <w:r>
        <w:rPr>
          <w:sz w:val="28"/>
          <w:szCs w:val="28"/>
          <w:lang w:val="vi-VN"/>
        </w:rPr>
        <w:t xml:space="preserve"> về </w:t>
      </w:r>
      <w:r>
        <w:rPr>
          <w:sz w:val="28"/>
          <w:szCs w:val="28"/>
          <w:lang w:val="de-DE"/>
        </w:rPr>
        <w:t xml:space="preserve">NN, ND, NT </w:t>
      </w:r>
      <w:r>
        <w:rPr>
          <w:sz w:val="28"/>
          <w:szCs w:val="28"/>
          <w:lang w:val="da-DK"/>
        </w:rPr>
        <w:t>đến năm 2030, tầm nhìn đến năm 2045</w:t>
      </w:r>
      <w:r>
        <w:rPr>
          <w:sz w:val="28"/>
          <w:szCs w:val="28"/>
          <w:lang w:val="vi-VN"/>
        </w:rPr>
        <w:t xml:space="preserve"> và </w:t>
      </w:r>
      <w:r>
        <w:rPr>
          <w:sz w:val="28"/>
          <w:szCs w:val="28"/>
          <w:lang w:val="sv-SE"/>
        </w:rPr>
        <w:t xml:space="preserve">Chiến lược phát triển NN và NT bền vững giai đoạn 2021 - 2030, tầm nhìn đến năm 2050 được cả hệ thống chính trị và xã hội quan tâm; đây là cơ hội, điều kiện, nền tảng để thực hiện chuyển đổi nông nghiệp bền vững, trong đó chuyển đổi </w:t>
      </w:r>
      <w:r>
        <w:rPr>
          <w:bCs/>
          <w:sz w:val="28"/>
          <w:szCs w:val="28"/>
          <w:lang w:val="vi-VN"/>
        </w:rPr>
        <w:t>tư duy từ sản xuất nông nghiệp sang kinh tế nông nghiệp là tiên quyết. Thực tế có nhiều mô hình hay, việc làm sáng tạo trong đổi mới từ suy nghĩ đến cách làm, hành động đem lại giá trị cao, triển vọng nhân rộng, phát triển; nhất là những điểm mới về phát triển HTX, trang trại thời gian vừa qua (như Kế hoạch Coop.66 hợp tác xã; Đề án phát triển vùng nguyên liệu phục vụ chế biến, tiêu thụ NLTS…).</w:t>
      </w:r>
    </w:p>
    <w:p>
      <w:pPr>
        <w:pStyle w:val="Normal"/>
        <w:widowControl w:val="false"/>
        <w:spacing w:before="120" w:after="0"/>
        <w:ind w:firstLine="720"/>
        <w:jc w:val="both"/>
        <w:rPr>
          <w:b/>
          <w:b/>
          <w:bCs/>
          <w:sz w:val="28"/>
          <w:szCs w:val="28"/>
          <w:lang w:val="vi-VN"/>
        </w:rPr>
      </w:pPr>
      <w:r>
        <w:rPr>
          <w:b/>
          <w:bCs/>
          <w:sz w:val="28"/>
          <w:szCs w:val="28"/>
          <w:lang w:val="vi-VN"/>
        </w:rPr>
        <w:t>2. Những tồn tại, hạn chế</w:t>
      </w:r>
    </w:p>
    <w:p>
      <w:pPr>
        <w:pStyle w:val="Normal"/>
        <w:widowControl w:val="false"/>
        <w:spacing w:before="120" w:after="0"/>
        <w:ind w:firstLine="720"/>
        <w:jc w:val="both"/>
        <w:rPr/>
      </w:pPr>
      <w:r>
        <w:rPr>
          <w:bCs/>
          <w:sz w:val="28"/>
          <w:szCs w:val="28"/>
          <w:lang w:val="vi-VN"/>
        </w:rPr>
        <w:t>a) Phát triển sản xuất kinh doanh và thực hiện các nhiệm vụ trọng tâm</w:t>
      </w:r>
    </w:p>
    <w:p>
      <w:pPr>
        <w:pStyle w:val="Normal"/>
        <w:widowControl w:val="false"/>
        <w:spacing w:before="120" w:after="0"/>
        <w:ind w:firstLine="720"/>
        <w:jc w:val="both"/>
        <w:rPr/>
      </w:pPr>
      <w:r>
        <w:rPr>
          <w:sz w:val="28"/>
          <w:szCs w:val="28"/>
          <w:lang w:val="nb-NO"/>
        </w:rPr>
        <w:t>- Những khó khăn khi nguyên</w:t>
      </w:r>
      <w:r>
        <w:rPr>
          <w:sz w:val="28"/>
          <w:szCs w:val="28"/>
          <w:lang w:val="vi-VN"/>
        </w:rPr>
        <w:t xml:space="preserve"> liệu vật tư đầu vào phụ thuộc vào nhập khẩu, xăng dầu có hiện tượng khan hiếm cục bộ và liên tục tăng giá ở thị trường trong nước… đã được giải quyết, nhưng cần có thời gian để xử lý triệt để</w:t>
      </w:r>
      <w:r>
        <w:rPr>
          <w:sz w:val="28"/>
          <w:szCs w:val="28"/>
          <w:lang w:val="nb-NO"/>
        </w:rPr>
        <w:t>;</w:t>
      </w:r>
      <w:r>
        <w:rPr>
          <w:sz w:val="28"/>
          <w:szCs w:val="28"/>
          <w:lang w:val="vi-VN"/>
        </w:rPr>
        <w:t xml:space="preserve"> trong khi giá một số nông sản thấp </w:t>
      </w:r>
      <w:r>
        <w:rPr>
          <w:sz w:val="28"/>
          <w:szCs w:val="28"/>
          <w:lang w:val="nb-NO"/>
        </w:rPr>
        <w:t>đã</w:t>
      </w:r>
      <w:r>
        <w:rPr>
          <w:sz w:val="28"/>
          <w:szCs w:val="28"/>
          <w:lang w:val="vi-VN"/>
        </w:rPr>
        <w:t xml:space="preserve"> </w:t>
      </w:r>
      <w:r>
        <w:rPr>
          <w:sz w:val="28"/>
          <w:szCs w:val="28"/>
          <w:lang w:val="nb-NO"/>
        </w:rPr>
        <w:t>ảnh hưởng đến thu nhập, đời sống của người sản xuất.</w:t>
      </w:r>
    </w:p>
    <w:p>
      <w:pPr>
        <w:pStyle w:val="Normal"/>
        <w:widowControl w:val="false"/>
        <w:spacing w:before="120" w:after="0"/>
        <w:ind w:firstLine="720"/>
        <w:jc w:val="both"/>
        <w:rPr>
          <w:sz w:val="28"/>
          <w:szCs w:val="28"/>
          <w:lang w:val="vi-VN"/>
        </w:rPr>
      </w:pPr>
      <w:r>
        <w:rPr>
          <w:sz w:val="28"/>
          <w:szCs w:val="28"/>
          <w:lang w:val="nb-NO"/>
        </w:rPr>
        <w:t xml:space="preserve">- Hoạt động xúc tiến thương mại, đàm phán mở cửa thị trường được đẩy mạnh, nhưng thị trường các nước phát triển luôn có những thay đổi, đòi hỏi cao về chất lượng </w:t>
      </w:r>
      <w:r>
        <w:rPr>
          <w:bCs/>
          <w:spacing w:val="-4"/>
          <w:sz w:val="28"/>
          <w:szCs w:val="28"/>
          <w:lang w:val="vi-VN"/>
        </w:rPr>
        <w:t xml:space="preserve">trong khi </w:t>
      </w:r>
      <w:r>
        <w:rPr>
          <w:bCs/>
          <w:spacing w:val="-4"/>
          <w:sz w:val="28"/>
          <w:szCs w:val="28"/>
          <w:lang w:val="nb-NO"/>
        </w:rPr>
        <w:t xml:space="preserve">để </w:t>
      </w:r>
      <w:r>
        <w:rPr>
          <w:bCs/>
          <w:spacing w:val="-4"/>
          <w:sz w:val="28"/>
          <w:szCs w:val="28"/>
          <w:lang w:val="vi-VN"/>
        </w:rPr>
        <w:t xml:space="preserve">người sản xuất </w:t>
      </w:r>
      <w:r>
        <w:rPr>
          <w:bCs/>
          <w:spacing w:val="-4"/>
          <w:sz w:val="28"/>
          <w:szCs w:val="28"/>
          <w:lang w:val="nb-NO"/>
        </w:rPr>
        <w:t>hiểu</w:t>
      </w:r>
      <w:r>
        <w:rPr>
          <w:bCs/>
          <w:spacing w:val="-4"/>
          <w:sz w:val="28"/>
          <w:szCs w:val="28"/>
          <w:lang w:val="vi-VN"/>
        </w:rPr>
        <w:t xml:space="preserve"> </w:t>
      </w:r>
      <w:r>
        <w:rPr>
          <w:bCs/>
          <w:spacing w:val="-4"/>
          <w:sz w:val="28"/>
          <w:szCs w:val="28"/>
          <w:lang w:val="nb-NO"/>
        </w:rPr>
        <w:t xml:space="preserve">và thay đổi </w:t>
      </w:r>
      <w:r>
        <w:rPr>
          <w:bCs/>
          <w:spacing w:val="-4"/>
          <w:sz w:val="28"/>
          <w:szCs w:val="28"/>
          <w:lang w:val="vi-VN"/>
        </w:rPr>
        <w:t xml:space="preserve">sản xuất theo </w:t>
      </w:r>
      <w:r>
        <w:rPr>
          <w:bCs/>
          <w:spacing w:val="-4"/>
          <w:sz w:val="28"/>
          <w:szCs w:val="28"/>
          <w:lang w:val="nb-NO"/>
        </w:rPr>
        <w:t xml:space="preserve">phương thức mới đáp ứng </w:t>
      </w:r>
      <w:r>
        <w:rPr>
          <w:bCs/>
          <w:spacing w:val="-4"/>
          <w:sz w:val="28"/>
          <w:szCs w:val="28"/>
          <w:lang w:val="vi-VN"/>
        </w:rPr>
        <w:t>yêu cầu về của thị trường xuất khẩu</w:t>
      </w:r>
      <w:r>
        <w:rPr>
          <w:bCs/>
          <w:spacing w:val="-4"/>
          <w:sz w:val="28"/>
          <w:szCs w:val="28"/>
          <w:lang w:val="nb-NO"/>
        </w:rPr>
        <w:t xml:space="preserve"> cần nhiều thời gian hơn</w:t>
      </w:r>
      <w:r>
        <w:rPr>
          <w:bCs/>
          <w:spacing w:val="-4"/>
          <w:sz w:val="28"/>
          <w:szCs w:val="28"/>
          <w:lang w:val="vi-VN"/>
        </w:rPr>
        <w:t>.</w:t>
      </w:r>
    </w:p>
    <w:p>
      <w:pPr>
        <w:pStyle w:val="Normal"/>
        <w:widowControl w:val="false"/>
        <w:spacing w:before="120" w:after="0"/>
        <w:ind w:firstLine="720"/>
        <w:jc w:val="both"/>
        <w:rPr/>
      </w:pPr>
      <w:r>
        <w:rPr>
          <w:sz w:val="28"/>
          <w:szCs w:val="28"/>
          <w:lang w:val="vi-VN"/>
        </w:rPr>
        <w:t>- Giải ngân vốn đầu tư công đạt thấp hơn nhiều so với cùng kỳ, cả về tỷ lệ và giá trị tuyệt đối. Bên cạnh đó, giá vật tư xây dựng tăng ở mức cao những tháng đầu năm đã ảnh hưởng đến tiến độ xây dựng của các dự án; một số vướng mắc lớn chậm được giải quyết.</w:t>
      </w:r>
    </w:p>
    <w:p>
      <w:pPr>
        <w:pStyle w:val="Normal"/>
        <w:widowControl w:val="false"/>
        <w:spacing w:before="120" w:after="0"/>
        <w:ind w:firstLine="720"/>
        <w:jc w:val="both"/>
        <w:rPr/>
      </w:pPr>
      <w:r>
        <w:rPr>
          <w:bCs/>
          <w:sz w:val="28"/>
          <w:szCs w:val="28"/>
          <w:lang w:val="vi-VN"/>
        </w:rPr>
        <w:t>b) Về chuyển đổi tư duy từ sản xuất nông nghiệp sang kinh tế nông nghiệp</w:t>
      </w:r>
    </w:p>
    <w:p>
      <w:pPr>
        <w:pStyle w:val="Normal"/>
        <w:widowControl w:val="false"/>
        <w:spacing w:before="120" w:after="0"/>
        <w:ind w:firstLine="720"/>
        <w:jc w:val="both"/>
        <w:rPr>
          <w:bCs/>
          <w:sz w:val="28"/>
          <w:szCs w:val="28"/>
          <w:lang w:val="vi-VN"/>
        </w:rPr>
      </w:pPr>
      <w:r>
        <w:rPr>
          <w:sz w:val="28"/>
          <w:szCs w:val="28"/>
          <w:lang w:val="vi-VN"/>
        </w:rPr>
        <w:t>- Công tác truyền thông và nâng cao nhận thức về vị trí, vai trò</w:t>
      </w:r>
      <w:r>
        <w:rPr>
          <w:sz w:val="28"/>
          <w:szCs w:val="28"/>
          <w:lang w:val="af-ZA"/>
        </w:rPr>
        <w:t xml:space="preserve"> của NN, ND, NT (bao gồm cả chuyển đổi sang tư duy kinh tế; kể cả của cán bộ lãnh đạo quản lý của Ngành) được quan tâm đẩy mạnh nhưng </w:t>
      </w:r>
      <w:r>
        <w:rPr>
          <w:sz w:val="28"/>
          <w:szCs w:val="28"/>
          <w:lang w:val="vi-VN"/>
        </w:rPr>
        <w:t>chưa thật đầy đủ</w:t>
      </w:r>
      <w:r>
        <w:rPr>
          <w:sz w:val="28"/>
          <w:szCs w:val="28"/>
          <w:lang w:val="af-ZA"/>
        </w:rPr>
        <w:t>,</w:t>
      </w:r>
      <w:r>
        <w:rPr>
          <w:sz w:val="28"/>
          <w:szCs w:val="28"/>
          <w:lang w:val="vi-VN"/>
        </w:rPr>
        <w:t xml:space="preserve"> đúng mức; có lúc, có nơi còn thiếu chủ động, </w:t>
      </w:r>
      <w:r>
        <w:rPr>
          <w:sz w:val="28"/>
          <w:szCs w:val="28"/>
          <w:lang w:val="da-DK"/>
        </w:rPr>
        <w:t>quyết liệt</w:t>
      </w:r>
      <w:r>
        <w:rPr>
          <w:sz w:val="28"/>
          <w:szCs w:val="28"/>
          <w:lang w:val="vi-VN"/>
        </w:rPr>
        <w:t xml:space="preserve"> chỉ đạo triển khai </w:t>
      </w:r>
      <w:r>
        <w:rPr>
          <w:sz w:val="28"/>
          <w:szCs w:val="28"/>
          <w:lang w:val="da-DK"/>
        </w:rPr>
        <w:t>thực hiện, chưa tổ chức theo dõi, đánh giá thường xuyên, liên tục.</w:t>
      </w:r>
    </w:p>
    <w:p>
      <w:pPr>
        <w:pStyle w:val="Normal"/>
        <w:widowControl w:val="false"/>
        <w:spacing w:before="120" w:after="0"/>
        <w:ind w:firstLine="720"/>
        <w:jc w:val="both"/>
        <w:rPr/>
      </w:pPr>
      <w:r>
        <w:rPr>
          <w:sz w:val="28"/>
          <w:szCs w:val="28"/>
          <w:lang w:val="sv-SE"/>
        </w:rPr>
        <w:t>- Quá trình phát triển vẫn còn nhiều yếu tố thiếu bền vững; chưa đáp ứng được đòi hỏi của nền sản xuất hàng hoá tập trung, quy mô lớn và tiêu chuẩn cao. Chất lượng và khả năng cạnh tranh của một số sản phẩm vẫn chưa cao, thiếu ổn định; trong khi thị trường tiêu thụ đòi hỏi cao về chất lượng và an toàn thực phẩm.</w:t>
      </w:r>
    </w:p>
    <w:p>
      <w:pPr>
        <w:pStyle w:val="NidungA"/>
        <w:widowControl w:val="false"/>
        <w:spacing w:before="120" w:after="0"/>
        <w:ind w:firstLine="720"/>
        <w:jc w:val="both"/>
        <w:rPr>
          <w:rFonts w:ascii="Times New Roman" w:hAnsi="Times New Roman" w:cs="Times New Roman"/>
          <w:color w:val="000000"/>
          <w:sz w:val="28"/>
          <w:szCs w:val="28"/>
          <w:lang w:val="pt-BR"/>
        </w:rPr>
      </w:pPr>
      <w:r>
        <w:rPr>
          <w:rFonts w:cs="Times New Roman" w:ascii="Times New Roman" w:hAnsi="Times New Roman"/>
          <w:color w:val="000000"/>
          <w:spacing w:val="-2"/>
          <w:sz w:val="28"/>
          <w:szCs w:val="28"/>
          <w:lang w:val="it-IT"/>
        </w:rPr>
        <w:t>- Công nghiệp chế biến NLTS, nhất là ở khâu bảo quản và chế biến sâu, công nghiệp phụ trợ chưa phát triển mạnh.</w:t>
      </w:r>
      <w:r>
        <w:rPr>
          <w:rFonts w:cs="Times New Roman" w:ascii="Times New Roman" w:hAnsi="Times New Roman"/>
          <w:color w:val="000000"/>
          <w:sz w:val="28"/>
          <w:szCs w:val="28"/>
          <w:lang w:val="it-IT"/>
        </w:rPr>
        <w:t xml:space="preserve"> </w:t>
      </w:r>
    </w:p>
    <w:p>
      <w:pPr>
        <w:pStyle w:val="Normal"/>
        <w:widowControl w:val="false"/>
        <w:spacing w:before="120" w:after="0"/>
        <w:ind w:firstLine="720"/>
        <w:jc w:val="both"/>
        <w:rPr>
          <w:rFonts w:eastAsia="Arial Unicode MS"/>
          <w:spacing w:val="-2"/>
          <w:sz w:val="28"/>
          <w:szCs w:val="28"/>
          <w:lang w:val="it-IT"/>
        </w:rPr>
      </w:pPr>
      <w:r>
        <w:rPr>
          <w:rFonts w:eastAsia="Arial Unicode MS"/>
          <w:spacing w:val="-2"/>
          <w:sz w:val="28"/>
          <w:szCs w:val="28"/>
          <w:lang w:val="it-IT"/>
        </w:rPr>
        <w:t>- Công tác quản lý chất lượng, vật tư nông nghiệp ở một số địa phương, vào một số thời điểm chưa được kiểm soát, giám sát thực hiện nghiêm túc (như vụ rau VietGap dởm xâm nhập vào một số siêu thị lớn thời gian vừa qua được báo chí nêu). Cần coi trọng hơn và chuyển mạnh sang xây dựng, hoàn thiện hệ thống các quy chuẩn, tiêu chuẩn cho thị trường trong nước thông qua các hiệp hội ngành hàng, siêu thị, hệ thống phân phối.</w:t>
      </w:r>
    </w:p>
    <w:p>
      <w:pPr>
        <w:pStyle w:val="Normal"/>
        <w:widowControl w:val="false"/>
        <w:spacing w:before="120" w:after="0"/>
        <w:ind w:firstLine="720"/>
        <w:jc w:val="both"/>
        <w:rPr>
          <w:sz w:val="28"/>
          <w:szCs w:val="28"/>
          <w:lang w:val="pt-BR"/>
        </w:rPr>
      </w:pPr>
      <w:r>
        <w:rPr>
          <w:sz w:val="28"/>
          <w:szCs w:val="28"/>
          <w:lang w:val="sv-SE"/>
        </w:rPr>
        <w:t xml:space="preserve">- Các hình thức tổ chức và liên kết sản xuất hiệu quả chưa thật sự ổn định. </w:t>
      </w:r>
      <w:r>
        <w:rPr>
          <w:sz w:val="28"/>
          <w:szCs w:val="28"/>
          <w:lang w:val="it-IT"/>
        </w:rPr>
        <w:t>Liên kết theo chuỗi giá trị để thúc đẩy cơ giới hóa, ứng dụng công nghệ cao để</w:t>
      </w:r>
      <w:r>
        <w:rPr>
          <w:sz w:val="28"/>
          <w:szCs w:val="28"/>
          <w:lang w:val="vi-VN"/>
        </w:rPr>
        <w:t xml:space="preserve"> </w:t>
      </w:r>
      <w:r>
        <w:rPr>
          <w:sz w:val="28"/>
          <w:szCs w:val="28"/>
          <w:lang w:val="it-IT"/>
        </w:rPr>
        <w:t>giảm chi phí trung gian, nâng cao giá trị gia tăng chưa phổ biến. K</w:t>
      </w:r>
      <w:r>
        <w:rPr>
          <w:sz w:val="28"/>
          <w:szCs w:val="28"/>
          <w:lang w:val="pt-BR"/>
        </w:rPr>
        <w:t xml:space="preserve">ết nối liên vùng, liên ngành ở nhiều địa phương, nhiều ngành hàng còn rời rạc. </w:t>
      </w:r>
    </w:p>
    <w:p>
      <w:pPr>
        <w:pStyle w:val="Normal"/>
        <w:widowControl w:val="false"/>
        <w:spacing w:before="120" w:after="0"/>
        <w:jc w:val="center"/>
        <w:rPr>
          <w:b/>
          <w:b/>
          <w:bCs/>
          <w:sz w:val="28"/>
          <w:szCs w:val="28"/>
          <w:lang w:val="pt-BR"/>
        </w:rPr>
      </w:pPr>
      <w:r>
        <w:rPr>
          <w:b/>
          <w:bCs/>
          <w:sz w:val="28"/>
          <w:szCs w:val="28"/>
          <w:lang w:val="pt-BR"/>
        </w:rPr>
        <w:t>Phần II</w:t>
      </w:r>
    </w:p>
    <w:p>
      <w:pPr>
        <w:pStyle w:val="Normal"/>
        <w:widowControl w:val="false"/>
        <w:spacing w:before="120" w:after="0"/>
        <w:jc w:val="center"/>
        <w:rPr>
          <w:b/>
          <w:b/>
          <w:sz w:val="28"/>
          <w:szCs w:val="28"/>
          <w:lang w:val="sv-SE"/>
        </w:rPr>
      </w:pPr>
      <w:r>
        <w:rPr>
          <w:b/>
          <w:sz w:val="28"/>
          <w:szCs w:val="28"/>
          <w:lang w:val="sv-SE"/>
        </w:rPr>
        <w:t>NHIỆM VỤ TRỌNG TÂM CÔNG TÁC THÁNG 12</w:t>
      </w:r>
    </w:p>
    <w:p>
      <w:pPr>
        <w:pStyle w:val="Normal"/>
        <w:widowControl w:val="false"/>
        <w:spacing w:before="120" w:after="0"/>
        <w:ind w:firstLine="720"/>
        <w:jc w:val="both"/>
        <w:rPr>
          <w:b/>
          <w:b/>
          <w:bCs/>
          <w:sz w:val="28"/>
          <w:szCs w:val="28"/>
          <w:lang w:val="sv-SE"/>
        </w:rPr>
      </w:pPr>
      <w:r>
        <w:rPr>
          <w:b/>
          <w:bCs/>
          <w:sz w:val="28"/>
          <w:szCs w:val="28"/>
          <w:lang w:val="sv-SE"/>
        </w:rPr>
        <w:t>I. BỐI CẢNH</w:t>
      </w:r>
    </w:p>
    <w:p>
      <w:pPr>
        <w:pStyle w:val="Normal"/>
        <w:widowControl w:val="false"/>
        <w:shd w:fill="FFFFFF" w:val="clear"/>
        <w:spacing w:before="120" w:after="0"/>
        <w:ind w:firstLine="709"/>
        <w:jc w:val="both"/>
        <w:rPr>
          <w:rFonts w:eastAsia="Batang;바탕"/>
          <w:sz w:val="28"/>
          <w:szCs w:val="28"/>
          <w:lang w:val="es-ES" w:eastAsia="ko-KR"/>
        </w:rPr>
      </w:pPr>
      <w:r>
        <w:rPr>
          <w:sz w:val="28"/>
          <w:szCs w:val="28"/>
          <w:shd w:fill="FFFFFF" w:val="clear"/>
          <w:lang w:val="sv-SE"/>
        </w:rPr>
        <w:t xml:space="preserve">Thị trường thế giới tiếp tục có nhiều biến động và chịu ảnh hưởng của các yếu tố cạnh tranh đại kinh tế, địa chính trị, xung đột quân sự, nhất là nhóm hàng nhiên liệu, năng lượng sẽ tác động đến thị trường hàng hóa trong nước, đẩy chi phí vận chuyển tăng mạnh. Một số quốc gia thắt chặt tín dụng do lạm phát; ban hành những chính sách mới nhằm bảo đảm ANLT quốc gia; </w:t>
      </w:r>
      <w:r>
        <w:rPr>
          <w:bCs/>
          <w:sz w:val="28"/>
          <w:szCs w:val="28"/>
          <w:lang w:val="vi-VN"/>
        </w:rPr>
        <w:t>Trung Quốc gia tăng kiểm soát hàng hóa;</w:t>
      </w:r>
      <w:r>
        <w:rPr>
          <w:bCs/>
          <w:sz w:val="28"/>
          <w:szCs w:val="28"/>
          <w:lang w:val="sv-SE"/>
        </w:rPr>
        <w:t xml:space="preserve"> n</w:t>
      </w:r>
      <w:r>
        <w:rPr>
          <w:bCs/>
          <w:sz w:val="28"/>
          <w:szCs w:val="28"/>
          <w:lang w:val="nb-NO"/>
        </w:rPr>
        <w:t>hững cáo buộc gian lận xuất xứ, nguồn gốc nguyên liệu… cũng đang trở thành những thách thức đối với xuất khẩu nông sản nói chung, nhất là đối với gỗ và đồ gỗ Việt Nam.</w:t>
      </w:r>
    </w:p>
    <w:p>
      <w:pPr>
        <w:pStyle w:val="Normal"/>
        <w:widowControl w:val="false"/>
        <w:shd w:fill="FFFFFF" w:val="clear"/>
        <w:spacing w:before="120" w:after="0"/>
        <w:ind w:firstLine="709"/>
        <w:jc w:val="both"/>
        <w:rPr>
          <w:sz w:val="28"/>
          <w:szCs w:val="28"/>
          <w:shd w:fill="FFFFFF" w:val="clear"/>
          <w:lang w:val="es-ES"/>
        </w:rPr>
      </w:pPr>
      <w:r>
        <w:rPr>
          <w:rFonts w:eastAsia="Batang;바탕"/>
          <w:sz w:val="28"/>
          <w:szCs w:val="28"/>
          <w:lang w:val="es-ES" w:eastAsia="ko-KR"/>
        </w:rPr>
        <w:t xml:space="preserve">Thị trường trong nước các mặt hàng rau củ quả có nguồn cung dồi dào, tương đối ổn định. Giá các loại trái cây dự báo tăng nhẹ do nhu cầu tiêu dùng tăng phục vụ các dịp lễ hội cuối năm. </w:t>
      </w:r>
      <w:r>
        <w:rPr>
          <w:sz w:val="28"/>
          <w:szCs w:val="28"/>
          <w:shd w:fill="FFFFFF" w:val="clear"/>
          <w:lang w:val="es-ES"/>
        </w:rPr>
        <w:t xml:space="preserve">Chi phí vật tư đầu vào phục vụ sản xuất dù đã giảm nhưng vẫn ở mức cao. </w:t>
      </w:r>
    </w:p>
    <w:p>
      <w:pPr>
        <w:pStyle w:val="Normal"/>
        <w:widowControl w:val="false"/>
        <w:shd w:fill="FFFFFF" w:val="clear"/>
        <w:tabs>
          <w:tab w:val="clear" w:pos="720"/>
          <w:tab w:val="left" w:pos="5245" w:leader="none"/>
        </w:tabs>
        <w:spacing w:before="120" w:after="0"/>
        <w:ind w:firstLine="709"/>
        <w:jc w:val="both"/>
        <w:rPr>
          <w:sz w:val="28"/>
          <w:szCs w:val="28"/>
          <w:shd w:fill="FFFFFF" w:val="clear"/>
          <w:lang w:val="es-ES"/>
        </w:rPr>
      </w:pPr>
      <w:r>
        <w:rPr>
          <w:rFonts w:eastAsia="Batang;바탕"/>
          <w:sz w:val="28"/>
          <w:szCs w:val="28"/>
          <w:lang w:val="es-ES" w:eastAsia="ko-KR"/>
        </w:rPr>
        <w:t>Thời tiết diễn biến bất thường</w:t>
      </w:r>
      <w:r>
        <w:rPr>
          <w:rStyle w:val="FootnoteCharacters"/>
          <w:rStyle w:val="FootnoteAnchor"/>
          <w:rFonts w:eastAsia="Batang;바탕"/>
          <w:sz w:val="28"/>
          <w:szCs w:val="28"/>
          <w:lang w:val="es-ES" w:eastAsia="ko-KR"/>
        </w:rPr>
        <w:footnoteReference w:id="16"/>
      </w:r>
      <w:r>
        <w:rPr>
          <w:rFonts w:eastAsia="Batang;바탕"/>
          <w:sz w:val="28"/>
          <w:szCs w:val="28"/>
          <w:lang w:val="es-ES" w:eastAsia="ko-KR"/>
        </w:rPr>
        <w:t xml:space="preserve">, dịch bệnh trên cây trồng, vật nuôi còn tiềm ẩn nhiều nguy cơ, bùng phát ảnh hưởng đến sản xuất NLTS; </w:t>
      </w:r>
      <w:r>
        <w:rPr>
          <w:sz w:val="28"/>
          <w:szCs w:val="28"/>
          <w:shd w:fill="FFFFFF" w:val="clear"/>
          <w:lang w:val="es-ES"/>
        </w:rPr>
        <w:t>nguy cơ cháy và phá rừng tại khu vực Tây Nguyên, Tây Bắc và miền Trung còn cao; tình trạng lấn chiếm đất lâm nghiệp để làm nông nghiệp, dự án du lịch...</w:t>
      </w:r>
    </w:p>
    <w:p>
      <w:pPr>
        <w:pStyle w:val="ListParagraph"/>
        <w:widowControl w:val="false"/>
        <w:tabs>
          <w:tab w:val="clear" w:pos="720"/>
          <w:tab w:val="center" w:pos="4919" w:leader="none"/>
        </w:tabs>
        <w:autoSpaceDE w:val="false"/>
        <w:spacing w:lineRule="auto" w:line="240" w:before="120" w:after="120"/>
        <w:ind w:left="0" w:firstLine="709"/>
        <w:contextualSpacing w:val="false"/>
        <w:jc w:val="both"/>
        <w:rPr>
          <w:b/>
          <w:b/>
          <w:szCs w:val="28"/>
          <w:lang w:val="sv-SE"/>
        </w:rPr>
      </w:pPr>
      <w:r>
        <w:rPr>
          <w:b/>
          <w:bCs/>
          <w:szCs w:val="28"/>
          <w:lang w:val="sv-SE"/>
        </w:rPr>
        <w:t xml:space="preserve">II. </w:t>
      </w:r>
      <w:bookmarkStart w:id="14" w:name="_Hlk67906095"/>
      <w:r>
        <w:rPr>
          <w:b/>
          <w:szCs w:val="28"/>
          <w:lang w:val="sv-SE"/>
        </w:rPr>
        <w:t>DỰ KIẾN KẾT QUẢ CẢ NĂM 2022</w:t>
      </w:r>
    </w:p>
    <w:tbl>
      <w:tblPr>
        <w:tblW w:w="9180" w:type="dxa"/>
        <w:jc w:val="left"/>
        <w:tblInd w:w="-5" w:type="dxa"/>
        <w:tblLayout w:type="fixed"/>
        <w:tblCellMar>
          <w:top w:w="0" w:type="dxa"/>
          <w:left w:w="108" w:type="dxa"/>
          <w:bottom w:w="0" w:type="dxa"/>
          <w:right w:w="108" w:type="dxa"/>
        </w:tblCellMar>
      </w:tblPr>
      <w:tblGrid>
        <w:gridCol w:w="701"/>
        <w:gridCol w:w="2733"/>
        <w:gridCol w:w="907"/>
        <w:gridCol w:w="1330"/>
        <w:gridCol w:w="1258"/>
        <w:gridCol w:w="2251"/>
      </w:tblGrid>
      <w:tr>
        <w:trPr>
          <w:tblHeader w:val="true"/>
        </w:trPr>
        <w:tc>
          <w:tcPr>
            <w:tcW w:w="70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b/>
                <w:b/>
                <w:sz w:val="26"/>
                <w:szCs w:val="26"/>
                <w:lang w:val="sv-SE"/>
              </w:rPr>
            </w:pPr>
            <w:r>
              <w:rPr>
                <w:b/>
                <w:sz w:val="26"/>
                <w:szCs w:val="26"/>
                <w:lang w:val="sv-SE"/>
              </w:rPr>
              <w:t>TT</w:t>
            </w:r>
          </w:p>
        </w:tc>
        <w:tc>
          <w:tcPr>
            <w:tcW w:w="2733"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b/>
                <w:b/>
                <w:sz w:val="26"/>
                <w:szCs w:val="26"/>
                <w:lang w:val="sv-SE"/>
              </w:rPr>
            </w:pPr>
            <w:r>
              <w:rPr>
                <w:b/>
                <w:sz w:val="26"/>
                <w:szCs w:val="26"/>
                <w:lang w:val="sv-SE"/>
              </w:rPr>
              <w:t>Chỉ tiêu</w:t>
            </w:r>
          </w:p>
        </w:tc>
        <w:tc>
          <w:tcPr>
            <w:tcW w:w="907"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b/>
                <w:b/>
                <w:sz w:val="26"/>
                <w:szCs w:val="26"/>
                <w:lang w:val="sv-SE"/>
              </w:rPr>
            </w:pPr>
            <w:r>
              <w:rPr>
                <w:b/>
                <w:sz w:val="26"/>
                <w:szCs w:val="26"/>
                <w:lang w:val="sv-SE"/>
              </w:rPr>
              <w:t>Đơn vị</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b/>
                <w:b/>
                <w:sz w:val="26"/>
                <w:szCs w:val="26"/>
                <w:lang w:val="sv-SE"/>
              </w:rPr>
            </w:pPr>
            <w:r>
              <w:rPr>
                <w:b/>
                <w:sz w:val="26"/>
                <w:szCs w:val="26"/>
                <w:lang w:val="sv-SE"/>
              </w:rPr>
              <w:t>Kế hoạch 2022</w:t>
            </w:r>
          </w:p>
        </w:tc>
        <w:tc>
          <w:tcPr>
            <w:tcW w:w="1258"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b/>
                <w:b/>
                <w:sz w:val="26"/>
                <w:szCs w:val="26"/>
                <w:lang w:val="sv-SE"/>
              </w:rPr>
            </w:pPr>
            <w:r>
              <w:rPr>
                <w:b/>
                <w:sz w:val="26"/>
                <w:szCs w:val="26"/>
                <w:lang w:val="sv-SE"/>
              </w:rPr>
              <w:t>Dự kiến kết quả</w:t>
            </w:r>
          </w:p>
        </w:tc>
        <w:tc>
          <w:tcPr>
            <w:tcW w:w="225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b/>
                <w:b/>
                <w:sz w:val="26"/>
                <w:szCs w:val="26"/>
                <w:lang w:val="sv-SE"/>
              </w:rPr>
            </w:pPr>
            <w:r>
              <w:rPr>
                <w:b/>
                <w:sz w:val="26"/>
                <w:szCs w:val="26"/>
                <w:lang w:val="sv-SE"/>
              </w:rPr>
              <w:t>Đánh giá</w:t>
            </w:r>
          </w:p>
        </w:tc>
      </w:tr>
      <w:tr>
        <w:trPr/>
        <w:tc>
          <w:tcPr>
            <w:tcW w:w="70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1</w:t>
            </w:r>
          </w:p>
        </w:tc>
        <w:tc>
          <w:tcPr>
            <w:tcW w:w="2733"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both"/>
              <w:rPr>
                <w:sz w:val="26"/>
                <w:szCs w:val="26"/>
                <w:lang w:val="sv-SE"/>
              </w:rPr>
            </w:pPr>
            <w:r>
              <w:rPr>
                <w:sz w:val="26"/>
                <w:szCs w:val="26"/>
                <w:lang w:val="sv-SE"/>
              </w:rPr>
              <w:t>Tốc độ tăng trưởng VA nông lâm thủy sản</w:t>
            </w:r>
          </w:p>
        </w:tc>
        <w:tc>
          <w:tcPr>
            <w:tcW w:w="907"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2,8 – 3,0</w:t>
            </w:r>
          </w:p>
        </w:tc>
        <w:tc>
          <w:tcPr>
            <w:tcW w:w="1258"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bCs/>
                <w:sz w:val="26"/>
                <w:szCs w:val="26"/>
                <w:lang w:val="sv-SE"/>
              </w:rPr>
              <w:t>2</w:t>
            </w:r>
            <w:r>
              <w:rPr>
                <w:bCs/>
                <w:sz w:val="26"/>
                <w:szCs w:val="26"/>
                <w:lang w:val="vi-VN"/>
              </w:rPr>
              <w:t>,</w:t>
            </w:r>
            <w:r>
              <w:rPr>
                <w:bCs/>
                <w:sz w:val="26"/>
                <w:szCs w:val="26"/>
                <w:lang w:val="sv-SE"/>
              </w:rPr>
              <w:t>9</w:t>
            </w:r>
            <w:r>
              <w:rPr>
                <w:bCs/>
                <w:sz w:val="26"/>
                <w:szCs w:val="26"/>
                <w:lang w:val="vi-VN"/>
              </w:rPr>
              <w:t>-</w:t>
            </w:r>
            <w:r>
              <w:rPr>
                <w:bCs/>
                <w:sz w:val="26"/>
                <w:szCs w:val="26"/>
                <w:lang w:val="sv-SE"/>
              </w:rPr>
              <w:t>3,0%</w:t>
            </w:r>
          </w:p>
        </w:tc>
        <w:tc>
          <w:tcPr>
            <w:tcW w:w="225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Đạt</w:t>
            </w:r>
          </w:p>
        </w:tc>
      </w:tr>
      <w:tr>
        <w:trPr/>
        <w:tc>
          <w:tcPr>
            <w:tcW w:w="70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2</w:t>
            </w:r>
          </w:p>
        </w:tc>
        <w:tc>
          <w:tcPr>
            <w:tcW w:w="2733"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both"/>
              <w:rPr>
                <w:sz w:val="26"/>
                <w:szCs w:val="26"/>
                <w:lang w:val="sv-SE"/>
              </w:rPr>
            </w:pPr>
            <w:r>
              <w:rPr>
                <w:bCs/>
                <w:sz w:val="26"/>
                <w:szCs w:val="26"/>
                <w:lang w:val="sv-SE"/>
              </w:rPr>
              <w:t>Tổng kim ngạch xuất khẩu NLTS</w:t>
            </w:r>
          </w:p>
        </w:tc>
        <w:tc>
          <w:tcPr>
            <w:tcW w:w="907"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Tỷ USD</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&gt;50</w:t>
            </w:r>
          </w:p>
        </w:tc>
        <w:tc>
          <w:tcPr>
            <w:tcW w:w="1258"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bCs/>
                <w:sz w:val="26"/>
                <w:szCs w:val="26"/>
                <w:lang w:val="sv-SE"/>
              </w:rPr>
            </w:pPr>
            <w:r>
              <w:rPr>
                <w:bCs/>
                <w:sz w:val="26"/>
                <w:szCs w:val="26"/>
                <w:lang w:val="sv-SE"/>
              </w:rPr>
              <w:t>53-54</w:t>
            </w:r>
          </w:p>
        </w:tc>
        <w:tc>
          <w:tcPr>
            <w:tcW w:w="225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Vượt</w:t>
            </w:r>
          </w:p>
        </w:tc>
      </w:tr>
      <w:tr>
        <w:trPr/>
        <w:tc>
          <w:tcPr>
            <w:tcW w:w="70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3</w:t>
            </w:r>
          </w:p>
        </w:tc>
        <w:tc>
          <w:tcPr>
            <w:tcW w:w="2733"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both"/>
              <w:rPr>
                <w:bCs/>
                <w:sz w:val="26"/>
                <w:szCs w:val="26"/>
                <w:lang w:val="sv-SE"/>
              </w:rPr>
            </w:pPr>
            <w:r>
              <w:rPr>
                <w:bCs/>
                <w:sz w:val="26"/>
                <w:szCs w:val="26"/>
                <w:lang w:val="sv-SE"/>
              </w:rPr>
              <w:t>Tỷ lệ xã đạt chuẩn nông thôn mới</w:t>
            </w:r>
          </w:p>
        </w:tc>
        <w:tc>
          <w:tcPr>
            <w:tcW w:w="907"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&gt;73</w:t>
            </w:r>
          </w:p>
        </w:tc>
        <w:tc>
          <w:tcPr>
            <w:tcW w:w="1258"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bCs/>
                <w:sz w:val="26"/>
                <w:szCs w:val="26"/>
                <w:lang w:val="sv-SE"/>
              </w:rPr>
            </w:pPr>
            <w:r>
              <w:rPr>
                <w:bCs/>
                <w:sz w:val="26"/>
                <w:szCs w:val="26"/>
                <w:lang w:val="sv-SE"/>
              </w:rPr>
              <w:t>73</w:t>
            </w:r>
          </w:p>
        </w:tc>
        <w:tc>
          <w:tcPr>
            <w:tcW w:w="225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pPr>
            <w:r>
              <w:rPr>
                <w:sz w:val="26"/>
                <w:szCs w:val="26"/>
                <w:lang w:val="sv-SE"/>
              </w:rPr>
              <w:t>Gần đạt</w:t>
            </w:r>
          </w:p>
        </w:tc>
      </w:tr>
      <w:tr>
        <w:trPr/>
        <w:tc>
          <w:tcPr>
            <w:tcW w:w="70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4</w:t>
            </w:r>
          </w:p>
        </w:tc>
        <w:tc>
          <w:tcPr>
            <w:tcW w:w="2733"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both"/>
              <w:rPr>
                <w:bCs/>
                <w:sz w:val="26"/>
                <w:szCs w:val="26"/>
                <w:lang w:val="sv-SE"/>
              </w:rPr>
            </w:pPr>
            <w:r>
              <w:rPr>
                <w:bCs/>
                <w:sz w:val="26"/>
                <w:szCs w:val="26"/>
                <w:lang w:val="sv-SE"/>
              </w:rPr>
              <w:t>Số đơn vị cấp huyện đạt chuẩn/hoàn thành nhiệm vụ xây dựng nông thôn mới</w:t>
            </w:r>
          </w:p>
        </w:tc>
        <w:tc>
          <w:tcPr>
            <w:tcW w:w="907"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Đơn vị</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240</w:t>
            </w:r>
          </w:p>
        </w:tc>
        <w:tc>
          <w:tcPr>
            <w:tcW w:w="1258"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bCs/>
                <w:sz w:val="26"/>
                <w:szCs w:val="26"/>
                <w:lang w:val="sv-SE"/>
              </w:rPr>
            </w:pPr>
            <w:r>
              <w:rPr>
                <w:bCs/>
                <w:sz w:val="26"/>
                <w:szCs w:val="26"/>
                <w:lang w:val="sv-SE"/>
              </w:rPr>
              <w:t>255</w:t>
            </w:r>
          </w:p>
        </w:tc>
        <w:tc>
          <w:tcPr>
            <w:tcW w:w="225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both"/>
              <w:rPr>
                <w:sz w:val="26"/>
                <w:szCs w:val="26"/>
                <w:lang w:val="sv-SE"/>
              </w:rPr>
            </w:pPr>
            <w:r>
              <w:rPr>
                <w:sz w:val="26"/>
                <w:szCs w:val="26"/>
                <w:lang w:val="sv-SE"/>
              </w:rPr>
              <w:t>Vượt 20 huyện so vơi KH của Chính phủ giao; vượt 15 huyên so với KH Bộ đề ra</w:t>
            </w:r>
          </w:p>
        </w:tc>
      </w:tr>
      <w:tr>
        <w:trPr/>
        <w:tc>
          <w:tcPr>
            <w:tcW w:w="70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5</w:t>
            </w:r>
          </w:p>
        </w:tc>
        <w:tc>
          <w:tcPr>
            <w:tcW w:w="2733"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both"/>
              <w:rPr>
                <w:bCs/>
                <w:sz w:val="26"/>
                <w:szCs w:val="26"/>
                <w:lang w:val="sv-SE"/>
              </w:rPr>
            </w:pPr>
            <w:r>
              <w:rPr>
                <w:bCs/>
                <w:sz w:val="26"/>
                <w:szCs w:val="26"/>
                <w:lang w:val="sv-SE"/>
              </w:rPr>
              <w:t>Số sản phẩm OCOP</w:t>
            </w:r>
          </w:p>
        </w:tc>
        <w:tc>
          <w:tcPr>
            <w:tcW w:w="907"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Sản phẩm</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6.500</w:t>
            </w:r>
          </w:p>
        </w:tc>
        <w:tc>
          <w:tcPr>
            <w:tcW w:w="1258"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bCs/>
                <w:sz w:val="26"/>
                <w:szCs w:val="26"/>
                <w:lang w:val="sv-SE"/>
              </w:rPr>
            </w:pPr>
            <w:r>
              <w:rPr>
                <w:bCs/>
                <w:sz w:val="26"/>
                <w:szCs w:val="26"/>
                <w:lang w:val="sv-SE"/>
              </w:rPr>
              <w:t>8.689</w:t>
            </w:r>
          </w:p>
        </w:tc>
        <w:tc>
          <w:tcPr>
            <w:tcW w:w="225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both"/>
              <w:rPr>
                <w:sz w:val="26"/>
                <w:szCs w:val="26"/>
                <w:lang w:val="sv-SE"/>
              </w:rPr>
            </w:pPr>
            <w:r>
              <w:rPr>
                <w:sz w:val="26"/>
                <w:szCs w:val="26"/>
                <w:lang w:val="sv-SE"/>
              </w:rPr>
              <w:t>Vượt 2.189 sản phẩm</w:t>
            </w:r>
          </w:p>
        </w:tc>
      </w:tr>
      <w:tr>
        <w:trPr/>
        <w:tc>
          <w:tcPr>
            <w:tcW w:w="70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6</w:t>
            </w:r>
          </w:p>
        </w:tc>
        <w:tc>
          <w:tcPr>
            <w:tcW w:w="2733"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both"/>
              <w:rPr>
                <w:bCs/>
                <w:sz w:val="26"/>
                <w:szCs w:val="26"/>
                <w:lang w:val="sv-SE"/>
              </w:rPr>
            </w:pPr>
            <w:r>
              <w:rPr>
                <w:bCs/>
                <w:sz w:val="26"/>
                <w:szCs w:val="26"/>
                <w:lang w:val="sv-SE"/>
              </w:rPr>
              <w:t>Tỷ lệ che phủ rừng</w:t>
            </w:r>
          </w:p>
        </w:tc>
        <w:tc>
          <w:tcPr>
            <w:tcW w:w="907"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bCs/>
                <w:sz w:val="26"/>
                <w:szCs w:val="26"/>
                <w:lang w:val="sv-SE"/>
              </w:rPr>
              <w:t>42,02%</w:t>
            </w:r>
          </w:p>
        </w:tc>
        <w:tc>
          <w:tcPr>
            <w:tcW w:w="1258"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bCs/>
                <w:sz w:val="26"/>
                <w:szCs w:val="26"/>
                <w:lang w:val="sv-SE"/>
              </w:rPr>
            </w:pPr>
            <w:r>
              <w:rPr>
                <w:bCs/>
                <w:sz w:val="26"/>
                <w:szCs w:val="26"/>
                <w:lang w:val="sv-SE"/>
              </w:rPr>
              <w:t>42,02%</w:t>
            </w:r>
          </w:p>
        </w:tc>
        <w:tc>
          <w:tcPr>
            <w:tcW w:w="225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tabs>
                <w:tab w:val="clear" w:pos="720"/>
                <w:tab w:val="center" w:pos="4919" w:leader="none"/>
              </w:tabs>
              <w:autoSpaceDE w:val="false"/>
              <w:spacing w:lineRule="auto" w:line="240" w:before="0" w:after="120"/>
              <w:ind w:left="0" w:hanging="0"/>
              <w:contextualSpacing w:val="false"/>
              <w:jc w:val="center"/>
              <w:rPr>
                <w:sz w:val="26"/>
                <w:szCs w:val="26"/>
                <w:lang w:val="sv-SE"/>
              </w:rPr>
            </w:pPr>
            <w:r>
              <w:rPr>
                <w:sz w:val="26"/>
                <w:szCs w:val="26"/>
                <w:lang w:val="sv-SE"/>
              </w:rPr>
              <w:t>Đạt</w:t>
            </w:r>
          </w:p>
        </w:tc>
      </w:tr>
    </w:tbl>
    <w:p>
      <w:pPr>
        <w:pStyle w:val="Normal"/>
        <w:widowControl w:val="false"/>
        <w:shd w:fill="FFFFFF" w:val="clear"/>
        <w:spacing w:before="120" w:after="0"/>
        <w:ind w:firstLine="709"/>
        <w:jc w:val="both"/>
        <w:rPr>
          <w:b/>
          <w:b/>
          <w:bCs/>
          <w:sz w:val="28"/>
          <w:szCs w:val="28"/>
          <w:lang w:val="sv-SE"/>
        </w:rPr>
      </w:pPr>
      <w:bookmarkEnd w:id="14"/>
      <w:r>
        <w:rPr>
          <w:b/>
          <w:bCs/>
          <w:sz w:val="28"/>
          <w:szCs w:val="28"/>
          <w:lang w:val="sv-SE"/>
        </w:rPr>
        <w:t>III. NHIỆM VỤ, GIẢI PHÁP</w:t>
      </w:r>
    </w:p>
    <w:p>
      <w:pPr>
        <w:pStyle w:val="Normal"/>
        <w:widowControl w:val="false"/>
        <w:spacing w:before="120" w:after="0"/>
        <w:ind w:firstLine="720"/>
        <w:jc w:val="both"/>
        <w:rPr>
          <w:b/>
          <w:b/>
          <w:bCs/>
          <w:sz w:val="28"/>
          <w:szCs w:val="28"/>
          <w:lang w:val="it-IT"/>
        </w:rPr>
      </w:pPr>
      <w:r>
        <w:rPr>
          <w:b/>
          <w:bCs/>
          <w:sz w:val="28"/>
          <w:szCs w:val="28"/>
          <w:lang w:val="it-IT"/>
        </w:rPr>
        <w:t>1. Trồng trọt, bảo vệ thực vật</w:t>
      </w:r>
    </w:p>
    <w:p>
      <w:pPr>
        <w:pStyle w:val="Normal"/>
        <w:widowControl w:val="false"/>
        <w:spacing w:before="120" w:after="0"/>
        <w:ind w:firstLine="720"/>
        <w:jc w:val="both"/>
        <w:rPr>
          <w:spacing w:val="-4"/>
          <w:sz w:val="28"/>
          <w:szCs w:val="28"/>
          <w:lang w:val="vi-VN"/>
        </w:rPr>
      </w:pPr>
      <w:bookmarkStart w:id="15" w:name="_Hlk54711409"/>
      <w:bookmarkEnd w:id="15"/>
      <w:r>
        <w:rPr>
          <w:spacing w:val="-4"/>
          <w:sz w:val="28"/>
          <w:szCs w:val="28"/>
          <w:lang w:val="vi-VN"/>
        </w:rPr>
        <w:t xml:space="preserve">- Tiếp tục theo dõi tình hình sản xuất </w:t>
      </w:r>
      <w:r>
        <w:rPr>
          <w:spacing w:val="-4"/>
          <w:sz w:val="28"/>
          <w:szCs w:val="28"/>
          <w:lang w:val="it-IT"/>
        </w:rPr>
        <w:t>lúa và rau màu, kịp thời triển khai các biện pháp ứng phó tác động tiêu cực bởi thời tiết, đảm bảo sản lượng lúa gạo, ổn định thị trường trong nước những dịp lễ Tết cuối năm và phục vụ xuất khẩu</w:t>
      </w:r>
      <w:r>
        <w:rPr>
          <w:spacing w:val="-4"/>
          <w:sz w:val="28"/>
          <w:szCs w:val="28"/>
          <w:lang w:val="vi-VN"/>
        </w:rPr>
        <w:t xml:space="preserve">. </w:t>
      </w:r>
    </w:p>
    <w:p>
      <w:pPr>
        <w:pStyle w:val="Normal"/>
        <w:widowControl w:val="false"/>
        <w:spacing w:before="120" w:after="0"/>
        <w:ind w:firstLine="720"/>
        <w:jc w:val="both"/>
        <w:rPr>
          <w:sz w:val="28"/>
          <w:szCs w:val="28"/>
          <w:lang w:val="vi-VN"/>
        </w:rPr>
      </w:pPr>
      <w:r>
        <w:rPr>
          <w:sz w:val="28"/>
          <w:szCs w:val="28"/>
          <w:lang w:val="vi-VN"/>
        </w:rPr>
        <w:t xml:space="preserve">- Chỉ đạo các tỉnh phía Nam thu hoạch lúa vụ Thu Đông, vụ Mùa kịp thời và triển khai kế hoạch sản xuất vụ Đông Xuân 2022-2023. Các tỉnh phía Bắc chỉ đạo gieo trồng cây vụ Đông và chuẩn bị kế hoạch vụ Đông Xuân 2022-2023. Chuẩn bị Hội nghị hội thảo về sản xuất lúa Thu Đông tại các tỉnh ĐBSCL. </w:t>
      </w:r>
    </w:p>
    <w:p>
      <w:pPr>
        <w:pStyle w:val="Normal"/>
        <w:widowControl w:val="false"/>
        <w:spacing w:before="120" w:after="0"/>
        <w:ind w:firstLine="720"/>
        <w:jc w:val="both"/>
        <w:rPr>
          <w:sz w:val="28"/>
          <w:szCs w:val="28"/>
          <w:lang w:val="vi-VN"/>
        </w:rPr>
      </w:pPr>
      <w:r>
        <w:rPr>
          <w:sz w:val="28"/>
          <w:szCs w:val="28"/>
          <w:lang w:val="vi-VN"/>
        </w:rPr>
        <w:t>- Tiếp tục nắm bắt tình hình sản lượng các loại cây ăn quả chủ lực phục vụ xuất khẩu như thanh long, nhãn, xoài, chôm chôm, sầu riêng, đề xuất chỉ đạo rải vụ các đối tượng cây trồng phù hợp với thị trường tiêu thụ, có giá bán tốt và hiệu quả kinh tế cao.</w:t>
      </w:r>
    </w:p>
    <w:p>
      <w:pPr>
        <w:pStyle w:val="Normal"/>
        <w:widowControl w:val="false"/>
        <w:spacing w:before="120" w:after="0"/>
        <w:ind w:firstLine="720"/>
        <w:jc w:val="both"/>
        <w:rPr>
          <w:sz w:val="28"/>
          <w:szCs w:val="28"/>
          <w:lang w:val="vi-VN"/>
        </w:rPr>
      </w:pPr>
      <w:r>
        <w:rPr>
          <w:sz w:val="28"/>
          <w:szCs w:val="28"/>
          <w:lang w:val="vi-VN"/>
        </w:rPr>
        <w:t>- Chỉ đạo tăng cường sản xuất áp dụng các tiêu chuẩn VietGAP, Global GAP, 4C, Rainforest... trên các đối tượng cây trồng, để nâng cao chất lượng và tăng giá thành sản phẩm.</w:t>
      </w:r>
    </w:p>
    <w:p>
      <w:pPr>
        <w:pStyle w:val="Normal"/>
        <w:widowControl w:val="false"/>
        <w:spacing w:before="120" w:after="0"/>
        <w:ind w:firstLine="720"/>
        <w:jc w:val="both"/>
        <w:rPr>
          <w:sz w:val="28"/>
          <w:szCs w:val="28"/>
          <w:lang w:val="af-ZA"/>
        </w:rPr>
      </w:pPr>
      <w:bookmarkStart w:id="16" w:name="_Hlk54711409"/>
      <w:bookmarkStart w:id="17" w:name="_Hlk65160517"/>
      <w:bookmarkStart w:id="18" w:name="_Hlk49343697"/>
      <w:bookmarkEnd w:id="16"/>
      <w:bookmarkEnd w:id="18"/>
      <w:r>
        <w:rPr>
          <w:sz w:val="28"/>
          <w:szCs w:val="28"/>
          <w:lang w:val="es-ES"/>
        </w:rPr>
        <w:t xml:space="preserve">- Tăng cường công tác bảo vệ thực vật, </w:t>
      </w:r>
      <w:r>
        <w:rPr>
          <w:sz w:val="28"/>
          <w:szCs w:val="28"/>
          <w:lang w:val="sv-SE"/>
        </w:rPr>
        <w:t xml:space="preserve">tổ chức trực ban chỉ đạo công tác phòng chống dịch và kịp thời xử lý các vùng dịch phát sinh; </w:t>
      </w:r>
      <w:bookmarkEnd w:id="17"/>
      <w:r>
        <w:rPr>
          <w:sz w:val="28"/>
          <w:szCs w:val="28"/>
          <w:lang w:val="sv-SE"/>
        </w:rPr>
        <w:t>đặc biệt lưu ý</w:t>
      </w:r>
      <w:r>
        <w:rPr>
          <w:sz w:val="28"/>
          <w:szCs w:val="28"/>
          <w:lang w:val="af-ZA"/>
        </w:rPr>
        <w:t xml:space="preserve"> các sinh vật gây hại trên lúa và cây trồng khác (ngô, rau màu, sắn, điều, hồ tiêu, cà phê, thanh long, cây có múi...).</w:t>
      </w:r>
    </w:p>
    <w:p>
      <w:pPr>
        <w:pStyle w:val="Normal"/>
        <w:widowControl w:val="false"/>
        <w:spacing w:before="120" w:after="0"/>
        <w:ind w:firstLine="720"/>
        <w:jc w:val="both"/>
        <w:rPr>
          <w:sz w:val="28"/>
          <w:szCs w:val="28"/>
          <w:lang w:val="pl-PL"/>
        </w:rPr>
      </w:pPr>
      <w:r>
        <w:rPr>
          <w:sz w:val="28"/>
          <w:szCs w:val="28"/>
          <w:lang w:val="af-ZA"/>
        </w:rPr>
        <w:t xml:space="preserve">- </w:t>
      </w:r>
      <w:r>
        <w:rPr>
          <w:sz w:val="28"/>
          <w:szCs w:val="28"/>
          <w:lang w:val="nb-NO"/>
        </w:rPr>
        <w:t>Tăng cường kiểm tra, kiểm soát tốt đối tượng KDTV, sinh vật gây hại lạ đi theo hàng hóa nhập khẩu, đồng thời đáp ứng yêu cầu KDTV đối với hàng hóa xuất khẩu; s</w:t>
      </w:r>
      <w:r>
        <w:rPr>
          <w:bCs/>
          <w:sz w:val="28"/>
          <w:szCs w:val="28"/>
          <w:lang w:val="it-IT"/>
        </w:rPr>
        <w:t xml:space="preserve">iết chặt và tăng cường công tác quản lý </w:t>
      </w:r>
      <w:r>
        <w:rPr>
          <w:bCs/>
          <w:sz w:val="28"/>
          <w:szCs w:val="28"/>
          <w:lang w:val="vi-VN"/>
        </w:rPr>
        <w:t>đăng ký</w:t>
      </w:r>
      <w:r>
        <w:rPr>
          <w:bCs/>
          <w:sz w:val="28"/>
          <w:szCs w:val="28"/>
          <w:lang w:val="af-ZA"/>
        </w:rPr>
        <w:t xml:space="preserve">, </w:t>
      </w:r>
      <w:r>
        <w:rPr>
          <w:bCs/>
          <w:sz w:val="28"/>
          <w:szCs w:val="28"/>
          <w:lang w:val="vi-VN"/>
        </w:rPr>
        <w:t xml:space="preserve">khảo nghiệm </w:t>
      </w:r>
      <w:r>
        <w:rPr>
          <w:bCs/>
          <w:sz w:val="28"/>
          <w:szCs w:val="28"/>
          <w:lang w:val="it-IT"/>
        </w:rPr>
        <w:t>thuốc BVTV</w:t>
      </w:r>
      <w:r>
        <w:rPr>
          <w:bCs/>
          <w:sz w:val="28"/>
          <w:szCs w:val="28"/>
          <w:lang w:val="af-ZA"/>
        </w:rPr>
        <w:t xml:space="preserve">; </w:t>
      </w:r>
      <w:r>
        <w:rPr>
          <w:sz w:val="28"/>
          <w:szCs w:val="28"/>
          <w:lang w:val="pt-BR"/>
        </w:rPr>
        <w:t>Rà soát, đánh giá lại các CSSX phân bón</w:t>
      </w:r>
      <w:r>
        <w:rPr>
          <w:sz w:val="28"/>
          <w:szCs w:val="28"/>
          <w:lang w:val="af-ZA"/>
        </w:rPr>
        <w:t xml:space="preserve">. </w:t>
      </w:r>
      <w:r>
        <w:rPr>
          <w:sz w:val="28"/>
          <w:szCs w:val="28"/>
          <w:lang w:val="pl-PL"/>
        </w:rPr>
        <w:t>Theo dõi, giám sát việc triển khai thực hiện mô hình phát triển phân bón hữu cơ của doanh nghiệp theo tiến độ đã ký cam kết.</w:t>
      </w:r>
    </w:p>
    <w:p>
      <w:pPr>
        <w:pStyle w:val="Normal"/>
        <w:widowControl w:val="false"/>
        <w:spacing w:before="120" w:after="0"/>
        <w:ind w:firstLine="720"/>
        <w:jc w:val="both"/>
        <w:rPr>
          <w:b/>
          <w:b/>
          <w:sz w:val="28"/>
          <w:szCs w:val="28"/>
          <w:lang w:val="sv-SE"/>
        </w:rPr>
      </w:pPr>
      <w:bookmarkStart w:id="19" w:name="_Hlk49343697"/>
      <w:bookmarkEnd w:id="19"/>
      <w:r>
        <w:rPr>
          <w:b/>
          <w:sz w:val="28"/>
          <w:szCs w:val="28"/>
          <w:lang w:val="sv-SE"/>
        </w:rPr>
        <w:t>2. Chăn nuôi, thú y</w:t>
      </w:r>
    </w:p>
    <w:p>
      <w:pPr>
        <w:pStyle w:val="Normal"/>
        <w:widowControl w:val="false"/>
        <w:shd w:fill="FFFFFF" w:val="clear"/>
        <w:spacing w:before="120" w:after="0"/>
        <w:ind w:firstLine="709"/>
        <w:jc w:val="both"/>
        <w:rPr/>
      </w:pPr>
      <w:bookmarkStart w:id="20" w:name="_Hlk65160552"/>
      <w:bookmarkEnd w:id="20"/>
      <w:r>
        <w:rPr>
          <w:sz w:val="28"/>
          <w:szCs w:val="28"/>
          <w:lang w:val="sv-SE"/>
        </w:rPr>
        <w:t>- Chỉ đạo thực hiện đồng bộ các giải pháp phòng chống thiên tai, dịch bệnh trên đàn vật nuôi; tháo gỡ khó khăn, thúc đẩy phát triển chăn nuôi, đảm bảo nguồn cung thực phẩm; hỗ trợ tiêu thụ, lưu thông sản phẩm chăn nuôi đáp ứng tốt nhu cầu tiêu dùng tăng cao bởi các dịp lễ tết cuối năm. Tăng cường chỉ đạo triển khai nhanh mô hình chăn nuôi ATSH, ATDB trên các đối tượng vật nuôi, nhất là đối với chăn nuôi lợn.</w:t>
      </w:r>
    </w:p>
    <w:p>
      <w:pPr>
        <w:pStyle w:val="Normal"/>
        <w:widowControl w:val="false"/>
        <w:spacing w:before="120" w:after="0"/>
        <w:ind w:firstLine="720"/>
        <w:jc w:val="both"/>
        <w:rPr>
          <w:sz w:val="28"/>
          <w:szCs w:val="28"/>
          <w:lang w:val="sv-SE"/>
        </w:rPr>
      </w:pPr>
      <w:r>
        <w:rPr>
          <w:sz w:val="28"/>
          <w:szCs w:val="28"/>
          <w:lang w:val="sv-SE"/>
        </w:rPr>
        <w:t>- Khảo sát, đánh giá chất lượng đàn giống tại các địa phương, doanh nghiệp theo các đối tượng giống vật nuôi; kiểm tra cơ sở sản xuất, mua bán giống vật nuôi và sản phẩm chăn nuôi; đánh giá hiện trạng quản lý và sử dụng lợn đực giống và bò đực giống trong chăn nuôi.</w:t>
      </w:r>
    </w:p>
    <w:p>
      <w:pPr>
        <w:pStyle w:val="Normal"/>
        <w:widowControl w:val="false"/>
        <w:shd w:fill="FFFFFF" w:val="clear"/>
        <w:spacing w:before="120" w:after="0"/>
        <w:ind w:firstLine="709"/>
        <w:jc w:val="both"/>
        <w:rPr/>
      </w:pPr>
      <w:bookmarkStart w:id="21" w:name="_Hlk65160541"/>
      <w:bookmarkEnd w:id="21"/>
      <w:r>
        <w:rPr>
          <w:sz w:val="28"/>
          <w:szCs w:val="28"/>
          <w:lang w:val="sv-SE"/>
        </w:rPr>
        <w:t xml:space="preserve">- </w:t>
      </w:r>
      <w:r>
        <w:rPr>
          <w:sz w:val="28"/>
          <w:szCs w:val="28"/>
          <w:lang w:val="af-ZA"/>
        </w:rPr>
        <w:t xml:space="preserve">Đánh giá điều kiện sản xuất thực tế của một số đơn vị đăng ký sản xuất, lưu hành TACN, chế phẩm xử lý môi trường, chăn nuôi an toàn sinh học...; </w:t>
      </w:r>
      <w:r>
        <w:rPr>
          <w:sz w:val="28"/>
          <w:szCs w:val="28"/>
          <w:lang w:val="sv-SE"/>
        </w:rPr>
        <w:t>một số tổ chức đánh giá sự phù hợp TACN</w:t>
      </w:r>
      <w:r>
        <w:rPr>
          <w:bCs/>
          <w:sz w:val="28"/>
          <w:szCs w:val="28"/>
          <w:lang w:val="sv-SE"/>
        </w:rPr>
        <w:t>.</w:t>
      </w:r>
      <w:r>
        <w:rPr>
          <w:sz w:val="28"/>
          <w:szCs w:val="28"/>
          <w:lang w:val="af-ZA"/>
        </w:rPr>
        <w:t xml:space="preserve"> Tăng cường giám sát quản lý chất lượng vật tư lĩnh vực chăn nuôi, kiểm soát an toàn thực phẩm; kịp thời xử lý các vụ việc vi phạm về chất lượng giống vật nuôi, thức ăn chăn nuôi… </w:t>
      </w:r>
    </w:p>
    <w:p>
      <w:pPr>
        <w:pStyle w:val="Normal"/>
        <w:widowControl w:val="false"/>
        <w:spacing w:before="120" w:after="0"/>
        <w:ind w:firstLine="720"/>
        <w:jc w:val="both"/>
        <w:rPr>
          <w:sz w:val="28"/>
          <w:szCs w:val="28"/>
          <w:lang w:val="es-ES"/>
        </w:rPr>
      </w:pPr>
      <w:bookmarkStart w:id="22" w:name="_Hlk65160552"/>
      <w:bookmarkStart w:id="23" w:name="_Hlk65160541"/>
      <w:bookmarkStart w:id="24" w:name="_Hlk65160582"/>
      <w:bookmarkEnd w:id="22"/>
      <w:bookmarkEnd w:id="23"/>
      <w:r>
        <w:rPr>
          <w:sz w:val="28"/>
          <w:szCs w:val="28"/>
          <w:lang w:val="es-ES"/>
        </w:rPr>
        <w:t>- Theo dõi tình hình dịch bệnh ở các địa phương đặc biệt đối với bệnh nguy hiểm như DTLCP, CGC, LMLM, Tai xanh, Viêm da nổi cục. Đôn đốc, hướng dẫn các địa phương thực hiện công tác phòng, chống dịch bệnh theo đúng quy định.</w:t>
      </w:r>
      <w:bookmarkEnd w:id="24"/>
      <w:r>
        <w:rPr>
          <w:sz w:val="28"/>
          <w:szCs w:val="28"/>
          <w:lang w:val="es-ES"/>
        </w:rPr>
        <w:t xml:space="preserve"> K</w:t>
      </w:r>
      <w:r>
        <w:rPr>
          <w:sz w:val="28"/>
          <w:szCs w:val="28"/>
          <w:lang w:val="pt-BR"/>
        </w:rPr>
        <w:t>iểm tra, cấp giấy chứng nhận đủ điều kiện sản xuất, nhập khẩu thuốc thú y cho các cơ sở sản xuất, kinh doanh, nhập khẩu thuốc thú y.</w:t>
      </w:r>
    </w:p>
    <w:p>
      <w:pPr>
        <w:pStyle w:val="Normal"/>
        <w:widowControl w:val="false"/>
        <w:tabs>
          <w:tab w:val="clear" w:pos="720"/>
          <w:tab w:val="left" w:pos="6837" w:leader="none"/>
        </w:tabs>
        <w:spacing w:before="120" w:after="0"/>
        <w:ind w:firstLine="720"/>
        <w:jc w:val="both"/>
        <w:rPr/>
      </w:pPr>
      <w:r>
        <w:rPr>
          <w:b/>
          <w:bCs/>
          <w:sz w:val="28"/>
          <w:szCs w:val="28"/>
          <w:lang w:val="es-ES"/>
        </w:rPr>
        <w:t>3.</w:t>
      </w:r>
      <w:r>
        <w:rPr>
          <w:b/>
          <w:bCs/>
          <w:sz w:val="28"/>
          <w:szCs w:val="28"/>
          <w:lang w:val="vi-VN"/>
        </w:rPr>
        <w:t xml:space="preserve"> Thuỷ sản </w:t>
        <w:tab/>
      </w:r>
    </w:p>
    <w:p>
      <w:pPr>
        <w:pStyle w:val="Normal"/>
        <w:widowControl w:val="false"/>
        <w:spacing w:before="120" w:after="0"/>
        <w:ind w:firstLine="720"/>
        <w:jc w:val="both"/>
        <w:rPr>
          <w:sz w:val="28"/>
          <w:szCs w:val="28"/>
          <w:lang w:val="vi-VN"/>
        </w:rPr>
      </w:pPr>
      <w:r>
        <w:rPr>
          <w:sz w:val="28"/>
          <w:szCs w:val="28"/>
          <w:lang w:val="pt-BR"/>
        </w:rPr>
        <w:t xml:space="preserve">- </w:t>
      </w:r>
      <w:r>
        <w:rPr>
          <w:sz w:val="28"/>
          <w:szCs w:val="28"/>
          <w:lang w:val="es-ES"/>
        </w:rPr>
        <w:t>Tiếp tục</w:t>
      </w:r>
      <w:r>
        <w:rPr>
          <w:sz w:val="28"/>
          <w:szCs w:val="28"/>
          <w:lang w:val="vi-VN"/>
        </w:rPr>
        <w:t xml:space="preserve"> chỉ đạo</w:t>
      </w:r>
      <w:r>
        <w:rPr>
          <w:sz w:val="28"/>
          <w:szCs w:val="28"/>
          <w:lang w:val="pt-BR"/>
        </w:rPr>
        <w:t xml:space="preserve"> hướng dẫn các địa phương t</w:t>
      </w:r>
      <w:r>
        <w:rPr>
          <w:sz w:val="28"/>
          <w:szCs w:val="28"/>
          <w:lang w:val="es-ES"/>
        </w:rPr>
        <w:t xml:space="preserve">ập trung phát triển nuôi trồng các đối tượng nuôi chủ lực </w:t>
      </w:r>
      <w:r>
        <w:rPr>
          <w:sz w:val="28"/>
          <w:szCs w:val="28"/>
          <w:lang w:val="pt-BR"/>
        </w:rPr>
        <w:t xml:space="preserve">và các đối tượng nuôi </w:t>
      </w:r>
      <w:r>
        <w:rPr>
          <w:sz w:val="28"/>
          <w:szCs w:val="28"/>
          <w:lang w:val="es-ES"/>
        </w:rPr>
        <w:t>có giá trị kinh tế cao theo hướng nâng cao giá trị</w:t>
      </w:r>
      <w:r>
        <w:rPr>
          <w:sz w:val="28"/>
          <w:szCs w:val="28"/>
          <w:lang w:val="pt-BR"/>
        </w:rPr>
        <w:t xml:space="preserve"> thương mại và phát triển bền vững. K</w:t>
      </w:r>
      <w:r>
        <w:rPr>
          <w:sz w:val="28"/>
          <w:szCs w:val="28"/>
          <w:lang w:val="vi-VN"/>
        </w:rPr>
        <w:t>iểm soát chất lượng giống thủy sản, vật tư đầu vào trong nuôi trồng thủy sản;</w:t>
      </w:r>
      <w:r>
        <w:rPr>
          <w:sz w:val="28"/>
          <w:szCs w:val="28"/>
          <w:lang w:val="pt-BR"/>
        </w:rPr>
        <w:t xml:space="preserve"> </w:t>
      </w:r>
      <w:r>
        <w:rPr>
          <w:sz w:val="28"/>
          <w:szCs w:val="28"/>
          <w:lang w:val="vi-VN"/>
        </w:rPr>
        <w:t xml:space="preserve">Chỉ đạo các địa phương làm tốt công tác đăng ký đối tượng nuôi chủ lực; đăng ký nuôi trồng thủy sản lồng bè. Tổ chức hội nghị phát triển rong biển; Hội nghị </w:t>
      </w:r>
      <w:r>
        <w:rPr>
          <w:sz w:val="27"/>
          <w:szCs w:val="27"/>
          <w:lang w:val="vi-VN"/>
        </w:rPr>
        <w:t>“Kết quả sản xuất, tiêu thụ cá tra năm 2022 và nhiệm vụ giải pháp năm 2023” bên lề Lễ hội cá tra tại Đồng Tháp.</w:t>
      </w:r>
    </w:p>
    <w:p>
      <w:pPr>
        <w:pStyle w:val="Normal"/>
        <w:widowControl w:val="false"/>
        <w:spacing w:before="120" w:after="0"/>
        <w:ind w:firstLine="720"/>
        <w:jc w:val="both"/>
        <w:rPr>
          <w:sz w:val="28"/>
          <w:szCs w:val="28"/>
          <w:lang w:val="vi-VN"/>
        </w:rPr>
      </w:pPr>
      <w:bookmarkStart w:id="25" w:name="_Hlk65160725"/>
      <w:bookmarkEnd w:id="25"/>
      <w:r>
        <w:rPr>
          <w:sz w:val="28"/>
          <w:szCs w:val="28"/>
          <w:lang w:val="vi-VN"/>
        </w:rPr>
        <w:t>- Theo dõi diễn biến thời tiết, dự báo ngư trường, tình hình khai thác hải sản của ngư dân trên các vùng biển để kịp thời hỗ trợ ngư dân yên tâm sản xuất an toàn, hiệu quả. Tiếp tục chuẩn bị đàm phán trực tuyến với Trung Quốc về hợp tác nghề cá trong vịnh Bắc Bộ.</w:t>
      </w:r>
    </w:p>
    <w:p>
      <w:pPr>
        <w:pStyle w:val="Normal"/>
        <w:widowControl w:val="false"/>
        <w:spacing w:before="120" w:after="0"/>
        <w:ind w:firstLine="720"/>
        <w:jc w:val="both"/>
        <w:rPr/>
      </w:pPr>
      <w:r>
        <w:rPr>
          <w:sz w:val="28"/>
          <w:szCs w:val="28"/>
          <w:lang w:val="de-DE"/>
        </w:rPr>
        <w:t xml:space="preserve">- </w:t>
      </w:r>
      <w:r>
        <w:rPr>
          <w:sz w:val="28"/>
          <w:szCs w:val="28"/>
          <w:lang w:val="vi-VN"/>
        </w:rPr>
        <w:t>Tổ chức trực ban tiếp nhận thông tin sự cố nghề cá trên biển, thông tin qua đường dây nóng Việt Nam với các nước. Chỉ đạo triển khai kế hoạch tuần tra, kiểm tra, kiểm soát đối với Chi cục Kiểm ngư Vùng; tăng cường công tác tuần tra, kiểm soát nhằm không để tàu cá vi phạm vùng biển nước ngoài.</w:t>
      </w:r>
    </w:p>
    <w:p>
      <w:pPr>
        <w:pStyle w:val="Normal"/>
        <w:widowControl w:val="false"/>
        <w:spacing w:before="120" w:after="0"/>
        <w:ind w:firstLine="709"/>
        <w:jc w:val="both"/>
        <w:rPr>
          <w:sz w:val="28"/>
          <w:szCs w:val="28"/>
          <w:lang w:val="vi-VN"/>
        </w:rPr>
      </w:pPr>
      <w:r>
        <w:rPr>
          <w:sz w:val="28"/>
          <w:szCs w:val="28"/>
          <w:lang w:val="vi-VN"/>
        </w:rPr>
        <w:t xml:space="preserve">- Tiếp thu, giải trình ý kiến thành viên HĐTĐ và hoàn thiện hồ sơ Quy hoạch Bảo vệ và khai thác nguồn lợi thủy sản; tiếp tục hoàn thiện Quy hoạch cảng cá và khu neo đậu tránh trú bão cho tàu cá. </w:t>
      </w:r>
    </w:p>
    <w:p>
      <w:pPr>
        <w:pStyle w:val="Normal"/>
        <w:widowControl w:val="false"/>
        <w:spacing w:before="120" w:after="0"/>
        <w:ind w:firstLine="709"/>
        <w:jc w:val="both"/>
        <w:rPr/>
      </w:pPr>
      <w:bookmarkStart w:id="26" w:name="_Hlk65160725"/>
      <w:bookmarkEnd w:id="26"/>
      <w:r>
        <w:rPr>
          <w:b/>
          <w:sz w:val="28"/>
          <w:szCs w:val="28"/>
          <w:lang w:val="sv-SE"/>
        </w:rPr>
        <w:t xml:space="preserve">4. Lâm nghiệp </w:t>
      </w:r>
    </w:p>
    <w:p>
      <w:pPr>
        <w:pStyle w:val="ListParagraph"/>
        <w:widowControl w:val="false"/>
        <w:spacing w:lineRule="auto" w:line="240" w:before="120" w:after="0"/>
        <w:ind w:left="0" w:firstLine="709"/>
        <w:contextualSpacing w:val="false"/>
        <w:jc w:val="both"/>
        <w:rPr>
          <w:rFonts w:eastAsia="Times New Roman"/>
          <w:szCs w:val="28"/>
          <w:lang w:val="de-DE" w:eastAsia="de-DE"/>
        </w:rPr>
      </w:pPr>
      <w:bookmarkStart w:id="27" w:name="_Hlk65160762"/>
      <w:bookmarkEnd w:id="27"/>
      <w:r>
        <w:rPr>
          <w:rFonts w:eastAsia="Times New Roman"/>
          <w:szCs w:val="28"/>
          <w:lang w:val="de-DE" w:eastAsia="de-DE"/>
        </w:rPr>
        <w:t xml:space="preserve">- </w:t>
      </w:r>
      <w:r>
        <w:rPr>
          <w:szCs w:val="28"/>
          <w:lang w:val="vi-VN"/>
        </w:rPr>
        <w:t xml:space="preserve">Theo dõi, đôn đốc các địa phương đang trong thời vụ trồng rừng chuẩn bị đủ cây giống, hiện trường để trồng rừng theo kế hoạch, chủ động kiểm soát chất lượng giống cây trồng lâm nghiệp trên địa bàn; </w:t>
      </w:r>
      <w:r>
        <w:rPr>
          <w:rFonts w:eastAsia="Times New Roman"/>
          <w:szCs w:val="28"/>
          <w:lang w:val="de-DE" w:eastAsia="de-DE"/>
        </w:rPr>
        <w:t>Chỉ đạo, đôn đốc hệ thống kiểm lâm cả nước thực hiện các biện pháp PCCCR, bố trí lực lượng thường trực tại các vùng rừng có nguy cơ cháy cao</w:t>
      </w:r>
      <w:r>
        <w:rPr>
          <w:rFonts w:eastAsia="Times New Roman"/>
          <w:bCs/>
          <w:szCs w:val="28"/>
          <w:lang w:val="de-DE" w:eastAsia="de-DE"/>
        </w:rPr>
        <w:t>; duy trì thường trực công tác phòng cháy, chữa cháy rừng đảm bảo 24/24 giờ tại Cục Kiểm lâm và các Chi cục Kiểm lâm vùng</w:t>
      </w:r>
      <w:r>
        <w:rPr>
          <w:szCs w:val="28"/>
          <w:lang w:val="vi-VN"/>
        </w:rPr>
        <w:t>.</w:t>
      </w:r>
    </w:p>
    <w:p>
      <w:pPr>
        <w:pStyle w:val="Normal"/>
        <w:widowControl w:val="false"/>
        <w:shd w:fill="FFFFFF" w:val="clear"/>
        <w:tabs>
          <w:tab w:val="clear" w:pos="720"/>
          <w:tab w:val="left" w:pos="851" w:leader="none"/>
        </w:tabs>
        <w:spacing w:before="120" w:after="0"/>
        <w:ind w:firstLine="709"/>
        <w:jc w:val="both"/>
        <w:rPr>
          <w:sz w:val="28"/>
          <w:szCs w:val="28"/>
          <w:lang w:val="vi-VN"/>
        </w:rPr>
      </w:pPr>
      <w:r>
        <w:rPr>
          <w:sz w:val="28"/>
          <w:szCs w:val="28"/>
          <w:lang w:val="de-DE"/>
        </w:rPr>
        <w:t>- Tổ chức triển khai thực hiện</w:t>
      </w:r>
      <w:r>
        <w:rPr>
          <w:sz w:val="28"/>
          <w:szCs w:val="28"/>
          <w:lang w:val="vi-VN"/>
        </w:rPr>
        <w:t xml:space="preserve"> Chương trình phát triển Lâm nghiệp bền vững giai đoạn 2021-2025; </w:t>
      </w:r>
      <w:r>
        <w:rPr>
          <w:sz w:val="28"/>
          <w:szCs w:val="28"/>
          <w:lang w:val="de-DE" w:eastAsia="de-DE"/>
        </w:rPr>
        <w:t>kế hoạch thực hiện Chiến lược phát triển Lâm nghiệp Việt Nam giai đoạn 2021-2030, tầm nhìn đến năm 2050.</w:t>
      </w:r>
      <w:r>
        <w:rPr>
          <w:sz w:val="28"/>
          <w:szCs w:val="28"/>
          <w:lang w:val="vi-VN"/>
        </w:rPr>
        <w:t xml:space="preserve"> Tiếp tục bám sát phê duyệt đề án thí điểm cho thuê môi trường rừng để nuôi trồng, phát triển cây dược liệu và Chương trình phát triển Sâm Việt Nam đến năm 2030 và định hướng 2045.</w:t>
      </w:r>
    </w:p>
    <w:p>
      <w:pPr>
        <w:pStyle w:val="Normal"/>
        <w:widowControl w:val="false"/>
        <w:shd w:fill="FFFFFF" w:val="clear"/>
        <w:tabs>
          <w:tab w:val="clear" w:pos="720"/>
          <w:tab w:val="left" w:pos="851" w:leader="none"/>
        </w:tabs>
        <w:spacing w:before="120" w:after="0"/>
        <w:ind w:firstLine="709"/>
        <w:jc w:val="both"/>
        <w:rPr/>
      </w:pPr>
      <w:r>
        <w:rPr>
          <w:sz w:val="28"/>
          <w:szCs w:val="28"/>
          <w:lang w:val="vi-VN"/>
        </w:rPr>
        <w:t>- Hoàn thiện hồ sơ trình Thủ tướng Chính phủ phê duyệt Quy hoạch Lâm nghiệp quốc gia. Xây dựng Đề án phát triển giá trị đa dạng của hệ sinh thái rừng đến năm 2030, tầm nhìn đến năm 2050.</w:t>
      </w:r>
    </w:p>
    <w:p>
      <w:pPr>
        <w:pStyle w:val="Normal"/>
        <w:widowControl w:val="false"/>
        <w:spacing w:before="120" w:after="0"/>
        <w:ind w:firstLine="709"/>
        <w:jc w:val="both"/>
        <w:rPr>
          <w:b/>
          <w:b/>
          <w:sz w:val="28"/>
          <w:szCs w:val="28"/>
          <w:lang w:val="vi-VN"/>
        </w:rPr>
      </w:pPr>
      <w:bookmarkStart w:id="28" w:name="_Hlk65160762"/>
      <w:bookmarkEnd w:id="28"/>
      <w:r>
        <w:rPr>
          <w:b/>
          <w:bCs/>
          <w:sz w:val="28"/>
          <w:szCs w:val="28"/>
          <w:lang w:val="sv-SE"/>
        </w:rPr>
        <w:t xml:space="preserve">5. </w:t>
      </w:r>
      <w:r>
        <w:rPr>
          <w:b/>
          <w:sz w:val="28"/>
          <w:szCs w:val="28"/>
          <w:lang w:val="vi-VN"/>
        </w:rPr>
        <w:t xml:space="preserve">Hợp tác quốc tế, </w:t>
      </w:r>
      <w:r>
        <w:rPr>
          <w:b/>
          <w:sz w:val="28"/>
          <w:szCs w:val="28"/>
          <w:lang w:val="nb-NO"/>
        </w:rPr>
        <w:t>phát triển thị trường</w:t>
      </w:r>
      <w:r>
        <w:rPr>
          <w:b/>
          <w:sz w:val="28"/>
          <w:szCs w:val="28"/>
          <w:lang w:val="vi-VN"/>
        </w:rPr>
        <w:t xml:space="preserve"> thúc đẩy tiêu thụ nông sản</w:t>
      </w:r>
    </w:p>
    <w:p>
      <w:pPr>
        <w:pStyle w:val="Normal"/>
        <w:widowControl w:val="false"/>
        <w:shd w:fill="FFFFFF" w:val="clear"/>
        <w:spacing w:before="120" w:after="0"/>
        <w:ind w:firstLine="709"/>
        <w:jc w:val="both"/>
        <w:rPr>
          <w:bCs/>
          <w:iCs/>
          <w:sz w:val="28"/>
          <w:szCs w:val="28"/>
          <w:shd w:fill="FFFFFF" w:val="clear"/>
        </w:rPr>
      </w:pPr>
      <w:r>
        <w:rPr>
          <w:bCs/>
          <w:iCs/>
          <w:sz w:val="28"/>
          <w:szCs w:val="28"/>
          <w:shd w:fill="FFFFFF" w:val="clear"/>
        </w:rPr>
        <w:t xml:space="preserve">a) Xuất khẩu nông sản </w:t>
        <w:tab/>
      </w:r>
    </w:p>
    <w:p>
      <w:pPr>
        <w:pStyle w:val="Normal"/>
        <w:widowControl w:val="false"/>
        <w:tabs>
          <w:tab w:val="clear" w:pos="720"/>
          <w:tab w:val="left" w:pos="0" w:leader="none"/>
          <w:tab w:val="left" w:pos="709" w:leader="none"/>
        </w:tabs>
        <w:spacing w:before="120" w:after="0"/>
        <w:ind w:firstLine="720"/>
        <w:jc w:val="both"/>
        <w:rPr>
          <w:bCs/>
          <w:sz w:val="28"/>
          <w:szCs w:val="28"/>
          <w:lang w:val="vi-VN"/>
        </w:rPr>
      </w:pPr>
      <w:r>
        <w:rPr>
          <w:bCs/>
          <w:sz w:val="28"/>
          <w:szCs w:val="28"/>
        </w:rPr>
        <w:t xml:space="preserve">- </w:t>
      </w:r>
      <w:r>
        <w:rPr>
          <w:sz w:val="28"/>
          <w:szCs w:val="28"/>
        </w:rPr>
        <w:t>Tiếp tục chỉ đạo tổ chức triển khai Nghị định thư về xuất khẩu sầu riêng và các yêu cầu tạm thời đối với chanh leo sang Trung Quốc, yêu cầu nhập khẩu đối với bưởi xuất sang Hoa Kỳ cho các tổ chức các nhân liên quan tại các đại phương; đàm phán các nội dung kỹ thuật để sớm ký Nghị định thư về yêu cầu kiểm dịch thực vật đối với thanh long, nhãn, vải, chôm chôm, xoài xuất khẩu sang Trung Quốc; kiểm tra trực tuyến hàng tuần với Hải Quan Trung Quốc đối với mặt hàng chuối và sầu riêng. Làm việc với thanh tra kiểm dịch thực vật Nhật Bản sang kiểm tra các cơ sở xử lý thanh long, xoài, nhãn của Việt Nam xuất khẩu.</w:t>
      </w:r>
    </w:p>
    <w:p>
      <w:pPr>
        <w:pStyle w:val="Normal"/>
        <w:widowControl w:val="false"/>
        <w:tabs>
          <w:tab w:val="clear" w:pos="720"/>
          <w:tab w:val="left" w:pos="567" w:leader="none"/>
          <w:tab w:val="left" w:pos="993" w:leader="none"/>
          <w:tab w:val="left" w:pos="1134" w:leader="none"/>
        </w:tabs>
        <w:spacing w:before="120" w:after="0"/>
        <w:ind w:firstLine="709"/>
        <w:jc w:val="both"/>
        <w:rPr>
          <w:sz w:val="28"/>
          <w:szCs w:val="28"/>
          <w:lang w:val="pt-BR"/>
        </w:rPr>
      </w:pPr>
      <w:r>
        <w:rPr>
          <w:sz w:val="28"/>
          <w:szCs w:val="28"/>
          <w:lang w:val="pt-BR"/>
        </w:rPr>
        <w:t xml:space="preserve">- Tiếp tục triển khai có hiệu quả các Hiệp định thương mại tự do (FTAs) với các nước, khu vực trên thế giới; Hiệp định đối tác Toàn diện và Tiến bộ xuyên Thái Bình Dương (CPTPP); Hiệp định EVFTA và các Hiệp định song phương với các nước </w:t>
      </w:r>
      <w:r>
        <w:rPr>
          <w:bCs/>
          <w:iCs/>
          <w:sz w:val="28"/>
          <w:szCs w:val="28"/>
          <w:lang w:val="es-AR"/>
        </w:rPr>
        <w:t>tới các địa phương, hiệp hội ngành hàng, hội, doanh nghiệp, hợp tác xã;</w:t>
      </w:r>
      <w:r>
        <w:rPr>
          <w:sz w:val="28"/>
          <w:szCs w:val="28"/>
          <w:lang w:val="es-AR"/>
        </w:rPr>
        <w:t xml:space="preserve"> </w:t>
      </w:r>
      <w:r>
        <w:rPr>
          <w:sz w:val="28"/>
          <w:szCs w:val="28"/>
          <w:lang w:val="pt-BR"/>
        </w:rPr>
        <w:t>Đàm phán tháo gỡ rào cản kỹ thuật, rào cản thương mại và</w:t>
      </w:r>
      <w:r>
        <w:rPr>
          <w:bCs/>
          <w:iCs/>
          <w:sz w:val="28"/>
          <w:szCs w:val="28"/>
          <w:lang w:val="es-AR"/>
        </w:rPr>
        <w:t xml:space="preserve"> mở cửa thị trường xuất khẩu chính ngạch vào thị trường lớn và tiềm năng</w:t>
      </w:r>
      <w:r>
        <w:rPr>
          <w:rStyle w:val="FootnoteCharacters"/>
          <w:rStyle w:val="FootnoteAnchor"/>
          <w:bCs/>
          <w:iCs/>
          <w:sz w:val="28"/>
          <w:szCs w:val="28"/>
          <w:lang w:val="es-AR"/>
        </w:rPr>
        <w:footnoteReference w:id="17"/>
      </w:r>
      <w:r>
        <w:rPr>
          <w:bCs/>
          <w:iCs/>
          <w:sz w:val="28"/>
          <w:szCs w:val="28"/>
          <w:lang w:val="es-AR"/>
        </w:rPr>
        <w:t xml:space="preserve">. </w:t>
      </w:r>
      <w:r>
        <w:rPr>
          <w:bCs/>
          <w:sz w:val="28"/>
          <w:szCs w:val="28"/>
          <w:lang w:val="nb-NO"/>
        </w:rPr>
        <w:t>Phối hợp chặt chẽ với các Hiệp hội, Cục Phòng vệ Thương mại để ứng phó với các vụ điều tra phòng vệ thương mại. Khuyến khích doanh nghiệp đẩy mạnh áp dụng công nghệ số trong quản lý doanh nghiệp, thương mại điện tử, chuẩn bị hàng hoá phục vụ dịp giáng sinh; kịp thời ứng phó với những biến động của thị trường; thực hiện nghiêm quy định về hồ sơ nguồn gốc xuất xứ.</w:t>
      </w:r>
    </w:p>
    <w:p>
      <w:pPr>
        <w:pStyle w:val="Normal"/>
        <w:widowControl w:val="false"/>
        <w:tabs>
          <w:tab w:val="clear" w:pos="720"/>
          <w:tab w:val="left" w:pos="567" w:leader="none"/>
          <w:tab w:val="left" w:pos="993" w:leader="none"/>
          <w:tab w:val="left" w:pos="1134" w:leader="none"/>
        </w:tabs>
        <w:spacing w:before="120" w:after="0"/>
        <w:ind w:firstLine="709"/>
        <w:jc w:val="both"/>
        <w:rPr/>
      </w:pPr>
      <w:r>
        <w:rPr>
          <w:sz w:val="28"/>
          <w:szCs w:val="28"/>
          <w:lang w:val="pt-BR"/>
        </w:rPr>
        <w:t>- Tiếp tục tổng hợp các thông báo và cảnh báo từ các đối tác thương mại và các nước thành viên WTO, phản hồi các góp ý đối với dự thảo biện pháp SPS mới của Việt Nam đã thông báo với WTO; Hỗ trợ</w:t>
      </w:r>
      <w:r>
        <w:rPr>
          <w:sz w:val="28"/>
          <w:szCs w:val="28"/>
          <w:lang w:val="vi-VN"/>
        </w:rPr>
        <w:t xml:space="preserve"> doanh nghiệp, cơ quan liên quan </w:t>
      </w:r>
      <w:r>
        <w:rPr>
          <w:sz w:val="28"/>
          <w:szCs w:val="28"/>
          <w:lang w:val="pt-BR"/>
        </w:rPr>
        <w:t xml:space="preserve">đến </w:t>
      </w:r>
      <w:r>
        <w:rPr>
          <w:sz w:val="28"/>
          <w:szCs w:val="28"/>
          <w:lang w:val="vi-VN"/>
        </w:rPr>
        <w:t>Lệnh 248</w:t>
      </w:r>
      <w:r>
        <w:rPr>
          <w:sz w:val="28"/>
          <w:szCs w:val="28"/>
          <w:lang w:val="pt-BR"/>
        </w:rPr>
        <w:t>,</w:t>
      </w:r>
      <w:r>
        <w:rPr>
          <w:sz w:val="28"/>
          <w:szCs w:val="28"/>
          <w:lang w:val="vi-VN"/>
        </w:rPr>
        <w:t xml:space="preserve"> 249</w:t>
      </w:r>
      <w:r>
        <w:rPr>
          <w:sz w:val="28"/>
          <w:szCs w:val="28"/>
          <w:lang w:val="pt-BR"/>
        </w:rPr>
        <w:t xml:space="preserve"> của TCHQ Trung Quốc. </w:t>
      </w:r>
    </w:p>
    <w:p>
      <w:pPr>
        <w:pStyle w:val="Normal"/>
        <w:widowControl w:val="false"/>
        <w:shd w:fill="FFFFFF" w:val="clear"/>
        <w:spacing w:before="120" w:after="0"/>
        <w:ind w:firstLine="709"/>
        <w:jc w:val="both"/>
        <w:rPr>
          <w:bCs/>
          <w:iCs/>
          <w:sz w:val="28"/>
          <w:szCs w:val="28"/>
          <w:shd w:fill="FFFFFF" w:val="clear"/>
          <w:lang w:val="pt-BR"/>
        </w:rPr>
      </w:pPr>
      <w:r>
        <w:rPr>
          <w:bCs/>
          <w:iCs/>
          <w:sz w:val="28"/>
          <w:szCs w:val="28"/>
          <w:shd w:fill="FFFFFF" w:val="clear"/>
          <w:lang w:val="pt-BR"/>
        </w:rPr>
        <w:t>b) Thị trường trong nước</w:t>
      </w:r>
    </w:p>
    <w:p>
      <w:pPr>
        <w:pStyle w:val="Normal"/>
        <w:widowControl w:val="false"/>
        <w:autoSpaceDE w:val="false"/>
        <w:spacing w:before="120" w:after="0"/>
        <w:ind w:firstLine="709"/>
        <w:jc w:val="both"/>
        <w:rPr>
          <w:rFonts w:eastAsia="Batang;바탕"/>
          <w:sz w:val="28"/>
          <w:szCs w:val="28"/>
          <w:lang w:val="es-ES" w:eastAsia="ko-KR"/>
        </w:rPr>
      </w:pPr>
      <w:r>
        <w:rPr>
          <w:rFonts w:eastAsia="Batang;바탕"/>
          <w:sz w:val="28"/>
          <w:szCs w:val="28"/>
          <w:lang w:val="es-ES" w:eastAsia="ko-KR"/>
        </w:rPr>
        <w:t>- Chủ động phối hợp với địa phương, hiệp hội ngành hàng theo dõi biến động thị trường, nhất là nguồn cung và giá cả các mặt hàng lương thực thực phẩm thiết yếu phục vụ tiêu dùng trong nước, vật tư (thịt lợn, gạo, phân bón, thức ăn chăn nuôi); các mặt hàng đang có biến động về giá (hồ tiêu, cá tra, cà phê, thịt gia cầm) đảm bảo nguồn cung phục vụ nhu cầu trong nước và cân đối cung cầu dịp Tết Nguyên đán Quý Mão.</w:t>
      </w:r>
    </w:p>
    <w:p>
      <w:pPr>
        <w:pStyle w:val="Normal"/>
        <w:widowControl w:val="false"/>
        <w:autoSpaceDE w:val="false"/>
        <w:spacing w:before="120" w:after="0"/>
        <w:ind w:firstLine="709"/>
        <w:jc w:val="both"/>
        <w:rPr>
          <w:spacing w:val="-4"/>
          <w:sz w:val="28"/>
          <w:szCs w:val="28"/>
          <w:lang w:val="es-ES"/>
        </w:rPr>
      </w:pPr>
      <w:r>
        <w:rPr>
          <w:rFonts w:eastAsia="Batang;바탕"/>
          <w:spacing w:val="-4"/>
          <w:sz w:val="28"/>
          <w:szCs w:val="28"/>
          <w:lang w:val="es-ES" w:eastAsia="ko-KR"/>
        </w:rPr>
        <w:t xml:space="preserve">- Tăng cường triển khai các hoạt động xúc tiến thương mại, hỗ trợ tiêu thụ. </w:t>
      </w:r>
    </w:p>
    <w:p>
      <w:pPr>
        <w:pStyle w:val="Normal"/>
        <w:widowControl w:val="false"/>
        <w:spacing w:before="120" w:after="0"/>
        <w:ind w:firstLine="700"/>
        <w:jc w:val="both"/>
        <w:rPr/>
      </w:pPr>
      <w:r>
        <w:rPr>
          <w:b/>
          <w:bCs/>
          <w:sz w:val="28"/>
          <w:szCs w:val="28"/>
          <w:lang w:val="sv-SE"/>
        </w:rPr>
        <w:t xml:space="preserve">6. </w:t>
      </w:r>
      <w:r>
        <w:rPr>
          <w:rStyle w:val="StrongEmphasis"/>
          <w:bCs w:val="false"/>
          <w:sz w:val="28"/>
          <w:szCs w:val="28"/>
          <w:lang w:val="es-ES"/>
        </w:rPr>
        <w:t>Quản lý chất lượng và an toàn vệ sinh thực phẩm</w:t>
        <w:tab/>
      </w:r>
    </w:p>
    <w:p>
      <w:pPr>
        <w:pStyle w:val="Normal"/>
        <w:spacing w:before="120" w:after="0"/>
        <w:ind w:firstLine="720"/>
        <w:jc w:val="both"/>
        <w:rPr/>
      </w:pPr>
      <w:r>
        <w:rPr>
          <w:b/>
          <w:lang w:val="sv-SE"/>
        </w:rPr>
        <w:t xml:space="preserve">- </w:t>
      </w:r>
      <w:r>
        <w:rPr>
          <w:bCs/>
          <w:sz w:val="28"/>
          <w:szCs w:val="28"/>
          <w:lang w:val="vi-VN"/>
        </w:rPr>
        <w:t xml:space="preserve">Triển khai </w:t>
      </w:r>
      <w:r>
        <w:rPr>
          <w:bCs/>
          <w:iCs/>
          <w:sz w:val="28"/>
          <w:szCs w:val="28"/>
          <w:lang w:val="vi-VN"/>
        </w:rPr>
        <w:t xml:space="preserve">Kế hoạch triển khai công tác bảo đảm ATTP Tết Nguyên đán Quỹ </w:t>
      </w:r>
      <w:r>
        <w:rPr>
          <w:bCs/>
          <w:iCs/>
          <w:sz w:val="28"/>
          <w:szCs w:val="28"/>
          <w:lang w:val="es-ES"/>
        </w:rPr>
        <w:t>M</w:t>
      </w:r>
      <w:r>
        <w:rPr>
          <w:bCs/>
          <w:iCs/>
          <w:sz w:val="28"/>
          <w:szCs w:val="28"/>
          <w:lang w:val="vi-VN"/>
        </w:rPr>
        <w:t>ão và mùa Lễ hội Xuân 2023</w:t>
      </w:r>
      <w:r>
        <w:rPr>
          <w:bCs/>
          <w:iCs/>
          <w:sz w:val="28"/>
          <w:szCs w:val="28"/>
          <w:lang w:val="es-ES"/>
        </w:rPr>
        <w:t>;</w:t>
      </w:r>
      <w:r>
        <w:rPr>
          <w:iCs/>
          <w:sz w:val="28"/>
          <w:szCs w:val="28"/>
          <w:lang w:val="es-ES"/>
        </w:rPr>
        <w:t xml:space="preserve"> </w:t>
      </w:r>
      <w:r>
        <w:rPr>
          <w:sz w:val="28"/>
          <w:szCs w:val="28"/>
          <w:lang w:val="da-DK"/>
        </w:rPr>
        <w:t>Đề án Đảm bảo ATTP, nâng cao chất lượng nông lâm thủy sản giai đoạn 2021-2030</w:t>
      </w:r>
      <w:r>
        <w:rPr>
          <w:bCs/>
          <w:sz w:val="28"/>
          <w:szCs w:val="28"/>
          <w:lang w:val="da-DK"/>
        </w:rPr>
        <w:t xml:space="preserve">; </w:t>
      </w:r>
      <w:r>
        <w:rPr>
          <w:bCs/>
          <w:sz w:val="28"/>
          <w:szCs w:val="28"/>
          <w:lang w:val="sv-SE"/>
        </w:rPr>
        <w:t>hướng dẫn, hỗ trợ doanh nghiệp khôi phục sản xuất kinh doanh đảm bảo chất lượng, an toàn thực phẩm.</w:t>
      </w:r>
    </w:p>
    <w:p>
      <w:pPr>
        <w:pStyle w:val="Normal"/>
        <w:widowControl w:val="false"/>
        <w:tabs>
          <w:tab w:val="clear" w:pos="720"/>
          <w:tab w:val="left" w:pos="709" w:leader="none"/>
        </w:tabs>
        <w:spacing w:before="120" w:after="0"/>
        <w:ind w:firstLine="720"/>
        <w:jc w:val="both"/>
        <w:rPr/>
      </w:pPr>
      <w:r>
        <w:rPr>
          <w:bCs/>
          <w:iCs/>
          <w:sz w:val="28"/>
          <w:szCs w:val="28"/>
          <w:lang w:val="sv-SE"/>
        </w:rPr>
        <w:t>- Cung cấp kịp thời, chính xác cho các Báo,</w:t>
      </w:r>
      <w:r>
        <w:rPr>
          <w:sz w:val="28"/>
          <w:szCs w:val="28"/>
          <w:lang w:val="nl-NL"/>
        </w:rPr>
        <w:t xml:space="preserve"> Đài thông tin quản lý chất lượng vật tư nông nghiệp, đảm bảo ATTP nông lâm thủy sản; </w:t>
      </w:r>
      <w:r>
        <w:rPr>
          <w:sz w:val="28"/>
          <w:szCs w:val="28"/>
          <w:lang w:val="sv-SE"/>
        </w:rPr>
        <w:t xml:space="preserve">phối hợp phổ biến pháp luật chất lượng, ATTP, truyền thông quảng bá sản xuất, kinh doanh nông lâm thủy sản đảm bảo chất lượng, an toàn. </w:t>
      </w:r>
    </w:p>
    <w:p>
      <w:pPr>
        <w:pStyle w:val="TextBody"/>
        <w:widowControl w:val="false"/>
        <w:spacing w:before="120" w:after="0"/>
        <w:ind w:firstLine="720"/>
        <w:rPr/>
      </w:pPr>
      <w:r>
        <w:rPr>
          <w:color w:val="000000"/>
          <w:sz w:val="28"/>
          <w:szCs w:val="28"/>
          <w:lang w:val="sv-SE"/>
        </w:rPr>
        <w:t>- Triển khai các chương trình phối hợp (Hội Nông dân Việt Nam, Hội Liên hiệp Phụ nữ Việt Nam; UBND TP. Hà Nội, Cần Thơ và các địa phương liên quan; hướng dẫn triển khai “Hỗ trợ một số cơ sở sản xuất thực phẩm nông sản, thủy sản áp dụng, đánh giá, chứng nhận HACCP/ISO 22000”.</w:t>
      </w:r>
    </w:p>
    <w:p>
      <w:pPr>
        <w:pStyle w:val="Normal"/>
        <w:widowControl w:val="false"/>
        <w:tabs>
          <w:tab w:val="clear" w:pos="720"/>
          <w:tab w:val="left" w:pos="709" w:leader="none"/>
        </w:tabs>
        <w:spacing w:before="120" w:after="0"/>
        <w:ind w:firstLine="720"/>
        <w:jc w:val="both"/>
        <w:rPr/>
      </w:pPr>
      <w:r>
        <w:rPr>
          <w:sz w:val="28"/>
          <w:szCs w:val="28"/>
          <w:lang w:val="pt-BR"/>
        </w:rPr>
        <w:t>- C</w:t>
      </w:r>
      <w:r>
        <w:rPr>
          <w:sz w:val="28"/>
          <w:szCs w:val="28"/>
          <w:lang w:val="sv-SE"/>
        </w:rPr>
        <w:t>hỉ đạo hướng dẫn các địa phương tập trung nguồn lực t</w:t>
      </w:r>
      <w:r>
        <w:rPr>
          <w:bCs/>
          <w:sz w:val="28"/>
          <w:szCs w:val="28"/>
          <w:lang w:val="nl-NL"/>
        </w:rPr>
        <w:t xml:space="preserve">iếp tục nhân rộng số lượng, mở rộng quy mô chuỗi cung ứng nông lâm thủy sản an toàn; </w:t>
      </w:r>
      <w:r>
        <w:rPr>
          <w:sz w:val="28"/>
          <w:szCs w:val="28"/>
          <w:lang w:val="sv-SE"/>
        </w:rPr>
        <w:t>vận động cơ sở sản xuất, sơ chế, kinh doanh nhỏ lẻ ký cam kết và tuân thủ quy định ATTP.</w:t>
      </w:r>
    </w:p>
    <w:p>
      <w:pPr>
        <w:pStyle w:val="Normal"/>
        <w:widowControl w:val="false"/>
        <w:spacing w:before="120" w:after="0"/>
        <w:ind w:firstLine="720"/>
        <w:jc w:val="both"/>
        <w:rPr>
          <w:bCs/>
          <w:sz w:val="28"/>
          <w:szCs w:val="28"/>
          <w:lang w:val="nl-NL"/>
        </w:rPr>
      </w:pPr>
      <w:r>
        <w:rPr>
          <w:sz w:val="28"/>
          <w:szCs w:val="28"/>
          <w:lang w:val="nl-NL"/>
        </w:rPr>
        <w:t>- D</w:t>
      </w:r>
      <w:r>
        <w:rPr>
          <w:sz w:val="28"/>
          <w:szCs w:val="28"/>
          <w:lang w:val="sv-SE"/>
        </w:rPr>
        <w:t xml:space="preserve">uy trì triển khai các chương trình giám sát vệ sinh ATTP nông lâm thủy sản kịp thời cảnh báo, xử lý vi phạm theo quy định. </w:t>
      </w:r>
      <w:r>
        <w:rPr>
          <w:bCs/>
          <w:sz w:val="28"/>
          <w:szCs w:val="28"/>
          <w:lang w:val="sv-SE"/>
        </w:rPr>
        <w:t xml:space="preserve">Chủ động tiếp nhận thông tin, </w:t>
      </w:r>
      <w:r>
        <w:rPr>
          <w:bCs/>
          <w:sz w:val="28"/>
          <w:szCs w:val="28"/>
          <w:lang w:val="nl-NL"/>
        </w:rPr>
        <w:t>thanh tra đột xuất, xử lý kịp thời, nghiêm túc các vi phạm về ATTP. Duy trì kiểm nghiệm, thẩm tra, chứng nhận kịp thời phục vụ doanh nghiệp thủy sản xuất khẩu.</w:t>
      </w:r>
    </w:p>
    <w:p>
      <w:pPr>
        <w:pStyle w:val="Normal"/>
        <w:widowControl w:val="false"/>
        <w:spacing w:before="120" w:after="0"/>
        <w:ind w:firstLine="720"/>
        <w:jc w:val="both"/>
        <w:rPr/>
      </w:pPr>
      <w:r>
        <w:rPr>
          <w:b/>
          <w:bCs/>
          <w:sz w:val="28"/>
          <w:szCs w:val="28"/>
          <w:lang w:val="nb-NO"/>
        </w:rPr>
        <w:t>7. Phát triển nông thôn và xây dựng nông thôn mới</w:t>
      </w:r>
    </w:p>
    <w:p>
      <w:pPr>
        <w:pStyle w:val="Normal"/>
        <w:spacing w:before="120" w:after="0"/>
        <w:ind w:firstLine="720"/>
        <w:jc w:val="both"/>
        <w:rPr>
          <w:sz w:val="28"/>
          <w:szCs w:val="28"/>
          <w:shd w:fill="FFFFFF" w:val="clear"/>
          <w:lang w:val="nb-NO"/>
        </w:rPr>
      </w:pPr>
      <w:r>
        <w:rPr>
          <w:sz w:val="28"/>
          <w:szCs w:val="28"/>
          <w:lang w:val="nb-NO"/>
        </w:rPr>
        <w:t>- Tiếp tục hoàn thiện, trình Chính phủ, TTCP: Nghị quyết về phát triển HTX. Xây dựng Kế hoạch hành động, hướng dẫn các địa phương tổ chức triển khai thực hiện các Chương trình, Chiến lược, Đề án đã được TTgCP phê duyệt. Tổ chức Hội thảo nội dung về Đề án thí điểm xây dựng vùng nguyên liệu cây ăn quả đạt chuẩn tại các tỉnh: Hòa Bình, Sơn La; kiểm tra giám sát thực hiện tại các địa phương về phát triển HTX, liên kết, Đề án HTX biến đổi khí hậu, dự án GIC, Đề án thí điểm vùng nguyên liệu…</w:t>
      </w:r>
      <w:r>
        <w:rPr>
          <w:lang w:val="nb-NO"/>
        </w:rPr>
        <w:t xml:space="preserve"> </w:t>
      </w:r>
      <w:r>
        <w:rPr>
          <w:bCs/>
          <w:iCs/>
          <w:sz w:val="28"/>
          <w:szCs w:val="28"/>
          <w:lang w:val="nb-NO"/>
        </w:rPr>
        <w:t xml:space="preserve">Chỉ đạo thực hiện, kiểm tra các nhiệm vụ, mô hình giảm nghèo; tiếp tục triển khai </w:t>
      </w:r>
      <w:r>
        <w:rPr>
          <w:sz w:val="28"/>
          <w:szCs w:val="28"/>
          <w:lang w:val="nb-NO"/>
        </w:rPr>
        <w:t xml:space="preserve">Chương trình Không còn nạn đói; Chương trình bố trí dân cư; Chương trình bảo tồn và phát triển làng nghề… </w:t>
      </w:r>
    </w:p>
    <w:p>
      <w:pPr>
        <w:pStyle w:val="Normal"/>
        <w:widowControl w:val="false"/>
        <w:tabs>
          <w:tab w:val="clear" w:pos="720"/>
          <w:tab w:val="left" w:pos="709" w:leader="none"/>
        </w:tabs>
        <w:spacing w:before="120" w:after="0"/>
        <w:ind w:firstLine="720"/>
        <w:jc w:val="both"/>
        <w:rPr>
          <w:spacing w:val="-2"/>
          <w:sz w:val="28"/>
          <w:szCs w:val="28"/>
          <w:lang w:val="nb-NO"/>
        </w:rPr>
      </w:pPr>
      <w:r>
        <w:rPr>
          <w:spacing w:val="-2"/>
          <w:sz w:val="28"/>
          <w:szCs w:val="28"/>
          <w:lang w:val="de-DE" w:eastAsia="ja-JP"/>
        </w:rPr>
        <w:t xml:space="preserve">- </w:t>
      </w:r>
      <w:r>
        <w:rPr>
          <w:bCs/>
          <w:spacing w:val="-2"/>
          <w:sz w:val="28"/>
          <w:szCs w:val="28"/>
          <w:lang w:val="de-DE" w:eastAsia="ja-JP"/>
        </w:rPr>
        <w:t xml:space="preserve">Hoàn thiện hồ sơ trình TTgCP xem xét, </w:t>
      </w:r>
      <w:r>
        <w:rPr>
          <w:iCs/>
          <w:spacing w:val="-2"/>
          <w:sz w:val="28"/>
          <w:szCs w:val="28"/>
          <w:lang w:val="nb-NO"/>
        </w:rPr>
        <w:t>ban hành Bộ tiêu chí đánh giá, phân hạng sản phẩm Chương trình OCOP giai đoạn 2021 - 2025</w:t>
      </w:r>
      <w:r>
        <w:rPr>
          <w:bCs/>
          <w:spacing w:val="-2"/>
          <w:sz w:val="28"/>
          <w:szCs w:val="28"/>
          <w:lang w:val="nb-NO"/>
        </w:rPr>
        <w:t xml:space="preserve">; trình </w:t>
      </w:r>
      <w:r>
        <w:rPr>
          <w:spacing w:val="-2"/>
          <w:sz w:val="28"/>
          <w:szCs w:val="28"/>
          <w:lang w:val="nb-NO"/>
        </w:rPr>
        <w:t>ban hành Nghị quyết về tập trung lãnh đạo, chỉ đạo thực hiện Chương trình MTQG xây dựng nông thôn mới gắn với cơ cấu lại nông nghiệp giai đoạn 2021 - 2025. Tiếp tục hướng dẫn các địa phương triển khai Chương trình OCOP và tổ chức đánh giá, phân hạng sản phẩm OCOP cấp quốc gia. T</w:t>
      </w:r>
      <w:r>
        <w:rPr>
          <w:bCs/>
          <w:spacing w:val="-2"/>
          <w:sz w:val="28"/>
          <w:szCs w:val="28"/>
          <w:lang w:val="nb-NO"/>
        </w:rPr>
        <w:t>ổ chức Hội nghị toàn quốc về Quy hoạch nông thôn trong xây dựng nông thôn mới gắn với quá trình đô thị hóa.</w:t>
      </w:r>
    </w:p>
    <w:p>
      <w:pPr>
        <w:pStyle w:val="Normal"/>
        <w:widowControl w:val="false"/>
        <w:spacing w:before="120" w:after="0"/>
        <w:ind w:firstLine="720"/>
        <w:jc w:val="both"/>
        <w:rPr/>
      </w:pPr>
      <w:r>
        <w:rPr>
          <w:b/>
          <w:sz w:val="28"/>
          <w:szCs w:val="28"/>
          <w:lang w:val="it-IT"/>
        </w:rPr>
        <w:t>8.</w:t>
      </w:r>
      <w:r>
        <w:rPr>
          <w:sz w:val="28"/>
          <w:szCs w:val="28"/>
          <w:lang w:val="it-IT"/>
        </w:rPr>
        <w:t xml:space="preserve"> </w:t>
      </w:r>
      <w:r>
        <w:rPr>
          <w:b/>
          <w:bCs/>
          <w:sz w:val="28"/>
          <w:szCs w:val="28"/>
          <w:lang w:val="sv-SE"/>
        </w:rPr>
        <w:t>Thủy lợi, phòng chống thiên tai</w:t>
      </w:r>
    </w:p>
    <w:p>
      <w:pPr>
        <w:pStyle w:val="Normal"/>
        <w:widowControl w:val="false"/>
        <w:spacing w:before="120" w:after="0"/>
        <w:ind w:firstLine="720"/>
        <w:jc w:val="both"/>
        <w:rPr>
          <w:sz w:val="28"/>
          <w:szCs w:val="28"/>
          <w:lang w:val="sv-SE"/>
        </w:rPr>
      </w:pPr>
      <w:bookmarkStart w:id="29" w:name="_Hlk62819938"/>
      <w:bookmarkStart w:id="30" w:name="_Hlk57618114"/>
      <w:bookmarkStart w:id="31" w:name="_Hlk54712029"/>
      <w:bookmarkEnd w:id="29"/>
      <w:bookmarkEnd w:id="30"/>
      <w:bookmarkEnd w:id="31"/>
      <w:r>
        <w:rPr>
          <w:sz w:val="28"/>
          <w:szCs w:val="28"/>
          <w:lang w:val="sv-SE"/>
        </w:rPr>
        <w:t xml:space="preserve">- Theo dõi chặt chẽ tình hình thời tiết, nguồn nước, xâm nhập mặn để chỉ đạo ứng phó kịp thời, hỗ trợ các cấp chính quyền và người dân chủ động chuẩn bị sẵn sàng ứng phó và khắc phục hậu quả được kịp thời, hiệu quả; Chỉ đạo các địa phương tăng cường công tác quản lý, vận hành đảm bảo an toàn đập; chỉ đạo vận hành các liên hồ chứa, quản lý đê điều và chuẩn bị sẵn sàng hộ đê, chống lụt, đảm bảo an toàn công trình trong mùa mưa lũ. </w:t>
      </w:r>
    </w:p>
    <w:p>
      <w:pPr>
        <w:pStyle w:val="Normal"/>
        <w:widowControl w:val="false"/>
        <w:spacing w:before="120" w:after="0"/>
        <w:ind w:firstLine="720"/>
        <w:jc w:val="both"/>
        <w:rPr>
          <w:sz w:val="28"/>
          <w:szCs w:val="28"/>
          <w:lang w:val="sv-SE"/>
        </w:rPr>
      </w:pPr>
      <w:r>
        <w:rPr>
          <w:sz w:val="28"/>
          <w:szCs w:val="28"/>
          <w:lang w:val="sv-SE"/>
        </w:rPr>
        <w:t>Theo dõi chặt chẽ tình hình nguồn n</w:t>
      </w:r>
      <w:r>
        <w:rPr>
          <w:sz w:val="28"/>
          <w:szCs w:val="28"/>
          <w:lang w:val="sv-SE"/>
        </w:rPr>
        <w:t>ư</w:t>
      </w:r>
      <w:r>
        <w:rPr>
          <w:sz w:val="28"/>
          <w:szCs w:val="28"/>
          <w:lang w:val="sv-SE"/>
        </w:rPr>
        <w:t xml:space="preserve">ớc, lũ tại đồng bằng sông Cửu Long, kịp thời cung cấp cho các </w:t>
      </w:r>
      <w:r>
        <w:rPr>
          <w:sz w:val="28"/>
          <w:szCs w:val="28"/>
          <w:lang w:val="sv-SE"/>
        </w:rPr>
        <w:t>đ</w:t>
      </w:r>
      <w:r>
        <w:rPr>
          <w:sz w:val="28"/>
          <w:szCs w:val="28"/>
          <w:lang w:val="sv-SE"/>
        </w:rPr>
        <w:t>ịa ph</w:t>
      </w:r>
      <w:r>
        <w:rPr>
          <w:sz w:val="28"/>
          <w:szCs w:val="28"/>
          <w:lang w:val="sv-SE"/>
        </w:rPr>
        <w:t>ươ</w:t>
      </w:r>
      <w:r>
        <w:rPr>
          <w:sz w:val="28"/>
          <w:szCs w:val="28"/>
          <w:lang w:val="sv-SE"/>
        </w:rPr>
        <w:t xml:space="preserve">ng tổ chức sản xuất vụ Thu </w:t>
      </w:r>
      <w:r>
        <w:rPr>
          <w:sz w:val="28"/>
          <w:szCs w:val="28"/>
          <w:lang w:val="sv-SE"/>
        </w:rPr>
        <w:t>Đô</w:t>
      </w:r>
      <w:r>
        <w:rPr>
          <w:sz w:val="28"/>
          <w:szCs w:val="28"/>
          <w:lang w:val="sv-SE"/>
        </w:rPr>
        <w:t xml:space="preserve">ng. Xây dựng kế hoạch và Thông báo lịch lấy nước phục vụ gieo cấy lúa vụ Đông Xuân 2022 - 2023 khu vực Trung du và </w:t>
      </w:r>
      <w:r>
        <w:rPr>
          <w:sz w:val="28"/>
          <w:szCs w:val="28"/>
          <w:lang w:val="sv-SE"/>
        </w:rPr>
        <w:t>Đ</w:t>
      </w:r>
      <w:r>
        <w:rPr>
          <w:sz w:val="28"/>
          <w:szCs w:val="28"/>
          <w:lang w:val="sv-SE"/>
        </w:rPr>
        <w:t xml:space="preserve">ồng bằng Bắc Bộ. </w:t>
      </w:r>
    </w:p>
    <w:p>
      <w:pPr>
        <w:pStyle w:val="Normal"/>
        <w:widowControl w:val="false"/>
        <w:shd w:fill="FFFFFF" w:val="clear"/>
        <w:spacing w:before="120" w:after="0"/>
        <w:ind w:firstLine="709"/>
        <w:jc w:val="both"/>
        <w:rPr>
          <w:sz w:val="28"/>
          <w:szCs w:val="28"/>
          <w:lang w:val="sv-SE"/>
        </w:rPr>
      </w:pPr>
      <w:r>
        <w:rPr>
          <w:sz w:val="28"/>
          <w:szCs w:val="28"/>
          <w:lang w:val="sv-SE"/>
        </w:rPr>
        <w:t xml:space="preserve">- </w:t>
      </w:r>
      <w:r>
        <w:rPr>
          <w:sz w:val="28"/>
          <w:szCs w:val="28"/>
          <w:shd w:fill="FFFFFF" w:val="clear"/>
          <w:lang w:val="sv-SE"/>
        </w:rPr>
        <w:t xml:space="preserve">Hoàn thiện báo cáo kết quả thực hiện nguồn kinh phí Trung ương tạm cấp năm 2020, trình TTgCP xem xét, quyết định. </w:t>
      </w:r>
      <w:r>
        <w:rPr>
          <w:sz w:val="28"/>
          <w:szCs w:val="28"/>
          <w:lang w:val="sv-SE"/>
        </w:rPr>
        <w:t xml:space="preserve">Xây dựng Đề án tổ chức Hội nghị Bộ trưởng ASEAN về Quản lý thiên tai lần thứ 11 (AMMDM-11) và các hoạt động liên quan trong năm 2023 với vai trò Việt Nam là Chủ tịch Ủy ban ASEAN quản lý thiên tai. Kết luận thanh tra việc chấp hành pháp luật về quản lý an toàn </w:t>
      </w:r>
      <w:r>
        <w:rPr>
          <w:sz w:val="28"/>
          <w:szCs w:val="28"/>
          <w:lang w:val="sv-SE"/>
        </w:rPr>
        <w:t>đ</w:t>
      </w:r>
      <w:r>
        <w:rPr>
          <w:sz w:val="28"/>
          <w:szCs w:val="28"/>
          <w:lang w:val="sv-SE"/>
        </w:rPr>
        <w:t>ập, hồ chứa n</w:t>
      </w:r>
      <w:r>
        <w:rPr>
          <w:sz w:val="28"/>
          <w:szCs w:val="28"/>
          <w:lang w:val="sv-SE"/>
        </w:rPr>
        <w:t>ư</w:t>
      </w:r>
      <w:r>
        <w:rPr>
          <w:sz w:val="28"/>
          <w:szCs w:val="28"/>
          <w:lang w:val="sv-SE"/>
        </w:rPr>
        <w:t>ớc tại Công ty TNHHMTV Dịch vụ thủy lợi Bình Ph</w:t>
      </w:r>
      <w:r>
        <w:rPr>
          <w:sz w:val="28"/>
          <w:szCs w:val="28"/>
          <w:lang w:val="sv-SE"/>
        </w:rPr>
        <w:t>ư</w:t>
      </w:r>
      <w:r>
        <w:rPr>
          <w:sz w:val="28"/>
          <w:szCs w:val="28"/>
          <w:lang w:val="sv-SE"/>
        </w:rPr>
        <w:t>ớc, tỉnh Bình Ph</w:t>
      </w:r>
      <w:r>
        <w:rPr>
          <w:sz w:val="28"/>
          <w:szCs w:val="28"/>
          <w:lang w:val="sv-SE"/>
        </w:rPr>
        <w:t>ư</w:t>
      </w:r>
      <w:r>
        <w:rPr>
          <w:sz w:val="28"/>
          <w:szCs w:val="28"/>
          <w:lang w:val="sv-SE"/>
        </w:rPr>
        <w:t xml:space="preserve">ớc. </w:t>
      </w:r>
    </w:p>
    <w:p>
      <w:pPr>
        <w:pStyle w:val="Normal"/>
        <w:widowControl w:val="false"/>
        <w:spacing w:before="120" w:after="0"/>
        <w:ind w:firstLine="709"/>
        <w:jc w:val="both"/>
        <w:rPr>
          <w:sz w:val="28"/>
          <w:szCs w:val="28"/>
          <w:lang w:val="sv-SE"/>
        </w:rPr>
      </w:pPr>
      <w:r>
        <w:rPr>
          <w:sz w:val="28"/>
          <w:szCs w:val="28"/>
          <w:lang w:val="sv-SE"/>
        </w:rPr>
        <w:t xml:space="preserve">- Họp Hội đồng thẩm định và hoàn thiện hồ sơ trình TTgCP phê duyệt Quy hoạch Phòng, chống thiên tai và Thủy lợi giai đoạn 2021 - 2030, tầm nhìn 2045; </w:t>
      </w:r>
      <w:r>
        <w:rPr>
          <w:bCs/>
          <w:sz w:val="28"/>
          <w:szCs w:val="28"/>
          <w:lang w:val="sv-SE"/>
        </w:rPr>
        <w:t>hoàn thiện Tờ trình và dự thảo Quyết định điều chỉnh bổ sung một số điều của Quyết định số 257/QĐ-TTg</w:t>
      </w:r>
      <w:r>
        <w:rPr>
          <w:sz w:val="28"/>
          <w:szCs w:val="28"/>
          <w:lang w:val="sv-SE"/>
        </w:rPr>
        <w:t xml:space="preserve"> phê duyệt quy hoạch phòng chống lũ và quy hoạch đê điều hệ thống sông Hồng, sông Thái Bình. Phối hợp Văn phòng Chính phủ trình TTCP phê duyệt Kế hoạch hành động thực hiện Kết luận số 36-KL/TW ngày 23/6/2022 của Bộ Chính trị về Đề án “An ninh nguồn nước và an toàn đập, hồ chứa giai đoạn 2021-2025, tầm nhìn 2045”. </w:t>
      </w:r>
    </w:p>
    <w:p>
      <w:pPr>
        <w:pStyle w:val="Normal"/>
        <w:widowControl w:val="false"/>
        <w:tabs>
          <w:tab w:val="clear" w:pos="720"/>
          <w:tab w:val="left" w:pos="709" w:leader="none"/>
        </w:tabs>
        <w:spacing w:before="120" w:after="0"/>
        <w:ind w:firstLine="709"/>
        <w:jc w:val="both"/>
        <w:rPr/>
      </w:pPr>
      <w:bookmarkStart w:id="32" w:name="_Hlk62819938"/>
      <w:bookmarkStart w:id="33" w:name="_Hlk57618114"/>
      <w:bookmarkStart w:id="34" w:name="_Hlk54712029"/>
      <w:bookmarkEnd w:id="32"/>
      <w:bookmarkEnd w:id="33"/>
      <w:bookmarkEnd w:id="34"/>
      <w:r>
        <w:rPr>
          <w:b/>
          <w:sz w:val="28"/>
          <w:szCs w:val="28"/>
          <w:lang w:val="de-DE" w:eastAsia="ja-JP"/>
        </w:rPr>
        <w:t>9.</w:t>
      </w:r>
      <w:r>
        <w:rPr>
          <w:b/>
          <w:sz w:val="28"/>
          <w:szCs w:val="28"/>
          <w:lang w:val="nb-NO"/>
        </w:rPr>
        <w:t xml:space="preserve"> Đầu tư xây dựng cơ bản</w:t>
      </w:r>
    </w:p>
    <w:p>
      <w:pPr>
        <w:pStyle w:val="NoSpacing"/>
        <w:tabs>
          <w:tab w:val="clear" w:pos="720"/>
          <w:tab w:val="left" w:pos="851" w:leader="none"/>
        </w:tabs>
        <w:spacing w:before="120" w:after="0"/>
        <w:ind w:firstLine="567"/>
        <w:jc w:val="both"/>
        <w:rPr>
          <w:b/>
          <w:b/>
          <w:bCs/>
          <w:i/>
          <w:i/>
          <w:sz w:val="28"/>
          <w:szCs w:val="28"/>
          <w:lang w:val="nb-NO"/>
        </w:rPr>
      </w:pPr>
      <w:bookmarkStart w:id="35" w:name="_Hlk65160903"/>
      <w:bookmarkStart w:id="36" w:name="_Hlk62820197"/>
      <w:bookmarkEnd w:id="35"/>
      <w:bookmarkEnd w:id="36"/>
      <w:r>
        <w:rPr>
          <w:sz w:val="28"/>
          <w:szCs w:val="28"/>
          <w:lang w:val="nb-NO"/>
        </w:rPr>
        <w:t>Phấn đấu giải ngân lũy kế hết tháng 12 năm 2022 đạt trên 65% vốn trong nước, vốn nước ngoài đạt 70%.</w:t>
      </w:r>
    </w:p>
    <w:p>
      <w:pPr>
        <w:pStyle w:val="Normal"/>
        <w:widowControl w:val="false"/>
        <w:numPr>
          <w:ilvl w:val="0"/>
          <w:numId w:val="0"/>
        </w:numPr>
        <w:spacing w:before="120" w:after="0"/>
        <w:ind w:left="142" w:firstLine="567"/>
        <w:jc w:val="both"/>
        <w:outlineLvl w:val="0"/>
        <w:rPr>
          <w:sz w:val="28"/>
          <w:szCs w:val="28"/>
          <w:lang w:val="de-DE"/>
        </w:rPr>
      </w:pPr>
      <w:r>
        <w:rPr>
          <w:i/>
          <w:sz w:val="28"/>
          <w:szCs w:val="28"/>
          <w:lang w:val="de-DE"/>
        </w:rPr>
        <w:t xml:space="preserve">-  Các dự án chuyển tiếp: </w:t>
      </w:r>
      <w:r>
        <w:rPr>
          <w:sz w:val="28"/>
          <w:szCs w:val="28"/>
          <w:lang w:val="de-DE"/>
        </w:rPr>
        <w:t xml:space="preserve">Tiếp tục bám sát Văn phòng Chính phủ, các Bộ, ngành có liên quan để tháo gỡ vướng mắc cho 3 dự án </w:t>
      </w:r>
      <w:r>
        <w:rPr>
          <w:sz w:val="28"/>
          <w:szCs w:val="28"/>
          <w:lang w:val="nb-NO"/>
        </w:rPr>
        <w:t>có khối lượng lớn là dự án Hồ Cánh Tạng, tỉnh Hòa Bình; Hồ Bản Mồng, tỉnh Nghệ An và Hồ Krông Pách Thượng, tỉnh Đăk Lăk</w:t>
      </w:r>
      <w:r>
        <w:rPr>
          <w:sz w:val="28"/>
          <w:szCs w:val="28"/>
          <w:lang w:val="de-DE"/>
        </w:rPr>
        <w:t xml:space="preserve">. Yêu cầu các Chủ đầu tư rà soát, điều chỉnh tiến độ thực hiện giải ngân chi tiết hàng tháng phù hợp với thực tế hiện trường; chấp thuận để đôn đốc thực hiện; bám sát mục tiêu giải ngân yêu cầu của Bộ. </w:t>
      </w:r>
    </w:p>
    <w:p>
      <w:pPr>
        <w:pStyle w:val="Normal"/>
        <w:widowControl w:val="false"/>
        <w:spacing w:before="120" w:after="0"/>
        <w:ind w:left="142" w:firstLine="567"/>
        <w:jc w:val="both"/>
        <w:rPr/>
      </w:pPr>
      <w:r>
        <w:rPr>
          <w:i/>
          <w:sz w:val="28"/>
          <w:szCs w:val="28"/>
          <w:lang w:val="de-DE"/>
        </w:rPr>
        <w:t xml:space="preserve">-  Các dự án mở mới: </w:t>
      </w:r>
      <w:r>
        <w:rPr>
          <w:sz w:val="28"/>
          <w:szCs w:val="28"/>
          <w:lang w:val="de-DE"/>
        </w:rPr>
        <w:t>Đôn đốc, hướng dẫn các chủ đầu tư các dự án đã được phê duyệt dự án tiến hành thủ tục đấu thầu tư vấn, khảo sát lập Thiết kế kỹ thuật; Bản vẽ thi công… Đôn đốc đơn vị tư vấn phối hợp chặt chẽ trong quá trình khảo sát thiết kế, rút ngắn thời gian hoàn thiện hồ sơ, đảm bảo chất lượng đủ điều kiện trình phê duyệt dự án.</w:t>
      </w:r>
    </w:p>
    <w:p>
      <w:pPr>
        <w:pStyle w:val="Normal"/>
        <w:widowControl w:val="false"/>
        <w:spacing w:before="120" w:after="0"/>
        <w:ind w:firstLine="720"/>
        <w:jc w:val="both"/>
        <w:rPr/>
      </w:pPr>
      <w:bookmarkStart w:id="37" w:name="_Hlk65160903"/>
      <w:bookmarkStart w:id="38" w:name="_Hlk62820197"/>
      <w:bookmarkEnd w:id="37"/>
      <w:bookmarkEnd w:id="38"/>
      <w:r>
        <w:rPr>
          <w:b/>
          <w:sz w:val="28"/>
          <w:szCs w:val="28"/>
          <w:lang w:val="de-DE" w:eastAsia="ja-JP"/>
        </w:rPr>
        <w:t>10.</w:t>
      </w:r>
      <w:r>
        <w:rPr>
          <w:b/>
          <w:sz w:val="28"/>
          <w:szCs w:val="28"/>
          <w:lang w:val="da-DK"/>
        </w:rPr>
        <w:t xml:space="preserve"> Các nhiệm vụ khác</w:t>
      </w:r>
    </w:p>
    <w:p>
      <w:pPr>
        <w:pStyle w:val="Normal"/>
        <w:widowControl w:val="false"/>
        <w:spacing w:before="120" w:after="0"/>
        <w:ind w:firstLine="720"/>
        <w:jc w:val="both"/>
        <w:rPr>
          <w:sz w:val="28"/>
          <w:szCs w:val="28"/>
          <w:lang w:val="pt-BR"/>
        </w:rPr>
      </w:pPr>
      <w:r>
        <w:rPr>
          <w:iCs/>
          <w:sz w:val="28"/>
          <w:szCs w:val="28"/>
          <w:lang w:val="da-DK"/>
        </w:rPr>
        <w:t>- K</w:t>
      </w:r>
      <w:r>
        <w:rPr>
          <w:iCs/>
          <w:sz w:val="28"/>
          <w:szCs w:val="28"/>
          <w:lang w:val="vi-VN"/>
        </w:rPr>
        <w:t>ế hoạch, tài chính</w:t>
      </w:r>
      <w:r>
        <w:rPr>
          <w:iCs/>
          <w:sz w:val="28"/>
          <w:szCs w:val="28"/>
          <w:lang w:val="da-DK"/>
        </w:rPr>
        <w:t xml:space="preserve">: </w:t>
      </w:r>
      <w:bookmarkStart w:id="39" w:name="_Hlk83738655"/>
      <w:r>
        <w:rPr>
          <w:iCs/>
          <w:sz w:val="28"/>
          <w:szCs w:val="28"/>
          <w:lang w:val="da-DK"/>
        </w:rPr>
        <w:t xml:space="preserve">Tổng hợp, đánh giá kết quả 01 năm thực hiện </w:t>
      </w:r>
      <w:r>
        <w:rPr>
          <w:bCs/>
          <w:iCs/>
          <w:sz w:val="28"/>
          <w:szCs w:val="28"/>
          <w:lang w:val="da-DK"/>
        </w:rPr>
        <w:t xml:space="preserve">Chiến lược và Kế hoạch cơ cấu lại ngành; Tổ chức Hội nghị công bố </w:t>
      </w:r>
      <w:r>
        <w:rPr>
          <w:iCs/>
          <w:sz w:val="28"/>
          <w:szCs w:val="28"/>
          <w:lang w:val="da-DK"/>
        </w:rPr>
        <w:t>Bộ chỉ tiêu giám sát thực hiện Chiến lược phát triển Ngành</w:t>
      </w:r>
      <w:r>
        <w:rPr>
          <w:bCs/>
          <w:iCs/>
          <w:sz w:val="28"/>
          <w:szCs w:val="28"/>
          <w:lang w:val="da-DK"/>
        </w:rPr>
        <w:t xml:space="preserve">. </w:t>
      </w:r>
      <w:bookmarkEnd w:id="39"/>
      <w:r>
        <w:rPr>
          <w:sz w:val="28"/>
          <w:szCs w:val="28"/>
          <w:lang w:val="da-DK"/>
        </w:rPr>
        <w:t xml:space="preserve">Phối hợp với Văn phòng chính phủ để  Chính phủ ban hành </w:t>
      </w:r>
      <w:r>
        <w:rPr>
          <w:bCs/>
          <w:iCs/>
          <w:sz w:val="28"/>
          <w:szCs w:val="28"/>
          <w:lang w:val="sv-SE"/>
        </w:rPr>
        <w:t xml:space="preserve">Nghị quyết về </w:t>
      </w:r>
      <w:r>
        <w:rPr>
          <w:bCs/>
          <w:iCs/>
          <w:sz w:val="28"/>
          <w:szCs w:val="28"/>
          <w:lang w:val="vi-VN"/>
        </w:rPr>
        <w:t>Chương trình</w:t>
      </w:r>
      <w:r>
        <w:rPr>
          <w:bCs/>
          <w:iCs/>
          <w:sz w:val="28"/>
          <w:szCs w:val="28"/>
          <w:lang w:val="sv-SE"/>
        </w:rPr>
        <w:t xml:space="preserve"> hành động</w:t>
      </w:r>
      <w:r>
        <w:rPr>
          <w:bCs/>
          <w:iCs/>
          <w:sz w:val="28"/>
          <w:szCs w:val="28"/>
          <w:lang w:val="vi-VN"/>
        </w:rPr>
        <w:t xml:space="preserve"> của </w:t>
      </w:r>
      <w:r>
        <w:rPr>
          <w:bCs/>
          <w:iCs/>
          <w:sz w:val="28"/>
          <w:szCs w:val="28"/>
          <w:lang w:val="sv-SE"/>
        </w:rPr>
        <w:t>thực hiện Nghị quyết số 19-NQ/TW ngày 16/6/2022, xây dựng KH hành động của Bộ thực hiện Nghị quyết 19-NQ/TW</w:t>
      </w:r>
      <w:r>
        <w:rPr>
          <w:bCs/>
          <w:sz w:val="28"/>
          <w:szCs w:val="28"/>
          <w:lang w:val="pt-BR"/>
        </w:rPr>
        <w:t xml:space="preserve">. Hoàn thiện Kế hoạch đầu tư công, dự toán NSNN năm 2023 để chuẩn bị </w:t>
      </w:r>
      <w:r>
        <w:rPr>
          <w:sz w:val="28"/>
          <w:szCs w:val="28"/>
          <w:lang w:val="nl-NL"/>
        </w:rPr>
        <w:t>giao; theo dõi thực hiện kiến nghị của K</w:t>
      </w:r>
      <w:r>
        <w:rPr>
          <w:sz w:val="28"/>
          <w:szCs w:val="28"/>
          <w:lang w:val="vi-VN"/>
        </w:rPr>
        <w:t>iểm toán</w:t>
      </w:r>
      <w:r>
        <w:rPr>
          <w:sz w:val="28"/>
          <w:szCs w:val="28"/>
          <w:lang w:val="nl-NL"/>
        </w:rPr>
        <w:t xml:space="preserve"> ngân sách</w:t>
      </w:r>
      <w:r>
        <w:rPr>
          <w:sz w:val="28"/>
          <w:szCs w:val="28"/>
          <w:lang w:val="vi-VN"/>
        </w:rPr>
        <w:t xml:space="preserve"> năm 202</w:t>
      </w:r>
      <w:r>
        <w:rPr>
          <w:sz w:val="28"/>
          <w:szCs w:val="28"/>
          <w:lang w:val="nl-NL"/>
        </w:rPr>
        <w:t xml:space="preserve">1; </w:t>
      </w:r>
      <w:r>
        <w:rPr>
          <w:sz w:val="28"/>
          <w:szCs w:val="28"/>
          <w:lang w:val="pt-BR"/>
        </w:rPr>
        <w:t>k</w:t>
      </w:r>
      <w:r>
        <w:rPr>
          <w:sz w:val="28"/>
          <w:szCs w:val="28"/>
          <w:lang w:val="vi-VN"/>
        </w:rPr>
        <w:t>iểm tra hiện trạng nhà đất tại tỉnh Yên Bái, Sơn La</w:t>
      </w:r>
      <w:r>
        <w:rPr>
          <w:sz w:val="28"/>
          <w:szCs w:val="28"/>
          <w:lang w:val="pt-BR"/>
        </w:rPr>
        <w:t>.</w:t>
      </w:r>
    </w:p>
    <w:p>
      <w:pPr>
        <w:pStyle w:val="Normal"/>
        <w:tabs>
          <w:tab w:val="clear" w:pos="720"/>
          <w:tab w:val="left" w:pos="426" w:leader="none"/>
          <w:tab w:val="left" w:pos="709" w:leader="none"/>
          <w:tab w:val="left" w:pos="1418" w:leader="none"/>
          <w:tab w:val="left" w:pos="2127" w:leader="none"/>
        </w:tabs>
        <w:spacing w:before="120" w:after="0"/>
        <w:jc w:val="both"/>
        <w:rPr/>
      </w:pPr>
      <w:r>
        <w:rPr>
          <w:sz w:val="28"/>
          <w:szCs w:val="28"/>
          <w:lang w:val="es-ES"/>
        </w:rPr>
        <w:tab/>
        <w:tab/>
        <w:t>- Tổ chức cán bộ: Triển khai Nghị định Quy định chức năng, nhiệm vụ, quyền hạn và cơ cấu tổ chức của Bộ Nông nghiệp và PTNT (thay thế Nghị định số 15/2017/NĐ-CP) ngay sau khi được Chính phủ ban hành. Xem xét ban hành ban hành Thông tư hướng dẫn thực hiện chức năng, nhiệm vụ, quyền hạn của cơ quan chuyên môn về nông nghiệp và phát triển nông thôn thuộc Ủy ban nhân dân cấp tỉnh, cấp huyện. Hoàn thiện và xem xét ban hành Quy chế Hội đồng Thi đua khen thưởng Bộ. Tiếp tục thí điểm triển khai cơ chế giao nhiệm vụ đào tạo một số ngành nông nghiệp trình độ đại học, cao đẳng.</w:t>
      </w:r>
    </w:p>
    <w:p>
      <w:pPr>
        <w:pStyle w:val="Normal"/>
        <w:widowControl w:val="false"/>
        <w:autoSpaceDE w:val="false"/>
        <w:spacing w:before="120" w:after="0"/>
        <w:ind w:right="85" w:firstLine="709"/>
        <w:jc w:val="both"/>
        <w:rPr>
          <w:sz w:val="28"/>
          <w:szCs w:val="28"/>
          <w:lang w:val="nb-NO"/>
        </w:rPr>
      </w:pPr>
      <w:r>
        <w:rPr>
          <w:sz w:val="28"/>
          <w:szCs w:val="28"/>
          <w:lang w:val="es-ES"/>
        </w:rPr>
        <w:t xml:space="preserve">- Khoa học công nghệ: </w:t>
      </w:r>
      <w:r>
        <w:rPr>
          <w:bCs/>
          <w:sz w:val="28"/>
          <w:szCs w:val="28"/>
          <w:lang w:val="es-ES"/>
        </w:rPr>
        <w:t>Thực hiện các công tác quản lý nhà nước về KHCN, khuyến nông, xây dựng tiêu chuẩn, quy chuẩn</w:t>
      </w:r>
      <w:r>
        <w:rPr>
          <w:sz w:val="28"/>
          <w:szCs w:val="28"/>
          <w:lang w:val="es-ES"/>
        </w:rPr>
        <w:t xml:space="preserve">. Thẩm định đề cương Dự án “Xây dựng hệ thống thông tin và cơ sở dữ liệu nền tảng ngành Nông nghiệp và PTNT”; xem xét ban hành Chiến lược phát triển khoa học, công nghệ và đổi mới sáng tạo ngành nông nghiệp và phát triển nông thôn giai đoạn 2021-2030. </w:t>
      </w:r>
    </w:p>
    <w:p>
      <w:pPr>
        <w:pStyle w:val="Contents"/>
        <w:widowControl w:val="false"/>
        <w:spacing w:before="120" w:after="0"/>
        <w:rPr/>
      </w:pPr>
      <w:r>
        <w:rPr/>
        <w:t xml:space="preserve">- </w:t>
      </w:r>
      <w:r>
        <w:rPr>
          <w:bCs/>
        </w:rPr>
        <w:t xml:space="preserve">Xây dựng văn bản quy phạm pháp luật: Tập trung đẩy nhanh tiến độ hoàn thành kế hoạch xây dựng văn bản năm 2022. Tháng 12, hoàn thành và trình Chính phủ ban hành </w:t>
      </w:r>
      <w:r>
        <w:rPr>
          <w:rStyle w:val="StrongEmphasis"/>
          <w:rFonts w:eastAsia="Batang;바탕"/>
          <w:b w:val="false"/>
        </w:rPr>
        <w:t>06 Nghị định trình Chính phủ</w:t>
      </w:r>
      <w:r>
        <w:rPr>
          <w:rStyle w:val="StrongEmphasis"/>
          <w:rFonts w:eastAsia="Batang;바탕"/>
          <w:b w:val="false"/>
          <w:iCs/>
        </w:rPr>
        <w:t>;</w:t>
      </w:r>
      <w:r>
        <w:rPr>
          <w:rStyle w:val="StrongEmphasis"/>
          <w:rFonts w:eastAsia="Batang;바탕"/>
          <w:b w:val="false"/>
        </w:rPr>
        <w:t xml:space="preserve"> </w:t>
      </w:r>
      <w:r>
        <w:rPr>
          <w:bCs/>
        </w:rPr>
        <w:t>trực tiếp ban hành 12 Thông tư</w:t>
      </w:r>
      <w:r>
        <w:rPr>
          <w:rStyle w:val="FootnoteCharacters"/>
          <w:rStyle w:val="FootnoteAnchor"/>
          <w:bCs/>
        </w:rPr>
        <w:footnoteReference w:id="18"/>
      </w:r>
      <w:r>
        <w:rPr>
          <w:bCs/>
        </w:rPr>
        <w:t xml:space="preserve"> </w:t>
      </w:r>
      <w:r>
        <w:rPr>
          <w:bCs/>
          <w:i/>
          <w:iCs/>
        </w:rPr>
        <w:t>(gồm 03 TT chưa được ban hành tháng 11).</w:t>
      </w:r>
      <w:r>
        <w:rPr>
          <w:bCs/>
        </w:rPr>
        <w:t xml:space="preserve"> </w:t>
      </w:r>
    </w:p>
    <w:p>
      <w:pPr>
        <w:pStyle w:val="Contents"/>
        <w:widowControl w:val="false"/>
        <w:spacing w:before="120" w:after="0"/>
        <w:rPr>
          <w:lang w:val="es-ES"/>
        </w:rPr>
      </w:pPr>
      <w:r>
        <w:rPr/>
        <w:t xml:space="preserve">- </w:t>
      </w:r>
      <w:bookmarkStart w:id="40" w:name="_Hlk73028830"/>
      <w:r>
        <w:rPr>
          <w:iCs/>
          <w:lang w:val="sv-SE"/>
        </w:rPr>
        <w:t xml:space="preserve">Đẩy mạnh </w:t>
      </w:r>
      <w:r>
        <w:rPr>
          <w:lang w:val="vi-VN"/>
        </w:rPr>
        <w:t>hoạt động cải cách hành chính</w:t>
      </w:r>
      <w:r>
        <w:rPr>
          <w:lang w:val="sv-SE"/>
        </w:rPr>
        <w:t>, thực hiện các nhiệm vụ về cải thiện môi trường đầu tư kinh doanh, tháo gỡ khó khăn cho doanh nghiệp;</w:t>
      </w:r>
      <w:r>
        <w:rPr>
          <w:lang w:val="vi-VN"/>
        </w:rPr>
        <w:t xml:space="preserve"> tăng cường công tác thanh tra, kiểm tra, thực hiện nghiêm Luật Phòng, chống tham nhũng và Luật thực hành tiết kiệm, chống lãng phí./.   </w:t>
      </w:r>
      <w:bookmarkEnd w:id="40"/>
    </w:p>
    <w:p>
      <w:pPr>
        <w:pStyle w:val="Normal"/>
        <w:widowControl w:val="false"/>
        <w:spacing w:before="0" w:after="120"/>
        <w:ind w:firstLine="720"/>
        <w:jc w:val="both"/>
        <w:rPr>
          <w:b/>
          <w:b/>
          <w:sz w:val="8"/>
          <w:szCs w:val="28"/>
          <w:lang w:val="vi-VN"/>
        </w:rPr>
      </w:pPr>
      <w:r>
        <w:rPr>
          <w:sz w:val="28"/>
          <w:szCs w:val="28"/>
          <w:lang w:val="vi-VN"/>
        </w:rPr>
        <w:tab/>
        <w:tab/>
        <w:tab/>
        <w:tab/>
        <w:tab/>
      </w:r>
      <w:r>
        <w:rPr>
          <w:b/>
          <w:sz w:val="28"/>
          <w:szCs w:val="28"/>
          <w:lang w:val="vi-VN"/>
        </w:rPr>
        <w:tab/>
      </w:r>
    </w:p>
    <w:p>
      <w:pPr>
        <w:pStyle w:val="Normal"/>
        <w:widowControl w:val="false"/>
        <w:spacing w:before="120" w:after="0"/>
        <w:ind w:left="4320" w:firstLine="720"/>
        <w:rPr>
          <w:b/>
          <w:b/>
          <w:sz w:val="28"/>
          <w:szCs w:val="28"/>
          <w:lang w:val="es-ES_tradnl"/>
        </w:rPr>
      </w:pPr>
      <w:r>
        <w:rPr>
          <w:b/>
          <w:sz w:val="28"/>
          <w:szCs w:val="28"/>
          <w:lang w:val="es-ES_tradnl"/>
        </w:rPr>
        <w:t>BỘ NÔNG NGHIỆP VÀ PTNT</w:t>
      </w:r>
    </w:p>
    <w:sectPr>
      <w:headerReference w:type="default" r:id="rId2"/>
      <w:headerReference w:type="first" r:id="rId3"/>
      <w:footerReference w:type="default" r:id="rId4"/>
      <w:footerReference w:type="first" r:id="rId5"/>
      <w:footnotePr>
        <w:numFmt w:val="decimal"/>
      </w:footnotePr>
      <w:type w:val="nextPage"/>
      <w:pgSz w:w="11906" w:h="16838"/>
      <w:pgMar w:left="1701" w:right="1134" w:gutter="0" w:header="720" w:top="851" w:footer="357"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VNI-Times">
    <w:charset w:val="00"/>
    <w:family w:val="auto"/>
    <w:pitch w:val="variable"/>
  </w:font>
  <w:font w:name="Tahoma">
    <w:charset w:val="00"/>
    <w:family w:val="swiss"/>
    <w:pitch w:val="variable"/>
  </w:font>
  <w:font w:name=".VnTime">
    <w:altName w:val="Courier New"/>
    <w:charset w:val="00"/>
    <w:family w:val="swiss"/>
    <w:pitch w:val="variable"/>
  </w:font>
  <w:font w:name=".VnArialH">
    <w:altName w:val="Courier New"/>
    <w:charset w:val="00"/>
    <w:family w:val="swiss"/>
    <w:pitch w:val="variable"/>
  </w:font>
  <w:font w:name="Consolas">
    <w:charset w:val="00"/>
    <w:family w:val="modern"/>
    <w:pitch w:val="default"/>
  </w:font>
  <w:font w:name="Times-Roman">
    <w:altName w:val="Times New Roman"/>
    <w:charset w:val="00"/>
    <w:family w:val="auto"/>
    <w:pitch w:val="variable"/>
  </w:font>
  <w:font w:name="Verdana">
    <w:charset w:val="00"/>
    <w:family w:val="swiss"/>
    <w:pitch w:val="variable"/>
  </w:font>
  <w:font w:name="Helvetica Neue">
    <w:altName w:val="Times New Roman"/>
    <w:charset w:val="00"/>
    <w:family w:val="swiss"/>
    <w:pitch w:val="default"/>
  </w:font>
  <w:font w:name="Calibri Light">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 </w:t>
      </w:r>
      <w:r>
        <w:rPr>
          <w:color w:val="000000"/>
        </w:rPr>
        <w:t>L</w:t>
      </w:r>
      <w:r>
        <w:rPr>
          <w:color w:val="000000"/>
          <w:lang w:val="vi-VN"/>
        </w:rPr>
        <w:t xml:space="preserve">úa Đông </w:t>
      </w:r>
      <w:r>
        <w:rPr>
          <w:color w:val="000000"/>
        </w:rPr>
        <w:t>X</w:t>
      </w:r>
      <w:r>
        <w:rPr>
          <w:color w:val="000000"/>
          <w:lang w:val="vi-VN"/>
        </w:rPr>
        <w:t xml:space="preserve">uân đạt </w:t>
      </w:r>
      <w:r>
        <w:rPr>
          <w:color w:val="000000"/>
        </w:rPr>
        <w:t>2992 nghìn ha</w:t>
      </w:r>
      <w:r>
        <w:rPr>
          <w:color w:val="000000"/>
          <w:lang w:val="vi-VN"/>
        </w:rPr>
        <w:t>,</w:t>
      </w:r>
      <w:r>
        <w:rPr>
          <w:color w:val="000000"/>
        </w:rPr>
        <w:t xml:space="preserve"> bằng 99,5% cùng kỳ</w:t>
      </w:r>
      <w:r>
        <w:rPr>
          <w:color w:val="000000"/>
          <w:lang w:val="vi-VN"/>
        </w:rPr>
        <w:t>; lúa Hè Thu đạt 1</w:t>
      </w:r>
      <w:r>
        <w:rPr>
          <w:color w:val="000000"/>
        </w:rPr>
        <w:t>.915,6</w:t>
      </w:r>
      <w:r>
        <w:rPr>
          <w:color w:val="000000"/>
          <w:lang w:val="vi-VN"/>
        </w:rPr>
        <w:t xml:space="preserve"> nghìn ha</w:t>
      </w:r>
      <w:r>
        <w:rPr>
          <w:color w:val="000000"/>
        </w:rPr>
        <w:t>, giảm 2,0%;</w:t>
      </w:r>
      <w:r>
        <w:rPr>
          <w:color w:val="000000"/>
          <w:lang w:val="vi-VN"/>
        </w:rPr>
        <w:t xml:space="preserve"> lúa Mùa đạt 1.</w:t>
      </w:r>
      <w:r>
        <w:rPr>
          <w:color w:val="000000"/>
        </w:rPr>
        <w:t>553,4</w:t>
      </w:r>
      <w:r>
        <w:rPr>
          <w:color w:val="000000"/>
          <w:lang w:val="vi-VN"/>
        </w:rPr>
        <w:t xml:space="preserve"> </w:t>
      </w:r>
      <w:r>
        <w:rPr>
          <w:color w:val="000000"/>
        </w:rPr>
        <w:t xml:space="preserve">nghìn </w:t>
      </w:r>
      <w:r>
        <w:rPr>
          <w:color w:val="000000"/>
          <w:lang w:val="vi-VN"/>
        </w:rPr>
        <w:t xml:space="preserve">ha, </w:t>
      </w:r>
      <w:r>
        <w:rPr>
          <w:color w:val="000000"/>
        </w:rPr>
        <w:t>giảm 0,4%</w:t>
      </w:r>
      <w:r>
        <w:rPr>
          <w:color w:val="000000"/>
          <w:lang w:val="vi-VN"/>
        </w:rPr>
        <w:t xml:space="preserve">, lúa Thu Đông đạt </w:t>
      </w:r>
      <w:r>
        <w:rPr>
          <w:color w:val="000000"/>
        </w:rPr>
        <w:t>649,2</w:t>
      </w:r>
      <w:r>
        <w:rPr>
          <w:color w:val="000000"/>
          <w:lang w:val="vi-VN"/>
        </w:rPr>
        <w:t xml:space="preserve"> nghìn ha, </w:t>
      </w:r>
      <w:r>
        <w:rPr>
          <w:color w:val="000000"/>
        </w:rPr>
        <w:t>giảm 7,2</w:t>
      </w:r>
      <w:r>
        <w:rPr>
          <w:color w:val="000000"/>
          <w:lang w:val="vi-VN"/>
        </w:rPr>
        <w:t>%</w:t>
      </w:r>
      <w:r>
        <w:rPr>
          <w:color w:val="000000"/>
        </w:rPr>
        <w:t>.</w:t>
      </w:r>
    </w:p>
  </w:footnote>
  <w:footnote w:id="3">
    <w:p>
      <w:pPr>
        <w:pStyle w:val="Footnote"/>
        <w:jc w:val="both"/>
        <w:rPr/>
      </w:pPr>
      <w:r>
        <w:rPr>
          <w:rStyle w:val="FootnoteCharacters"/>
        </w:rPr>
        <w:footnoteRef/>
      </w:r>
      <w:r>
        <w:rPr/>
        <w:t xml:space="preserve"> </w:t>
      </w:r>
      <w:r>
        <w:rPr>
          <w:spacing w:val="2"/>
        </w:rPr>
        <w:t>Diện lúa vụ Hè Thu, Thu Đông và nhiều loại rau màu giảm, chủ yếu do (1) chuyển đổi sang cây trồng khác có hiệu quả kinh tế cao hơn (dừa, cam, ổi, thanh long, … ); (2) người dân chủ động giảm do tác động của chi phí đầu vào tăng cao, do diện tích đất kém hiệu quả; (3) Bất lợi về thời tiết ảnh hưởng lúa giai đoạn ngậm sữa – chín bị đổ ngã; (4) xuất khẩu gặp khó khăn; (5) giá bán sản phẩm không ổn định.</w:t>
      </w:r>
    </w:p>
  </w:footnote>
  <w:footnote w:id="4">
    <w:p>
      <w:pPr>
        <w:pStyle w:val="Footnote"/>
        <w:jc w:val="both"/>
        <w:rPr/>
      </w:pPr>
      <w:r>
        <w:rPr>
          <w:rStyle w:val="FootnoteCharacters"/>
        </w:rPr>
        <w:footnoteRef/>
      </w:r>
      <w:r>
        <w:rPr/>
        <w:t xml:space="preserve"> </w:t>
      </w:r>
      <w:r>
        <w:rPr>
          <w:spacing w:val="-4"/>
          <w:lang w:val="pt-BR"/>
        </w:rPr>
        <w:t xml:space="preserve">Theo kết quả sơ bộ điều tra chăn nuôi thời điểm 01/10/2022, TCTK đã tiến hành điều tra 26,5 nghìn hộ chăn nuôi lợn trên tất cả 63 địa phương, trong đó </w:t>
      </w:r>
      <w:r>
        <w:rPr>
          <w:b/>
          <w:spacing w:val="-4"/>
          <w:lang w:val="pt-BR"/>
        </w:rPr>
        <w:t>45,35%</w:t>
      </w:r>
      <w:r>
        <w:rPr>
          <w:spacing w:val="-4"/>
          <w:lang w:val="pt-BR"/>
        </w:rPr>
        <w:t xml:space="preserve"> số hộ cho biết giá bán thịt lợn của hộ tương đương giá thành sản xuất, </w:t>
      </w:r>
      <w:r>
        <w:rPr>
          <w:b/>
          <w:spacing w:val="-4"/>
          <w:lang w:val="pt-BR"/>
        </w:rPr>
        <w:t>38,64%</w:t>
      </w:r>
      <w:r>
        <w:rPr>
          <w:spacing w:val="-4"/>
          <w:lang w:val="pt-BR"/>
        </w:rPr>
        <w:t xml:space="preserve"> số hộ có giá bán cao hơn giá thành sản xuất, </w:t>
      </w:r>
      <w:r>
        <w:rPr>
          <w:b/>
          <w:spacing w:val="-4"/>
          <w:lang w:val="pt-BR"/>
        </w:rPr>
        <w:t>8,51%</w:t>
      </w:r>
      <w:r>
        <w:rPr>
          <w:spacing w:val="-4"/>
          <w:lang w:val="pt-BR"/>
        </w:rPr>
        <w:t xml:space="preserve"> số hộ có giá bán thấp hơn giá thành sản xuất, 7,50% số hộ phản hồi không biết/ không phản hồi.</w:t>
      </w:r>
    </w:p>
  </w:footnote>
  <w:footnote w:id="5">
    <w:p>
      <w:pPr>
        <w:pStyle w:val="Footnote"/>
        <w:jc w:val="both"/>
        <w:rPr/>
      </w:pPr>
      <w:r>
        <w:rPr>
          <w:rStyle w:val="FootnoteCharacters"/>
        </w:rPr>
        <w:footnoteRef/>
      </w:r>
      <w:r>
        <w:rPr/>
        <w:t xml:space="preserve"> </w:t>
      </w:r>
      <w:r>
        <w:rPr/>
        <w:t xml:space="preserve">Theo TCLN: Tháng 11, trồng rừng </w:t>
      </w:r>
      <w:r>
        <w:rPr>
          <w:shd w:fill="FFFFFF" w:val="clear"/>
        </w:rPr>
        <w:t>đạt 26,1 nghìn ha, khai thác gỗ đạt 1,35 triệu m</w:t>
      </w:r>
      <w:r>
        <w:rPr>
          <w:shd w:fill="FFFFFF" w:val="clear"/>
          <w:vertAlign w:val="superscript"/>
        </w:rPr>
        <w:t>3</w:t>
      </w:r>
      <w:r>
        <w:rPr>
          <w:shd w:fill="FFFFFF" w:val="clear"/>
        </w:rPr>
        <w:t>. 11 tháng trồng rừng được 234 nghìn ha; sản lượng gỗ khai thác đạt 15,7 triệu m</w:t>
      </w:r>
      <w:r>
        <w:rPr>
          <w:shd w:fill="FFFFFF" w:val="clear"/>
          <w:vertAlign w:val="superscript"/>
        </w:rPr>
        <w:t>3</w:t>
      </w:r>
      <w:r>
        <w:rPr/>
        <w:t>.</w:t>
      </w:r>
      <w:r>
        <w:rPr>
          <w:sz w:val="28"/>
          <w:szCs w:val="28"/>
        </w:rPr>
        <w:t xml:space="preserve"> </w:t>
      </w:r>
    </w:p>
  </w:footnote>
  <w:footnote w:id="6">
    <w:p>
      <w:pPr>
        <w:pStyle w:val="Footnote"/>
        <w:rPr/>
      </w:pPr>
      <w:r>
        <w:rPr>
          <w:rStyle w:val="FootnoteCharacters"/>
        </w:rPr>
        <w:footnoteRef/>
      </w:r>
      <w:r>
        <w:rPr/>
        <w:t xml:space="preserve"> </w:t>
      </w:r>
      <w:r>
        <w:rPr/>
        <w:t xml:space="preserve">Số liệu thống kê theo khu vực Châu Á, Châu Âu, Châu Phi, Châu Mỹ và Châu Đại Dương chưa bao gồm một số thị trường nhỏ khác không được thống kê cụ thể bởi Tổng cục Hải quan. </w:t>
      </w:r>
    </w:p>
  </w:footnote>
  <w:footnote w:id="7">
    <w:p>
      <w:pPr>
        <w:pStyle w:val="Footnote"/>
        <w:rPr/>
      </w:pPr>
      <w:r>
        <w:rPr>
          <w:rStyle w:val="FootnoteCharacters"/>
        </w:rPr>
        <w:footnoteRef/>
      </w:r>
      <w:r>
        <w:rPr/>
        <w:t xml:space="preserve"> </w:t>
      </w:r>
      <w:r>
        <w:rPr>
          <w:bCs/>
          <w:lang w:val="cs-CZ"/>
        </w:rPr>
        <w:t>Sau quả xoài, nhãn, vải, thanh long, chôm chôm và vú sữa.</w:t>
      </w:r>
    </w:p>
  </w:footnote>
  <w:footnote w:id="8">
    <w:p>
      <w:pPr>
        <w:pStyle w:val="Footnote"/>
        <w:jc w:val="both"/>
        <w:rPr/>
      </w:pPr>
      <w:r>
        <w:rPr>
          <w:rStyle w:val="FootnoteCharacters"/>
        </w:rPr>
        <w:footnoteRef/>
      </w:r>
      <w:r>
        <w:rPr/>
        <w:t xml:space="preserve"> </w:t>
      </w:r>
      <w:r>
        <w:rPr>
          <w:rFonts w:eastAsia="Batang;바탕"/>
          <w:i/>
          <w:szCs w:val="28"/>
          <w:lang w:val="es-ES" w:eastAsia="ko-KR"/>
        </w:rPr>
        <w:t>(1)</w:t>
      </w:r>
      <w:r>
        <w:rPr>
          <w:rFonts w:eastAsia="Batang;바탕"/>
          <w:szCs w:val="28"/>
          <w:lang w:val="es-ES" w:eastAsia="ko-KR"/>
        </w:rPr>
        <w:t xml:space="preserve"> Giá lúa gạo trong nước đều có xu hướng tăng trong cả năm 2022 và so với năm 2021 (lúa thường IR50404 tươi tăng 100 - 200 đ/kg; lúa chất lượng cao OM 5451 tăng 500 đ/kg); </w:t>
      </w:r>
      <w:r>
        <w:rPr>
          <w:rFonts w:eastAsia="Batang;바탕"/>
          <w:i/>
          <w:szCs w:val="28"/>
          <w:lang w:val="es-ES" w:eastAsia="ko-KR"/>
        </w:rPr>
        <w:t>(2)</w:t>
      </w:r>
      <w:r>
        <w:rPr>
          <w:rFonts w:eastAsia="Batang;바탕"/>
          <w:szCs w:val="28"/>
          <w:lang w:val="es-ES" w:eastAsia="ko-KR"/>
        </w:rPr>
        <w:t xml:space="preserve"> Giá thịt lợn trong nước, tuy có giai đoạn giảm vào Quý II nhưng đã phục hồi, tăng trở lại trong các quý tiếp theo và tương đối ổn định trong những tháng cuối năm 2022. So với năm 2021, giá thịt lợn năm 2022 biến động tăng, giúp người sản xuất yên tâm tái đàn, đầu tư vào sản xuất; </w:t>
      </w:r>
      <w:r>
        <w:rPr>
          <w:rFonts w:eastAsia="Batang;바탕"/>
          <w:i/>
          <w:szCs w:val="28"/>
          <w:lang w:val="es-ES" w:eastAsia="ko-KR"/>
        </w:rPr>
        <w:t>(3)</w:t>
      </w:r>
      <w:r>
        <w:rPr>
          <w:rFonts w:eastAsia="Batang;바탕"/>
          <w:szCs w:val="28"/>
          <w:lang w:val="es-ES" w:eastAsia="ko-KR"/>
        </w:rPr>
        <w:t xml:space="preserve"> Giá các mặt hàng rau củ nhìn chung tương đối ổn định, tuy có biến động tăng giảm nhưng mức độ không đáng kể. Do lưu thông trong nước đã ổn định, Trung Quốc dần nới lỏng chính sách Zero Covid nên giá các mặt hàng trái cây đã phục hồi, giúp người dân sản xuất có lãi.</w:t>
      </w:r>
    </w:p>
  </w:footnote>
  <w:footnote w:id="9">
    <w:p>
      <w:pPr>
        <w:pStyle w:val="Footnote"/>
        <w:jc w:val="both"/>
        <w:rPr/>
      </w:pPr>
      <w:r>
        <w:rPr>
          <w:rStyle w:val="FootnoteCharacters"/>
        </w:rPr>
        <w:footnoteRef/>
      </w:r>
      <w:r>
        <w:rPr>
          <w:lang w:val="es-ES"/>
        </w:rPr>
        <w:t xml:space="preserve"> </w:t>
      </w:r>
      <w:r>
        <w:rPr>
          <w:shd w:fill="FFFFFF" w:val="clear"/>
          <w:lang w:val="cs-CZ"/>
        </w:rPr>
        <w:t>Trung Quốc đã chấp thuận bổ sung 23 cơ sở chế biến thủy sản Việt Nam được phép xuất khẩu vào Trung Quốc, nâng tổng số lên 802 cơ sở; tiếp tục xử lý các vướng mắc liên quan đến đăng ký doanh nghiệp xuất khẩu vào Trung Quốc trên Hệ thống CIFER, bổ sung sản phẩm (sứa muối) vào Danh mục được phép xuất khẩu sang Trung Quốc.</w:t>
      </w:r>
    </w:p>
  </w:footnote>
  <w:footnote w:id="10">
    <w:p>
      <w:pPr>
        <w:pStyle w:val="Footnote"/>
        <w:rPr/>
      </w:pPr>
      <w:r>
        <w:rPr>
          <w:rStyle w:val="FootnoteCharacters"/>
        </w:rPr>
        <w:footnoteRef/>
      </w:r>
      <w:r>
        <w:rPr>
          <w:lang w:val="vi-VN"/>
        </w:rPr>
        <w:t xml:space="preserve"> </w:t>
      </w:r>
      <w:r>
        <w:rPr>
          <w:lang w:val="vi-VN"/>
        </w:rPr>
        <w:t xml:space="preserve">Hà Nội, </w:t>
      </w:r>
      <w:r>
        <w:rPr>
          <w:iCs/>
          <w:color w:val="000000"/>
          <w:lang w:val="de-DE"/>
        </w:rPr>
        <w:t>Hải Phòng, Hưng Yên, Vĩnh Phúc, Bắc Ninh, Hà Nam, Nam Định, Thái Bình, Hải Dương, Ninh Bình, Quảng Ninh, Đà Nẵng, Tp. Hồ Chí Minh, Bà Rịa-Vũng Tàu, Bình Dương, Đồng Nai, Cần Thơ, Bạc Liêu</w:t>
      </w:r>
    </w:p>
  </w:footnote>
  <w:footnote w:id="11">
    <w:p>
      <w:pPr>
        <w:pStyle w:val="Footnote"/>
        <w:rPr/>
      </w:pPr>
      <w:r>
        <w:rPr>
          <w:rStyle w:val="FootnoteCharacters"/>
        </w:rPr>
        <w:footnoteRef/>
      </w:r>
      <w:r>
        <w:rPr>
          <w:color w:val="000000"/>
          <w:lang w:val="de-DE"/>
        </w:rPr>
        <w:t xml:space="preserve"> </w:t>
      </w:r>
      <w:r>
        <w:rPr>
          <w:color w:val="000000"/>
          <w:lang w:val="de-DE"/>
        </w:rPr>
        <w:t>số 09/QĐ-QGPCTT ngày 15/11/2022</w:t>
      </w:r>
    </w:p>
  </w:footnote>
  <w:footnote w:id="12">
    <w:p>
      <w:pPr>
        <w:pStyle w:val="Normal"/>
        <w:widowControl w:val="false"/>
        <w:tabs>
          <w:tab w:val="clear" w:pos="720"/>
          <w:tab w:val="left" w:pos="0" w:leader="none"/>
          <w:tab w:val="left" w:pos="993" w:leader="none"/>
        </w:tabs>
        <w:jc w:val="both"/>
        <w:rPr/>
      </w:pPr>
      <w:r>
        <w:rPr>
          <w:rStyle w:val="FootnoteCharacters"/>
        </w:rPr>
        <w:footnoteRef/>
      </w:r>
      <w:r>
        <w:rPr>
          <w:sz w:val="20"/>
          <w:szCs w:val="20"/>
          <w:lang w:val="de-DE"/>
        </w:rPr>
        <w:t xml:space="preserve"> </w:t>
      </w:r>
      <w:r>
        <w:rPr>
          <w:sz w:val="20"/>
          <w:szCs w:val="20"/>
          <w:lang w:val="de-DE"/>
        </w:rPr>
        <w:t xml:space="preserve">4 nhà sập, 20 nhà hư hỏng, tốc mái; 20 hoa màu bị ngập úng, thiệt hại; 315 con gia cầm bị chết, cuốn trôi; 2 ha nuôi trồng thuỷ sản bị thiệt hại; 15 m </w:t>
      </w:r>
      <w:r>
        <w:rPr>
          <w:color w:val="000000"/>
          <w:sz w:val="20"/>
          <w:szCs w:val="20"/>
          <w:lang w:val="de-DE"/>
        </w:rPr>
        <w:t>đường giao thông bị sạt lở, hư hỏng với khối lượng 30 m</w:t>
      </w:r>
      <w:r>
        <w:rPr>
          <w:color w:val="000000"/>
          <w:sz w:val="20"/>
          <w:szCs w:val="20"/>
          <w:vertAlign w:val="superscript"/>
          <w:lang w:val="de-DE"/>
        </w:rPr>
        <w:t>3</w:t>
      </w:r>
      <w:r>
        <w:rPr>
          <w:color w:val="000000"/>
          <w:sz w:val="20"/>
          <w:szCs w:val="20"/>
          <w:lang w:val="de-DE"/>
        </w:rPr>
        <w:t xml:space="preserve"> đất đá, bê tông</w:t>
      </w:r>
      <w:r>
        <w:rPr>
          <w:sz w:val="20"/>
          <w:szCs w:val="20"/>
          <w:lang w:val="de-DE"/>
        </w:rPr>
        <w:t xml:space="preserve"> .</w:t>
      </w:r>
      <w:r>
        <w:rPr>
          <w:rFonts w:cs="Calibri Light" w:ascii="Calibri Light" w:hAnsi="Calibri Light"/>
          <w:b/>
          <w:i/>
          <w:sz w:val="20"/>
          <w:szCs w:val="20"/>
          <w:shd w:fill="FFFFFF" w:val="clear"/>
          <w:lang w:val="de-DE"/>
        </w:rPr>
        <w:t xml:space="preserve"> </w:t>
      </w:r>
    </w:p>
  </w:footnote>
  <w:footnote w:id="13">
    <w:p>
      <w:pPr>
        <w:pStyle w:val="Footnote"/>
        <w:jc w:val="both"/>
        <w:rPr/>
      </w:pPr>
      <w:r>
        <w:rPr>
          <w:rStyle w:val="FootnoteCharacters"/>
        </w:rPr>
        <w:footnoteRef/>
      </w:r>
      <w:r>
        <w:rPr>
          <w:lang w:val="de-DE"/>
        </w:rPr>
        <w:t xml:space="preserve"> </w:t>
      </w:r>
      <w:r>
        <w:rPr>
          <w:color w:val="000000"/>
          <w:lang w:val="de-DE"/>
        </w:rPr>
        <w:t xml:space="preserve">7 cơn bão, 2 ATNĐ, 259 trận mưa lớn, ngập úng, lũ quét, sạt lở đất, 248 trận dông lốc, 253 trận động đất; 185 vụ sạt lở bờ sông, bờ biển; 13 đợt gió mạnh trên biển và 2 đợt rét đậm, rét hại. </w:t>
      </w:r>
    </w:p>
  </w:footnote>
  <w:footnote w:id="14">
    <w:p>
      <w:pPr>
        <w:pStyle w:val="Footnote"/>
        <w:jc w:val="both"/>
        <w:rPr/>
      </w:pPr>
      <w:r>
        <w:rPr>
          <w:rStyle w:val="FootnoteCharacters"/>
        </w:rPr>
        <w:footnoteRef/>
      </w:r>
      <w:r>
        <w:rPr>
          <w:lang w:val="de-DE"/>
        </w:rPr>
        <w:t xml:space="preserve"> </w:t>
      </w:r>
      <w:r>
        <w:rPr>
          <w:lang w:val="de-DE"/>
        </w:rPr>
        <w:t>1.151 nhà sập, 18.852 nhà hư hỏng, tốc mái; 308.380 ha lúa, ha hoa màu, 77.536 ha cây trồng khác ngập úng, thiệt hại; 20.965 con gia súc, 831.255 gia cầm bị chết, cuốn trôi; 411 ghe, thuyền bị chìm, hư hỏng; 24.142 ha nuôi trồng thuỷ sản, 9.216 lồng bè bị thiệt hai; 597 km đê, kè, kênh mương bị sạt lở, hư hỏng; 214 cầu tạm bị hư hỏng, cuốn trôi; 447,62 km đường giao thông bị sạt lở, hư hỏng với khối lượng 04 triệu m</w:t>
      </w:r>
      <w:r>
        <w:rPr>
          <w:vertAlign w:val="superscript"/>
          <w:lang w:val="de-DE"/>
        </w:rPr>
        <w:t>3</w:t>
      </w:r>
      <w:r>
        <w:rPr>
          <w:lang w:val="de-DE"/>
        </w:rPr>
        <w:t xml:space="preserve"> đất đá, bê tông.  </w:t>
      </w:r>
    </w:p>
  </w:footnote>
  <w:footnote w:id="15">
    <w:p>
      <w:pPr>
        <w:pStyle w:val="Footnote"/>
        <w:rPr/>
      </w:pPr>
      <w:r>
        <w:rPr>
          <w:rStyle w:val="FootnoteCharacters"/>
        </w:rPr>
        <w:footnoteRef/>
      </w:r>
      <w:r>
        <w:rPr>
          <w:lang w:val="de-DE"/>
        </w:rPr>
        <w:t xml:space="preserve"> </w:t>
      </w:r>
      <w:r>
        <w:rPr>
          <w:lang w:val="de-DE"/>
        </w:rPr>
        <w:t>01 dự án mới duyệt chủ trương đầu tư, 2 dự án chưa duyệt; chưa chuyển mục đích sử dụng rừng 8 dự án; chưa có quy hoạch 1 dự án; phức tạp về kỹ thuật cần nghiên cứu thêm 2 dự án; chỉ thực hiện CBĐT cho trung hạn 2026-2030 6 dự án</w:t>
      </w:r>
    </w:p>
  </w:footnote>
  <w:footnote w:id="16">
    <w:p>
      <w:pPr>
        <w:pStyle w:val="Normal"/>
        <w:widowControl w:val="false"/>
        <w:spacing w:before="120" w:after="0"/>
        <w:jc w:val="both"/>
        <w:rPr/>
      </w:pPr>
      <w:r>
        <w:rPr>
          <w:rStyle w:val="FootnoteCharacters"/>
        </w:rPr>
        <w:footnoteRef/>
      </w:r>
      <w:r>
        <w:rPr>
          <w:sz w:val="20"/>
          <w:szCs w:val="20"/>
          <w:lang w:val="de-DE"/>
        </w:rPr>
        <w:t xml:space="preserve"> </w:t>
      </w:r>
      <w:r>
        <w:rPr>
          <w:sz w:val="20"/>
          <w:szCs w:val="20"/>
          <w:lang w:val="de-DE"/>
        </w:rPr>
        <w:t xml:space="preserve">Từ nay đến đầu năm 2023 có khoảng từ 01-03 cơn bão và ATNĐ hoạt động trên biển Đông có khả năng ảnh hưởng trực tiếp đến đất liền nước ta. Mưa: (1) </w:t>
      </w:r>
      <w:r>
        <w:rPr>
          <w:b/>
          <w:sz w:val="20"/>
          <w:szCs w:val="20"/>
          <w:lang w:val="de-DE"/>
        </w:rPr>
        <w:t>Bắc Bộ</w:t>
      </w:r>
      <w:r>
        <w:rPr>
          <w:sz w:val="20"/>
          <w:szCs w:val="20"/>
          <w:lang w:val="de-DE"/>
        </w:rPr>
        <w:t xml:space="preserve"> thấp hơn từ 5 – 15mm so với TBNN, riêng tháng 12 khu vực Nam đồng bằng và ven biển phía Đông Bắc Bộ xấp xỉ so với TBNN; (2) </w:t>
      </w:r>
      <w:r>
        <w:rPr>
          <w:b/>
          <w:sz w:val="20"/>
          <w:szCs w:val="20"/>
          <w:lang w:val="de-DE"/>
        </w:rPr>
        <w:t>Trung Bộ</w:t>
      </w:r>
      <w:r>
        <w:rPr>
          <w:sz w:val="20"/>
          <w:szCs w:val="20"/>
          <w:lang w:val="de-DE"/>
        </w:rPr>
        <w:t xml:space="preserve">, tháng 12/2022, tổng lượng mưa tại Bắc Trung Bộ phổ biến xấp xỉ so với TBNN. (3) </w:t>
      </w:r>
      <w:r>
        <w:rPr>
          <w:b/>
          <w:sz w:val="20"/>
          <w:szCs w:val="20"/>
          <w:lang w:val="de-DE"/>
        </w:rPr>
        <w:t>Khu vực Tây Nguyên và Nam Bộ</w:t>
      </w:r>
      <w:r>
        <w:rPr>
          <w:sz w:val="20"/>
          <w:szCs w:val="20"/>
          <w:lang w:val="de-DE"/>
        </w:rPr>
        <w:t>: có khả năng xuất hiện mưa rào và dông cục bộ, TLM tháng 12/2022 phổ biến cao hơn từ 15-80 mm so với TBNN; từ cuối tháng 11 đến tháng 12/2022, trên các sông ở Trung Bộ và khu vực Tây Nguyên có khả năng xuất hiện 1-2 đợt lũ. Đỉnh lũ trên các sông ở Trung, Nam Trung Bộ, Nam Tây Nguyên ở mức BĐ2-BĐ3, có sông trên BĐ3.</w:t>
      </w:r>
    </w:p>
  </w:footnote>
  <w:footnote w:id="17">
    <w:p>
      <w:pPr>
        <w:pStyle w:val="Footnote"/>
        <w:jc w:val="both"/>
        <w:rPr/>
      </w:pPr>
      <w:r>
        <w:rPr>
          <w:rStyle w:val="FootnoteCharacters"/>
        </w:rPr>
        <w:footnoteRef/>
      </w:r>
      <w:r>
        <w:rPr>
          <w:sz w:val="18"/>
          <w:lang w:val="de-DE"/>
        </w:rPr>
        <w:t xml:space="preserve"> </w:t>
      </w:r>
      <w:r>
        <w:rPr>
          <w:bCs/>
          <w:iCs/>
          <w:sz w:val="18"/>
          <w:szCs w:val="28"/>
          <w:lang w:val="pt-PT"/>
        </w:rPr>
        <w:t xml:space="preserve">Trung </w:t>
      </w:r>
      <w:r>
        <w:rPr>
          <w:bCs/>
          <w:i/>
          <w:iCs/>
          <w:sz w:val="18"/>
          <w:szCs w:val="28"/>
          <w:lang w:val="pt-PT"/>
        </w:rPr>
        <w:t>Quốc ( tổ yến, bơ, bưởi, na, roi, dừa…)</w:t>
      </w:r>
      <w:r>
        <w:rPr>
          <w:bCs/>
          <w:iCs/>
          <w:sz w:val="18"/>
          <w:szCs w:val="28"/>
          <w:lang w:val="pt-PT"/>
        </w:rPr>
        <w:t xml:space="preserve">, Nhật Bản </w:t>
      </w:r>
      <w:r>
        <w:rPr>
          <w:bCs/>
          <w:i/>
          <w:iCs/>
          <w:sz w:val="18"/>
          <w:szCs w:val="28"/>
          <w:lang w:val="pt-PT"/>
        </w:rPr>
        <w:t>(nhãn, bưởi, chanh leo, xuất khẩu gia cầm đã qua xử lý nhiệt)</w:t>
      </w:r>
      <w:r>
        <w:rPr>
          <w:bCs/>
          <w:iCs/>
          <w:sz w:val="18"/>
          <w:szCs w:val="28"/>
          <w:lang w:val="pt-PT"/>
        </w:rPr>
        <w:t xml:space="preserve">, Hàn Quốc </w:t>
      </w:r>
      <w:r>
        <w:rPr>
          <w:bCs/>
          <w:i/>
          <w:iCs/>
          <w:sz w:val="18"/>
          <w:szCs w:val="28"/>
          <w:lang w:val="pt-PT"/>
        </w:rPr>
        <w:t>(tôm, bưởi, vú sữa, chanh leo, nhãn, vải, chôm chôm, thịt gia súc, gia cầm chế biến, trứng gia cầm chế biến)</w:t>
      </w:r>
      <w:r>
        <w:rPr>
          <w:bCs/>
          <w:iCs/>
          <w:sz w:val="18"/>
          <w:szCs w:val="28"/>
          <w:lang w:val="pt-PT"/>
        </w:rPr>
        <w:t xml:space="preserve">, Myanmar </w:t>
      </w:r>
      <w:r>
        <w:rPr>
          <w:bCs/>
          <w:i/>
          <w:iCs/>
          <w:sz w:val="18"/>
          <w:szCs w:val="28"/>
          <w:lang w:val="pt-PT"/>
        </w:rPr>
        <w:t>(bưởi, xoài)</w:t>
      </w:r>
      <w:r>
        <w:rPr>
          <w:bCs/>
          <w:iCs/>
          <w:sz w:val="18"/>
          <w:szCs w:val="28"/>
          <w:lang w:val="pt-PT"/>
        </w:rPr>
        <w:t xml:space="preserve">, Thái Lan </w:t>
      </w:r>
      <w:r>
        <w:rPr>
          <w:bCs/>
          <w:i/>
          <w:iCs/>
          <w:sz w:val="18"/>
          <w:szCs w:val="28"/>
          <w:lang w:val="pt-PT"/>
        </w:rPr>
        <w:t>(chôm chôm, bưởi, chanh leo, na, vú sữa)</w:t>
      </w:r>
      <w:r>
        <w:rPr>
          <w:bCs/>
          <w:iCs/>
          <w:sz w:val="18"/>
          <w:szCs w:val="28"/>
          <w:lang w:val="pt-PT"/>
        </w:rPr>
        <w:t>,</w:t>
      </w:r>
      <w:r>
        <w:rPr>
          <w:bCs/>
          <w:i/>
          <w:iCs/>
          <w:sz w:val="18"/>
          <w:szCs w:val="28"/>
          <w:lang w:val="pt-PT"/>
        </w:rPr>
        <w:t xml:space="preserve"> </w:t>
      </w:r>
      <w:r>
        <w:rPr>
          <w:bCs/>
          <w:iCs/>
          <w:sz w:val="18"/>
          <w:szCs w:val="28"/>
          <w:lang w:val="pt-PT"/>
        </w:rPr>
        <w:t xml:space="preserve">Úc </w:t>
      </w:r>
      <w:r>
        <w:rPr>
          <w:bCs/>
          <w:i/>
          <w:iCs/>
          <w:sz w:val="18"/>
          <w:szCs w:val="28"/>
          <w:lang w:val="pt-PT"/>
        </w:rPr>
        <w:t>(tôm tươi, chanh leo)</w:t>
      </w:r>
      <w:r>
        <w:rPr>
          <w:bCs/>
          <w:iCs/>
          <w:sz w:val="18"/>
          <w:szCs w:val="28"/>
          <w:lang w:val="pt-PT"/>
        </w:rPr>
        <w:t xml:space="preserve">, New-Zealand </w:t>
      </w:r>
      <w:r>
        <w:rPr>
          <w:bCs/>
          <w:i/>
          <w:iCs/>
          <w:sz w:val="18"/>
          <w:szCs w:val="28"/>
          <w:lang w:val="pt-PT"/>
        </w:rPr>
        <w:t>(chanh ta, chanh leo, nhãn, vú sữa, bưởi, vải, măng cụt, dưa hấu)…</w:t>
      </w:r>
    </w:p>
  </w:footnote>
  <w:footnote w:id="18">
    <w:p>
      <w:pPr>
        <w:pStyle w:val="Footnote"/>
        <w:jc w:val="both"/>
        <w:rPr/>
      </w:pPr>
      <w:r>
        <w:rPr>
          <w:rStyle w:val="FootnoteCharacters"/>
        </w:rPr>
        <w:footnoteRef/>
      </w:r>
      <w:r>
        <w:rPr>
          <w:lang w:val="de-DE"/>
        </w:rPr>
        <w:t xml:space="preserve"> </w:t>
      </w:r>
      <w:r>
        <w:rPr>
          <w:lang w:val="de-DE"/>
        </w:rPr>
        <w:t>do Vụ: Pháp chế, Tổ chức cán bộ, Cục: Thú y, Cục Quản lý chất lượng NLS và TS Tổng cục Lâm nghiệp, Thủy lợi, Phòng, chống thiên tai chủ trì soạn thảo</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18</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72"/>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spacing w:lineRule="atLeast" w:line="240" w:before="160" w:after="160"/>
      <w:jc w:val="both"/>
      <w:outlineLvl w:val="1"/>
    </w:pPr>
    <w:rPr>
      <w:rFonts w:eastAsia="Calibri"/>
      <w:b/>
      <w:sz w:val="26"/>
      <w:szCs w:val="26"/>
    </w:rPr>
  </w:style>
  <w:style w:type="paragraph" w:styleId="Heading3">
    <w:name w:val="Heading 3"/>
    <w:basedOn w:val="Normal"/>
    <w:next w:val="Normal"/>
    <w:qFormat/>
    <w:pPr>
      <w:keepNext w:val="true"/>
      <w:numPr>
        <w:ilvl w:val="2"/>
        <w:numId w:val="1"/>
      </w:numPr>
      <w:jc w:val="center"/>
      <w:outlineLvl w:val="2"/>
    </w:pPr>
    <w:rPr>
      <w:b/>
      <w:sz w:val="26"/>
      <w:lang w:val="en-AU"/>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Times New Roman" w:hAnsi="Times New Roman"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style>
  <w:style w:type="character" w:styleId="WW8Num16z0">
    <w:name w:val="WW8Num16z0"/>
    <w:qFormat/>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b/>
    </w:rPr>
  </w:style>
  <w:style w:type="character" w:styleId="WW8Num25z0">
    <w:name w:val="WW8Num25z0"/>
    <w:qFormat/>
    <w:rPr>
      <w:rFonts w:ascii="Arial" w:hAnsi="Arial" w:cs="Aria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Times New Roman" w:hAnsi="Times New Roman" w:eastAsia="Times New Roman" w:cs="Times New Roman"/>
      <w:b/>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DefaultParagraphFont">
    <w:name w:val="Default Paragraph Font"/>
    <w:qFormat/>
    <w:rPr/>
  </w:style>
  <w:style w:type="character" w:styleId="Heading3Char">
    <w:name w:val="Heading 3 Char"/>
    <w:qFormat/>
    <w:rPr>
      <w:b/>
      <w:sz w:val="26"/>
      <w:szCs w:val="24"/>
      <w:lang w:val="en-AU" w:bidi="ar-SA"/>
    </w:rPr>
  </w:style>
  <w:style w:type="character" w:styleId="PageNumber">
    <w:name w:val="Page Number"/>
    <w:basedOn w:val="DefaultParagraphFont"/>
    <w:rPr/>
  </w:style>
  <w:style w:type="character" w:styleId="BodyTextIndentChar">
    <w:name w:val="Body Text Indent Char"/>
    <w:qFormat/>
    <w:rPr>
      <w:rFonts w:ascii="VNI-Times" w:hAnsi="VNI-Times" w:cs="VNI-Times"/>
      <w:sz w:val="26"/>
      <w:lang w:val="en-AU"/>
    </w:rPr>
  </w:style>
  <w:style w:type="character" w:styleId="HeaderChar">
    <w:name w:val="Header Char"/>
    <w:qFormat/>
    <w:rPr>
      <w:sz w:val="24"/>
      <w:szCs w:val="24"/>
    </w:rPr>
  </w:style>
  <w:style w:type="character" w:styleId="FooterChar">
    <w:name w:val="Footer Char"/>
    <w:qFormat/>
    <w:rPr>
      <w:rFonts w:eastAsia="Batang;바탕"/>
      <w:sz w:val="24"/>
      <w:szCs w:val="24"/>
      <w:lang w:eastAsia="ko-KR"/>
    </w:rPr>
  </w:style>
  <w:style w:type="character" w:styleId="Applestylespan">
    <w:name w:val="apple-style-span"/>
    <w:basedOn w:val="DefaultParagraphFont"/>
    <w:qFormat/>
    <w:rPr/>
  </w:style>
  <w:style w:type="character" w:styleId="Emphasis">
    <w:name w:val="Emphasis"/>
    <w:qFormat/>
    <w:rPr>
      <w:i/>
      <w:iCs/>
    </w:rPr>
  </w:style>
  <w:style w:type="character" w:styleId="CommentReference">
    <w:name w:val="Comment Reference"/>
    <w:qFormat/>
    <w:rPr>
      <w:sz w:val="16"/>
      <w:szCs w:val="16"/>
    </w:rPr>
  </w:style>
  <w:style w:type="character" w:styleId="CommentTextChar">
    <w:name w:val="Comment Text Char"/>
    <w:qFormat/>
    <w:rPr>
      <w:rFonts w:eastAsia="Batang;바탕"/>
      <w:lang w:eastAsia="ko-KR"/>
    </w:rPr>
  </w:style>
  <w:style w:type="character" w:styleId="BalloonTextChar">
    <w:name w:val="Balloon Text Char"/>
    <w:qFormat/>
    <w:rPr>
      <w:rFonts w:ascii="Tahoma" w:hAnsi="Tahoma" w:cs="Tahoma"/>
      <w:sz w:val="16"/>
      <w:szCs w:val="16"/>
    </w:rPr>
  </w:style>
  <w:style w:type="character" w:styleId="StrongEmphasis">
    <w:name w:val="Strong Emphasis"/>
    <w:qFormat/>
    <w:rPr>
      <w:b/>
      <w:bCs/>
    </w:rPr>
  </w:style>
  <w:style w:type="character" w:styleId="Html0020preformattedchar">
    <w:name w:val="html_0020preformatted__char"/>
    <w:basedOn w:val="DefaultParagraphFont"/>
    <w:qFormat/>
    <w:rPr/>
  </w:style>
  <w:style w:type="character" w:styleId="Normalchar">
    <w:name w:val="normal__char"/>
    <w:basedOn w:val="DefaultParagraphFont"/>
    <w:qFormat/>
    <w:rPr/>
  </w:style>
  <w:style w:type="character" w:styleId="BodyTextIndent3Char">
    <w:name w:val="Body Text Indent 3 Char"/>
    <w:qFormat/>
    <w:rPr>
      <w:rFonts w:ascii=".VnTime;Courier New" w:hAnsi=".VnTime;Courier New" w:cs=".VnTime;Courier New"/>
      <w:sz w:val="16"/>
      <w:szCs w:val="16"/>
    </w:rPr>
  </w:style>
  <w:style w:type="character" w:styleId="CommentSubjectChar">
    <w:name w:val="Comment Subject Char"/>
    <w:qFormat/>
    <w:rPr>
      <w:rFonts w:eastAsia="Batang;바탕"/>
      <w:b/>
      <w:bCs/>
      <w:lang w:eastAsia="ko-KR"/>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Muc5Char">
    <w:name w:val="Muc5 Char"/>
    <w:qFormat/>
    <w:rPr>
      <w:sz w:val="28"/>
      <w:szCs w:val="28"/>
      <w:lang w:val="vi-VN"/>
    </w:rPr>
  </w:style>
  <w:style w:type="character" w:styleId="Appleconvertedspace">
    <w:name w:val="apple-converted-space"/>
    <w:basedOn w:val="DefaultParagraphFont"/>
    <w:qFormat/>
    <w:rPr/>
  </w:style>
  <w:style w:type="character" w:styleId="InternetLink">
    <w:name w:val="Hyperlink"/>
    <w:rPr>
      <w:color w:val="0000FF"/>
      <w:u w:val="single"/>
    </w:rPr>
  </w:style>
  <w:style w:type="character" w:styleId="BodyTextChar">
    <w:name w:val="Body Text Char"/>
    <w:qFormat/>
    <w:rPr>
      <w:color w:val="000000"/>
      <w:sz w:val="26"/>
      <w:szCs w:val="26"/>
    </w:rPr>
  </w:style>
  <w:style w:type="character" w:styleId="TitleChar">
    <w:name w:val="Title Char"/>
    <w:qFormat/>
    <w:rPr>
      <w:rFonts w:ascii=".VnArialH;Courier New" w:hAnsi=".VnArialH;Courier New" w:cs=".VnArialH;Courier New"/>
      <w:b/>
      <w:sz w:val="26"/>
      <w:szCs w:val="24"/>
      <w:u w:val="single"/>
    </w:rPr>
  </w:style>
  <w:style w:type="character" w:styleId="PlainTextChar">
    <w:name w:val="Plain Text Char"/>
    <w:qFormat/>
    <w:rPr>
      <w:rFonts w:ascii="Consolas" w:hAnsi="Consolas" w:eastAsia="Calibri" w:cs="Consolas"/>
      <w:sz w:val="21"/>
      <w:szCs w:val="21"/>
      <w:lang w:val="en-US"/>
    </w:rPr>
  </w:style>
  <w:style w:type="character" w:styleId="NormalWebChar">
    <w:name w:val="Normal (Web) Char"/>
    <w:qFormat/>
    <w:rPr>
      <w:sz w:val="24"/>
      <w:szCs w:val="24"/>
      <w:lang w:val="en-US"/>
    </w:rPr>
  </w:style>
  <w:style w:type="character" w:styleId="MediumGrid1Accent2Char">
    <w:name w:val="Medium Grid 1 - Accent 2 Char"/>
    <w:qFormat/>
    <w:rPr>
      <w:rFonts w:eastAsia="Calibri"/>
      <w:sz w:val="24"/>
      <w:szCs w:val="22"/>
    </w:rPr>
  </w:style>
  <w:style w:type="character" w:styleId="Pg1fc1">
    <w:name w:val="pg-1fc1"/>
    <w:basedOn w:val="DefaultParagraphFont"/>
    <w:qFormat/>
    <w:rPr/>
  </w:style>
  <w:style w:type="character" w:styleId="List0020paragraphchar">
    <w:name w:val="list_0020paragraph__char"/>
    <w:qFormat/>
    <w:rPr/>
  </w:style>
  <w:style w:type="character" w:styleId="ColorfulListAccent1Char">
    <w:name w:val="Colorful List - Accent 1 Char"/>
    <w:qFormat/>
    <w:rPr>
      <w:rFonts w:eastAsia="Calibri"/>
      <w:sz w:val="24"/>
      <w:szCs w:val="22"/>
    </w:rPr>
  </w:style>
  <w:style w:type="character" w:styleId="BodyTextIndent2Char">
    <w:name w:val="Body Text Indent 2 Char"/>
    <w:qFormat/>
    <w:rPr>
      <w:sz w:val="28"/>
      <w:szCs w:val="28"/>
    </w:rPr>
  </w:style>
  <w:style w:type="character" w:styleId="BodyText3Char">
    <w:name w:val="Body Text 3 Char"/>
    <w:qFormat/>
    <w:rPr>
      <w:sz w:val="16"/>
      <w:szCs w:val="16"/>
    </w:rPr>
  </w:style>
  <w:style w:type="character" w:styleId="ListParagraphChar">
    <w:name w:val="List Paragraph Char"/>
    <w:qFormat/>
    <w:rPr>
      <w:rFonts w:eastAsia="Calibri"/>
      <w:sz w:val="28"/>
      <w:szCs w:val="22"/>
    </w:rPr>
  </w:style>
  <w:style w:type="character" w:styleId="Fontstyle01">
    <w:name w:val="fontstyle01"/>
    <w:qFormat/>
    <w:rPr>
      <w:rFonts w:ascii="Times-Roman;Times New Roman" w:hAnsi="Times-Roman;Times New Roman" w:cs="Times-Roman;Times New Roman"/>
      <w:b w:val="false"/>
      <w:bCs w:val="false"/>
      <w:i w:val="false"/>
      <w:iCs w:val="false"/>
      <w:color w:val="000000"/>
      <w:sz w:val="28"/>
      <w:szCs w:val="28"/>
    </w:rPr>
  </w:style>
  <w:style w:type="character" w:styleId="BodyTextChar1">
    <w:name w:val="Body Text Char1"/>
    <w:qFormat/>
    <w:rPr>
      <w:shd w:fill="FFFFFF" w:val="clear"/>
    </w:rPr>
  </w:style>
  <w:style w:type="character" w:styleId="Text">
    <w:name w:val="text"/>
    <w:qFormat/>
    <w:rPr/>
  </w:style>
  <w:style w:type="character" w:styleId="NoSpacingChar">
    <w:name w:val="No Spacing Char"/>
    <w:qFormat/>
    <w:rPr>
      <w:rFonts w:eastAsia="Calibri"/>
      <w:sz w:val="27"/>
      <w:szCs w:val="22"/>
      <w:lang w:bidi="ar-SA"/>
    </w:rPr>
  </w:style>
  <w:style w:type="character" w:styleId="Hyperlink0">
    <w:name w:val="Hyperlink.0"/>
    <w:qFormat/>
    <w:rPr>
      <w:rFonts w:ascii="Times New Roman" w:hAnsi="Times New Roman" w:eastAsia="Times New Roman" w:cs="Times New Roman"/>
      <w:sz w:val="28"/>
      <w:szCs w:val="28"/>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spacing w:lineRule="auto" w:line="360"/>
      <w:ind w:firstLine="720"/>
      <w:jc w:val="center"/>
    </w:pPr>
    <w:rPr>
      <w:rFonts w:ascii=".VnArialH;Courier New" w:hAnsi=".VnArialH;Courier New" w:cs=".VnArialH;Courier New"/>
      <w:b/>
      <w:sz w:val="26"/>
      <w:u w:val="single"/>
      <w:lang w:val="en-US"/>
    </w:rPr>
  </w:style>
  <w:style w:type="paragraph" w:styleId="TextBody">
    <w:name w:val="Body Text"/>
    <w:basedOn w:val="Normal"/>
    <w:pPr>
      <w:jc w:val="both"/>
    </w:pPr>
    <w:rPr>
      <w:color w:val="000000"/>
      <w:sz w:val="26"/>
      <w:szCs w:val="26"/>
      <w:lang w:val="en-US"/>
    </w:rPr>
  </w:style>
  <w:style w:type="paragraph" w:styleId="List">
    <w:name w:val="List"/>
    <w:basedOn w:val="TextBody"/>
    <w:pPr/>
    <w:rPr>
      <w:rFonts w:cs="Lohit Devanagari"/>
    </w:rPr>
  </w:style>
  <w:style w:type="paragraph" w:styleId="Caption">
    <w:name w:val="Caption"/>
    <w:basedOn w:val="Normal"/>
    <w:next w:val="Normal"/>
    <w:qFormat/>
    <w:pPr>
      <w:jc w:val="center"/>
    </w:pPr>
    <w:rPr>
      <w:sz w:val="28"/>
    </w:rPr>
  </w:style>
  <w:style w:type="paragraph" w:styleId="Index">
    <w:name w:val="Index"/>
    <w:basedOn w:val="Normal"/>
    <w:qFormat/>
    <w:pPr>
      <w:suppressLineNumbers/>
    </w:pPr>
    <w:rPr>
      <w:rFonts w:cs="Lohit Devanagari"/>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rFonts w:eastAsia="Batang;바탕"/>
      <w:lang w:val="en-US" w:eastAsia="ko-KR"/>
    </w:rPr>
  </w:style>
  <w:style w:type="paragraph" w:styleId="BodyText2">
    <w:name w:val="Body Text 2"/>
    <w:basedOn w:val="Normal"/>
    <w:qFormat/>
    <w:pPr>
      <w:jc w:val="both"/>
    </w:pPr>
    <w:rPr>
      <w:rFonts w:ascii=".VnTime;Courier New" w:hAnsi=".VnTime;Courier New" w:cs=".VnTime;Courier New"/>
      <w:color w:val="000000"/>
      <w:sz w:val="26"/>
      <w:szCs w:val="20"/>
    </w:rPr>
  </w:style>
  <w:style w:type="paragraph" w:styleId="NormalWeb">
    <w:name w:val="Normal (Web)"/>
    <w:basedOn w:val="Normal"/>
    <w:qFormat/>
    <w:pPr>
      <w:spacing w:before="280" w:after="280"/>
    </w:pPr>
    <w:rPr/>
  </w:style>
  <w:style w:type="paragraph" w:styleId="CharCharCharCharCharCharCharCharCharCharCharCharChar2">
    <w:name w:val="Char Char Char Char Char Char Char Char Char Char Char Char Char2"/>
    <w:basedOn w:val="Normal"/>
    <w:qFormat/>
    <w:pPr>
      <w:spacing w:lineRule="exact" w:line="240" w:before="0" w:after="160"/>
    </w:pPr>
    <w:rPr>
      <w:rFonts w:ascii="Verdana" w:hAnsi="Verdana" w:cs="Verdana"/>
      <w:sz w:val="20"/>
      <w:szCs w:val="20"/>
    </w:rPr>
  </w:style>
  <w:style w:type="paragraph" w:styleId="CharCharCharChar">
    <w:name w:val="Char Char Char Char"/>
    <w:basedOn w:val="Normal"/>
    <w:qFormat/>
    <w:pPr/>
    <w:rPr>
      <w:rFonts w:ascii="Arial" w:hAnsi="Arial" w:cs="Arial"/>
      <w:sz w:val="22"/>
      <w:szCs w:val="20"/>
      <w:lang w:val="en-AU"/>
    </w:rPr>
  </w:style>
  <w:style w:type="paragraph" w:styleId="TextBodyIndent">
    <w:name w:val="Body Text Indent"/>
    <w:basedOn w:val="Normal"/>
    <w:pPr>
      <w:spacing w:before="120" w:after="0"/>
      <w:jc w:val="both"/>
    </w:pPr>
    <w:rPr>
      <w:rFonts w:ascii="VNI-Times" w:hAnsi="VNI-Times" w:cs="VNI-Times"/>
      <w:sz w:val="26"/>
      <w:szCs w:val="20"/>
      <w:lang w:val="en-AU"/>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0"/>
      <w:lang w:val="en-US" w:bidi="ar-SA" w:eastAsia="zh-CN"/>
    </w:rPr>
  </w:style>
  <w:style w:type="paragraph" w:styleId="CharCharCharChar1">
    <w:name w:val="Char Char Char Char1"/>
    <w:basedOn w:val="Normal"/>
    <w:qFormat/>
    <w:pPr>
      <w:spacing w:lineRule="exact" w:line="240" w:before="0" w:after="160"/>
    </w:pPr>
    <w:rPr>
      <w:rFonts w:ascii="Tahoma" w:hAnsi="Tahoma" w:eastAsia="PMingLiU;新細明體" w:cs="Tahoma"/>
      <w:sz w:val="20"/>
      <w:szCs w:val="20"/>
    </w:rPr>
  </w:style>
  <w:style w:type="paragraph" w:styleId="Char">
    <w:name w:val="Char"/>
    <w:basedOn w:val="Normal"/>
    <w:qFormat/>
    <w:pPr/>
    <w:rPr>
      <w:rFonts w:ascii="Arial" w:hAnsi="Arial" w:cs="Arial"/>
      <w:sz w:val="22"/>
      <w:szCs w:val="20"/>
      <w:lang w:val="en-AU"/>
    </w:rPr>
  </w:style>
  <w:style w:type="paragraph" w:styleId="Header">
    <w:name w:val="Header"/>
    <w:basedOn w:val="Normal"/>
    <w:pPr/>
    <w:rPr>
      <w:lang w:val="en-US"/>
    </w:rPr>
  </w:style>
  <w:style w:type="paragraph" w:styleId="Normal1">
    <w:name w:val="Normal1"/>
    <w:basedOn w:val="Normal"/>
    <w:next w:val="Normal"/>
    <w:qFormat/>
    <w:pPr>
      <w:spacing w:lineRule="exact" w:line="240" w:before="0" w:after="160"/>
    </w:pPr>
    <w:rPr>
      <w:sz w:val="28"/>
      <w:szCs w:val="22"/>
    </w:rPr>
  </w:style>
  <w:style w:type="paragraph" w:styleId="CommentText">
    <w:name w:val="Comment Text"/>
    <w:basedOn w:val="Normal"/>
    <w:qFormat/>
    <w:pPr/>
    <w:rPr>
      <w:rFonts w:eastAsia="Batang;바탕"/>
      <w:sz w:val="20"/>
      <w:szCs w:val="20"/>
      <w:lang w:val="en-US" w:eastAsia="ko-KR"/>
    </w:rPr>
  </w:style>
  <w:style w:type="paragraph" w:styleId="BalloonText">
    <w:name w:val="Balloon Text"/>
    <w:basedOn w:val="Normal"/>
    <w:qFormat/>
    <w:pPr/>
    <w:rPr>
      <w:rFonts w:ascii="Tahoma" w:hAnsi="Tahoma" w:cs="Tahoma"/>
      <w:sz w:val="16"/>
      <w:szCs w:val="16"/>
      <w:lang w:val="en-US"/>
    </w:rPr>
  </w:style>
  <w:style w:type="paragraph" w:styleId="Html0020preformatted">
    <w:name w:val="html__0020preformatted"/>
    <w:basedOn w:val="Normal"/>
    <w:qFormat/>
    <w:pPr>
      <w:spacing w:before="280" w:after="280"/>
    </w:pPr>
    <w:rPr/>
  </w:style>
  <w:style w:type="paragraph" w:styleId="BodyTextIndent3">
    <w:name w:val="Body Text Indent 3"/>
    <w:basedOn w:val="Normal"/>
    <w:qFormat/>
    <w:pPr>
      <w:spacing w:before="0" w:after="120"/>
      <w:ind w:left="360" w:hanging="0"/>
    </w:pPr>
    <w:rPr>
      <w:rFonts w:ascii=".VnTime;Courier New" w:hAnsi=".VnTime;Courier New" w:cs=".VnTime;Courier New"/>
      <w:sz w:val="16"/>
      <w:szCs w:val="16"/>
      <w:lang w:val="en-US"/>
    </w:rPr>
  </w:style>
  <w:style w:type="paragraph" w:styleId="CommentSubject">
    <w:name w:val="Comment Subject"/>
    <w:basedOn w:val="CommentText"/>
    <w:next w:val="CommentText"/>
    <w:qFormat/>
    <w:pPr/>
    <w:rPr>
      <w:b/>
      <w:bCs/>
    </w:rPr>
  </w:style>
  <w:style w:type="paragraph" w:styleId="MediumGrid1Accent21">
    <w:name w:val="Medium Grid 1 - Accent 21"/>
    <w:basedOn w:val="Normal"/>
    <w:qFormat/>
    <w:pPr>
      <w:spacing w:lineRule="auto" w:line="276" w:before="0" w:after="200"/>
      <w:ind w:left="720" w:hanging="0"/>
      <w:contextualSpacing/>
    </w:pPr>
    <w:rPr>
      <w:rFonts w:eastAsia="Calibri"/>
      <w:szCs w:val="22"/>
      <w:lang w:val="en-US"/>
    </w:rPr>
  </w:style>
  <w:style w:type="paragraph" w:styleId="Footnote">
    <w:name w:val="Footnote Text"/>
    <w:basedOn w:val="Normal"/>
    <w:pPr/>
    <w:rPr>
      <w:sz w:val="20"/>
      <w:szCs w:val="20"/>
    </w:rPr>
  </w:style>
  <w:style w:type="paragraph" w:styleId="Muc5">
    <w:name w:val="Muc5"/>
    <w:basedOn w:val="Normal"/>
    <w:qFormat/>
    <w:pPr>
      <w:spacing w:before="0" w:after="120"/>
      <w:ind w:firstLine="720"/>
      <w:jc w:val="both"/>
    </w:pPr>
    <w:rPr>
      <w:sz w:val="28"/>
      <w:szCs w:val="28"/>
      <w:lang w:val="vi-VN"/>
    </w:rPr>
  </w:style>
  <w:style w:type="paragraph" w:styleId="DefaultParagraphFontParaCharChar">
    <w:name w:val="Default Paragraph Font Para Char Char"/>
    <w:basedOn w:val="Normal"/>
    <w:qFormat/>
    <w:pPr>
      <w:snapToGrid w:val="false"/>
      <w:spacing w:lineRule="exact" w:line="300" w:before="120" w:after="120"/>
      <w:jc w:val="both"/>
    </w:pPr>
    <w:rPr>
      <w:rFonts w:ascii="Arial" w:hAnsi="Arial" w:cs="Arial"/>
      <w:sz w:val="20"/>
      <w:szCs w:val="20"/>
      <w:lang w:val="en-GB"/>
    </w:rPr>
  </w:style>
  <w:style w:type="paragraph" w:styleId="PlainText">
    <w:name w:val="Plain Text"/>
    <w:basedOn w:val="Normal"/>
    <w:qFormat/>
    <w:pPr/>
    <w:rPr>
      <w:rFonts w:ascii="Consolas" w:hAnsi="Consolas" w:eastAsia="Calibri" w:cs="Consolas"/>
      <w:sz w:val="21"/>
      <w:szCs w:val="21"/>
    </w:rPr>
  </w:style>
  <w:style w:type="paragraph" w:styleId="CharCharChar1">
    <w:name w:val="Char Char Char1"/>
    <w:basedOn w:val="Normal"/>
    <w:qFormat/>
    <w:pPr>
      <w:pageBreakBefore/>
      <w:spacing w:before="280" w:after="280"/>
      <w:jc w:val="both"/>
    </w:pPr>
    <w:rPr>
      <w:rFonts w:ascii="Tahoma" w:hAnsi="Tahoma" w:cs="Tahoma"/>
      <w:sz w:val="20"/>
      <w:szCs w:val="20"/>
    </w:rPr>
  </w:style>
  <w:style w:type="paragraph" w:styleId="Normal2">
    <w:name w:val="Normal2"/>
    <w:qFormat/>
    <w:pPr>
      <w:widowControl/>
      <w:bidi w:val="0"/>
    </w:pPr>
    <w:rPr>
      <w:rFonts w:ascii="Times New Roman" w:hAnsi="Times New Roman" w:eastAsia="Times New Roman" w:cs="Times New Roman"/>
      <w:color w:val="000000"/>
      <w:sz w:val="24"/>
      <w:szCs w:val="20"/>
      <w:lang w:val="en-US" w:bidi="ar-SA" w:eastAsia="zh-CN"/>
    </w:rPr>
  </w:style>
  <w:style w:type="paragraph" w:styleId="Xmsonormal">
    <w:name w:val="x_msonormal"/>
    <w:basedOn w:val="Normal"/>
    <w:qFormat/>
    <w:pPr>
      <w:spacing w:before="280" w:after="280"/>
    </w:pPr>
    <w:rPr/>
  </w:style>
  <w:style w:type="paragraph" w:styleId="MediumShading1Accent11">
    <w:name w:val="Medium Shading 1 - Accent 11"/>
    <w:qFormat/>
    <w:pPr>
      <w:widowControl/>
      <w:bidi w:val="0"/>
    </w:pPr>
    <w:rPr>
      <w:rFonts w:ascii="Times New Roman" w:hAnsi="Times New Roman" w:eastAsia="Times New Roman" w:cs="Times New Roman"/>
      <w:color w:val="auto"/>
      <w:sz w:val="28"/>
      <w:szCs w:val="24"/>
      <w:lang w:val="en-US" w:bidi="ar-SA" w:eastAsia="zh-CN"/>
    </w:rPr>
  </w:style>
  <w:style w:type="paragraph" w:styleId="Char1">
    <w:name w:val="Char1"/>
    <w:basedOn w:val="Normal"/>
    <w:next w:val="Normal"/>
    <w:qFormat/>
    <w:pPr>
      <w:spacing w:lineRule="auto" w:line="312" w:before="120" w:after="120"/>
    </w:pPr>
    <w:rPr>
      <w:sz w:val="28"/>
      <w:szCs w:val="28"/>
    </w:rPr>
  </w:style>
  <w:style w:type="paragraph" w:styleId="CharChar2CharCharCharCharCharChar">
    <w:name w:val="Char Char2 Char Char Char Char Char Char"/>
    <w:basedOn w:val="Normal"/>
    <w:qFormat/>
    <w:pPr/>
    <w:rPr>
      <w:rFonts w:ascii="Tahoma" w:hAnsi="Tahoma" w:cs="Tahoma"/>
      <w:lang w:val="pl-PL"/>
    </w:rPr>
  </w:style>
  <w:style w:type="paragraph" w:styleId="List0020paragraph">
    <w:name w:val="list_0020paragraph"/>
    <w:basedOn w:val="Normal"/>
    <w:qFormat/>
    <w:pPr>
      <w:spacing w:before="280" w:after="280"/>
    </w:pPr>
    <w:rPr/>
  </w:style>
  <w:style w:type="paragraph" w:styleId="Yiv3519430896msonormal">
    <w:name w:val="yiv3519430896msonormal"/>
    <w:basedOn w:val="Normal"/>
    <w:qFormat/>
    <w:pPr>
      <w:spacing w:before="280" w:after="280"/>
    </w:pPr>
    <w:rPr/>
  </w:style>
  <w:style w:type="paragraph" w:styleId="BodyTextIndent2">
    <w:name w:val="Body Text Indent 2"/>
    <w:basedOn w:val="Normal"/>
    <w:qFormat/>
    <w:pPr>
      <w:spacing w:lineRule="auto" w:line="480" w:before="0" w:after="120"/>
      <w:ind w:left="360" w:hanging="0"/>
    </w:pPr>
    <w:rPr>
      <w:sz w:val="28"/>
      <w:szCs w:val="28"/>
      <w:lang w:val="en-US"/>
    </w:rPr>
  </w:style>
  <w:style w:type="paragraph" w:styleId="ListParagraph">
    <w:name w:val="List Paragraph"/>
    <w:basedOn w:val="Normal"/>
    <w:qFormat/>
    <w:pPr>
      <w:spacing w:lineRule="auto" w:line="276" w:before="0" w:after="200"/>
      <w:ind w:left="720" w:hanging="0"/>
      <w:contextualSpacing/>
    </w:pPr>
    <w:rPr>
      <w:rFonts w:eastAsia="Calibri"/>
      <w:sz w:val="28"/>
      <w:szCs w:val="22"/>
      <w:lang w:val="en-US"/>
    </w:rPr>
  </w:style>
  <w:style w:type="paragraph" w:styleId="BodyText3">
    <w:name w:val="Body Text 3"/>
    <w:basedOn w:val="Normal"/>
    <w:qFormat/>
    <w:pPr>
      <w:spacing w:before="0" w:after="120"/>
    </w:pPr>
    <w:rPr>
      <w:sz w:val="16"/>
      <w:szCs w:val="16"/>
      <w:lang w:val="en-US"/>
    </w:rPr>
  </w:style>
  <w:style w:type="paragraph" w:styleId="Normal3">
    <w:name w:val="Normal3"/>
    <w:qFormat/>
    <w:pPr>
      <w:widowControl/>
      <w:bidi w:val="0"/>
    </w:pPr>
    <w:rPr>
      <w:rFonts w:ascii="Times New Roman" w:hAnsi="Times New Roman" w:eastAsia="Times New Roman" w:cs="Times New Roman"/>
      <w:color w:val="000000"/>
      <w:sz w:val="24"/>
      <w:szCs w:val="20"/>
      <w:lang w:val="en-US" w:bidi="ar-SA" w:eastAsia="zh-CN"/>
    </w:rPr>
  </w:style>
  <w:style w:type="paragraph" w:styleId="CarattereCarattereCharCharCharCharCharCharZchn">
    <w:name w:val="Carattere Carattere Char Char Char Char Char Char Zchn"/>
    <w:basedOn w:val="Normal"/>
    <w:next w:val="Normal"/>
    <w:qFormat/>
    <w:pPr>
      <w:spacing w:lineRule="exact" w:line="240" w:before="0" w:after="160"/>
    </w:pPr>
    <w:rPr>
      <w:sz w:val="20"/>
      <w:szCs w:val="20"/>
      <w:vertAlign w:val="superscript"/>
      <w:lang w:val="en-US"/>
    </w:rPr>
  </w:style>
  <w:style w:type="paragraph" w:styleId="FtrefCharChar">
    <w:name w:val="ftref Char Char"/>
    <w:basedOn w:val="Normal"/>
    <w:qFormat/>
    <w:pPr>
      <w:spacing w:lineRule="exact" w:line="240" w:before="100" w:after="0"/>
    </w:pPr>
    <w:rPr>
      <w:rFonts w:eastAsia="Calibri"/>
      <w:sz w:val="20"/>
      <w:szCs w:val="20"/>
      <w:vertAlign w:val="superscript"/>
    </w:rPr>
  </w:style>
  <w:style w:type="paragraph" w:styleId="Content">
    <w:name w:val="Content"/>
    <w:basedOn w:val="Normal"/>
    <w:qFormat/>
    <w:pPr>
      <w:spacing w:lineRule="auto" w:line="264" w:before="120" w:after="0"/>
      <w:ind w:firstLine="720"/>
      <w:jc w:val="both"/>
    </w:pPr>
    <w:rPr>
      <w:rFonts w:eastAsia="Calibri" w:cs="Calibri"/>
      <w:sz w:val="28"/>
      <w:szCs w:val="22"/>
      <w:lang w:val="de-DE"/>
    </w:rPr>
  </w:style>
  <w:style w:type="paragraph" w:styleId="ColorfulListAccent11">
    <w:name w:val="Colorful List - Accent 11"/>
    <w:basedOn w:val="Normal"/>
    <w:qFormat/>
    <w:pPr>
      <w:spacing w:before="0" w:after="200"/>
      <w:ind w:left="720" w:hanging="0"/>
      <w:contextualSpacing/>
    </w:pPr>
    <w:rPr>
      <w:rFonts w:eastAsia="Cambria"/>
      <w:sz w:val="28"/>
    </w:rPr>
  </w:style>
  <w:style w:type="paragraph" w:styleId="M4699682942669953198msolistparagraph">
    <w:name w:val="m_4699682942669953198msolistparagraph"/>
    <w:basedOn w:val="Normal"/>
    <w:qFormat/>
    <w:pPr>
      <w:spacing w:before="280" w:after="280"/>
    </w:pPr>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Contents">
    <w:name w:val="Contents"/>
    <w:basedOn w:val="Normal"/>
    <w:qFormat/>
    <w:pPr>
      <w:spacing w:before="120" w:after="60"/>
      <w:ind w:firstLine="709"/>
      <w:jc w:val="both"/>
    </w:pPr>
    <w:rPr>
      <w:sz w:val="28"/>
      <w:szCs w:val="28"/>
      <w:lang w:val="de-DE"/>
    </w:rPr>
  </w:style>
  <w:style w:type="paragraph" w:styleId="Linh11">
    <w:name w:val="linh11"/>
    <w:basedOn w:val="Normal"/>
    <w:qFormat/>
    <w:pPr>
      <w:spacing w:lineRule="auto" w:line="336" w:before="60" w:after="60"/>
      <w:ind w:firstLine="720"/>
      <w:jc w:val="center"/>
    </w:pPr>
    <w:rPr>
      <w:b/>
      <w:sz w:val="28"/>
      <w:szCs w:val="28"/>
    </w:rPr>
  </w:style>
  <w:style w:type="paragraph" w:styleId="NoSpacing">
    <w:name w:val="No Spacing"/>
    <w:qFormat/>
    <w:pPr>
      <w:widowControl/>
      <w:bidi w:val="0"/>
    </w:pPr>
    <w:rPr>
      <w:rFonts w:ascii="Times New Roman" w:hAnsi="Times New Roman" w:eastAsia="Calibri" w:cs="Times New Roman"/>
      <w:color w:val="auto"/>
      <w:sz w:val="27"/>
      <w:szCs w:val="22"/>
      <w:lang w:val="en-US" w:bidi="ar-SA" w:eastAsia="zh-CN"/>
    </w:rPr>
  </w:style>
  <w:style w:type="paragraph" w:styleId="NidungA">
    <w:name w:val="Nội dung A"/>
    <w:qFormat/>
    <w:pPr>
      <w:widowControl/>
      <w:pBdr/>
      <w:bidi w:val="0"/>
    </w:pPr>
    <w:rPr>
      <w:rFonts w:ascii="Helvetica Neue;Times New Roman" w:hAnsi="Helvetica Neue;Times New Roman" w:eastAsia="Arial Unicode MS" w:cs="Arial Unicode MS"/>
      <w:color w:val="000000"/>
      <w:sz w:val="22"/>
      <w:szCs w:val="22"/>
      <w:lang w:val="en-US" w:bidi="ar-SA" w:eastAsia="zh-CN"/>
    </w:rPr>
  </w:style>
  <w:style w:type="paragraph" w:styleId="List3">
    <w:name w:val="List Bullet 4"/>
    <w:basedOn w:val="Normal"/>
    <w:pPr>
      <w:spacing w:before="0" w:after="0"/>
      <w:ind w:left="1080" w:hanging="360"/>
      <w:contextualSpacing/>
    </w:pPr>
    <w:rPr>
      <w:rFonts w:ascii=".VnTime;Courier New" w:hAnsi=".VnTime;Courier New" w:cs=".VnTime;Courier New"/>
      <w:szCs w:val="20"/>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2022-11-29T15:50:00Z</dcterms:created>
  <dc:creator>Le Anh Tuan</dc:creator>
  <dc:description/>
  <cp:keywords/>
  <dc:language>en-US</dc:language>
  <cp:lastModifiedBy>Dang Thi Tuyet Minh</cp:lastModifiedBy>
  <cp:lastPrinted>2022-11-29T15:58:00Z</cp:lastPrinted>
  <dcterms:modified xsi:type="dcterms:W3CDTF">2022-12-02T14:25:00Z</dcterms:modified>
  <cp:revision>7</cp:revision>
  <dc:subject/>
  <dc:title>BỘ NÔNG NGHIỆP VÀ</dc:title>
</cp:coreProperties>
</file>