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7" w:type="dxa"/>
        <w:jc w:val="left"/>
        <w:tblInd w:w="-709" w:type="dxa"/>
        <w:tblLayout w:type="fixed"/>
        <w:tblCellMar>
          <w:top w:w="0" w:type="dxa"/>
          <w:left w:w="108" w:type="dxa"/>
          <w:bottom w:w="0" w:type="dxa"/>
          <w:right w:w="108" w:type="dxa"/>
        </w:tblCellMar>
      </w:tblPr>
      <w:tblGrid>
        <w:gridCol w:w="4111"/>
        <w:gridCol w:w="6096"/>
      </w:tblGrid>
      <w:tr>
        <w:trPr>
          <w:trHeight w:val="1548" w:hRule="atLeast"/>
        </w:trPr>
        <w:tc>
          <w:tcPr>
            <w:tcW w:w="4111" w:type="dxa"/>
            <w:tcBorders/>
          </w:tcPr>
          <w:p>
            <w:pPr>
              <w:pStyle w:val="Default"/>
              <w:ind w:firstLine="45"/>
              <w:jc w:val="center"/>
              <w:rPr>
                <w:b/>
                <w:b/>
                <w:color w:val="000000"/>
              </w:rPr>
            </w:pPr>
            <w:r>
              <w:rPr>
                <w:b/>
                <w:color w:val="000000"/>
              </w:rPr>
              <w:t xml:space="preserve">BỘ NÔNG NGHIỆP </w:t>
            </w:r>
          </w:p>
          <w:p>
            <w:pPr>
              <w:pStyle w:val="Default"/>
              <w:ind w:firstLine="45"/>
              <w:jc w:val="center"/>
              <w:rPr>
                <w:b/>
                <w:b/>
                <w:color w:val="000000"/>
              </w:rPr>
            </w:pPr>
            <w:r>
              <w:rPr>
                <w:b/>
                <w:color w:val="000000"/>
              </w:rPr>
              <w:t xml:space="preserve">VÀ PHÁT TRIỂN NÔNG THÔN </w:t>
            </w:r>
          </w:p>
          <w:p>
            <w:pPr>
              <w:pStyle w:val="Default"/>
              <w:tabs>
                <w:tab w:val="clear" w:pos="720"/>
                <w:tab w:val="left" w:pos="896" w:leader="none"/>
              </w:tabs>
              <w:ind w:firstLine="720"/>
              <w:jc w:val="center"/>
              <w:rPr>
                <w:b/>
                <w:b/>
                <w:bCs/>
                <w:color w:val="000000"/>
                <w:sz w:val="28"/>
                <w:szCs w:val="28"/>
              </w:rPr>
            </w:pPr>
            <w:r>
              <mc:AlternateContent>
                <mc:Choice Requires="wps">
                  <w:drawing>
                    <wp:anchor behindDoc="0" distT="0" distB="0" distL="0" distR="0" simplePos="0" locked="0" layoutInCell="1" allowOverlap="1" relativeHeight="3">
                      <wp:simplePos x="0" y="0"/>
                      <wp:positionH relativeFrom="column">
                        <wp:posOffset>506730</wp:posOffset>
                      </wp:positionH>
                      <wp:positionV relativeFrom="paragraph">
                        <wp:posOffset>60960</wp:posOffset>
                      </wp:positionV>
                      <wp:extent cx="1285875" cy="635"/>
                      <wp:effectExtent l="0" t="0" r="0" b="0"/>
                      <wp:wrapNone/>
                      <wp:docPr id="1" name="AutoShape 6"/>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6" stroked="t" o:allowincell="t" style="position:absolute;margin-left:39.9pt;margin-top:4.8pt;width:0pt;height:0pt" type="_x0000_t32">
                      <v:stroke color="black" weight="9360" joinstyle="miter" endcap="flat"/>
                      <v:fill o:detectmouseclick="t" on="false"/>
                      <w10:wrap type="none"/>
                    </v:shape>
                  </w:pict>
                </mc:Fallback>
              </mc:AlternateContent>
            </w:r>
            <w:r>
              <w:rPr>
                <w:b/>
                <w:bCs/>
                <w:color w:val="000000"/>
                <w:sz w:val="28"/>
                <w:szCs w:val="28"/>
              </w:rPr>
              <w:t xml:space="preserve"> </w:t>
            </w:r>
          </w:p>
          <w:p>
            <w:pPr>
              <w:pStyle w:val="Default"/>
              <w:tabs>
                <w:tab w:val="clear" w:pos="720"/>
                <w:tab w:val="left" w:pos="896" w:leader="none"/>
              </w:tabs>
              <w:ind w:firstLine="720"/>
              <w:jc w:val="center"/>
              <w:rPr>
                <w:color w:val="000000"/>
                <w:sz w:val="28"/>
                <w:szCs w:val="28"/>
              </w:rPr>
            </w:pPr>
            <w:r>
              <w:rPr>
                <w:color w:val="000000"/>
                <w:sz w:val="28"/>
                <w:szCs w:val="28"/>
              </w:rPr>
              <w:t xml:space="preserve"> </w:t>
            </w:r>
          </w:p>
        </w:tc>
        <w:tc>
          <w:tcPr>
            <w:tcW w:w="6096" w:type="dxa"/>
            <w:tcBorders/>
          </w:tcPr>
          <w:p>
            <w:pPr>
              <w:pStyle w:val="Default"/>
              <w:jc w:val="center"/>
              <w:rPr/>
            </w:pPr>
            <w:r>
              <w:rPr>
                <w:b/>
                <w:bCs/>
                <w:color w:val="000000"/>
                <w:sz w:val="28"/>
                <w:szCs w:val="28"/>
              </w:rPr>
              <w:t xml:space="preserve">      </w:t>
            </w:r>
            <w:r>
              <w:rPr>
                <w:b/>
                <w:bCs/>
                <w:color w:val="000000"/>
              </w:rPr>
              <w:t xml:space="preserve">CỘNG HÒA XÃ HỘI CHỦ NGHĨA VIỆT NAM </w:t>
            </w:r>
          </w:p>
          <w:p>
            <w:pPr>
              <w:pStyle w:val="Default"/>
              <w:ind w:firstLine="720"/>
              <w:jc w:val="center"/>
              <w:rPr>
                <w:color w:val="000000"/>
                <w:sz w:val="28"/>
                <w:szCs w:val="28"/>
              </w:rPr>
            </w:pPr>
            <w:r>
              <w:rPr>
                <w:b/>
                <w:bCs/>
                <w:iCs/>
                <w:color w:val="000000"/>
                <w:sz w:val="28"/>
                <w:szCs w:val="28"/>
              </w:rPr>
              <w:t>Độc lập - Tự do - Hạnh phúc</w:t>
            </w:r>
          </w:p>
          <w:p>
            <w:pPr>
              <w:pStyle w:val="Default"/>
              <w:ind w:firstLine="720"/>
              <w:jc w:val="center"/>
              <w:rPr>
                <w:b/>
                <w:b/>
                <w:bCs/>
                <w:i/>
                <w:i/>
                <w:iCs/>
                <w:color w:val="000000"/>
                <w:sz w:val="28"/>
                <w:szCs w:val="28"/>
                <w:lang w:val="en-US" w:eastAsia="en-US"/>
              </w:rPr>
            </w:pPr>
            <w:r>
              <w:rPr>
                <w:b/>
                <w:bCs/>
                <w:i/>
                <w:iCs/>
                <w:color w:val="000000"/>
                <w:sz w:val="28"/>
                <w:szCs w:val="28"/>
                <w:lang w:val="en-US" w:eastAsia="en-US"/>
              </w:rPr>
              <mc:AlternateContent>
                <mc:Choice Requires="wps">
                  <w:drawing>
                    <wp:anchor behindDoc="0" distT="0" distB="0" distL="114935" distR="114935" simplePos="0" locked="0" layoutInCell="1" allowOverlap="1" relativeHeight="2">
                      <wp:simplePos x="0" y="0"/>
                      <wp:positionH relativeFrom="column">
                        <wp:posOffset>1196340</wp:posOffset>
                      </wp:positionH>
                      <wp:positionV relativeFrom="paragraph">
                        <wp:posOffset>31750</wp:posOffset>
                      </wp:positionV>
                      <wp:extent cx="1973580" cy="0"/>
                      <wp:effectExtent l="0" t="5080" r="0" b="5080"/>
                      <wp:wrapNone/>
                      <wp:docPr id="2" name="Line 5"/>
                      <a:graphic xmlns:a="http://schemas.openxmlformats.org/drawingml/2006/main">
                        <a:graphicData uri="http://schemas.microsoft.com/office/word/2010/wordprocessingShape">
                          <wps:wsp>
                            <wps:cNvSpPr/>
                            <wps:spPr>
                              <a:xfrm>
                                <a:off x="0" y="0"/>
                                <a:ext cx="197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4.2pt,2.5pt" to="249.55pt,2.5pt" ID="Line 5" stroked="t" o:allowincell="t" style="position:absolute">
                      <v:stroke color="black" weight="9360" joinstyle="miter" endcap="flat"/>
                      <v:fill o:detectmouseclick="t" on="false"/>
                      <w10:wrap type="none"/>
                    </v:line>
                  </w:pict>
                </mc:Fallback>
              </mc:AlternateContent>
            </w:r>
          </w:p>
          <w:p>
            <w:pPr>
              <w:pStyle w:val="Default"/>
              <w:ind w:firstLine="720"/>
              <w:jc w:val="center"/>
              <w:rPr>
                <w:i/>
                <w:i/>
                <w:color w:val="000000"/>
                <w:sz w:val="28"/>
                <w:szCs w:val="28"/>
              </w:rPr>
            </w:pPr>
            <w:r>
              <w:rPr>
                <w:i/>
                <w:iCs/>
                <w:color w:val="000000"/>
                <w:sz w:val="28"/>
                <w:szCs w:val="28"/>
              </w:rPr>
              <w:t xml:space="preserve">    </w:t>
            </w:r>
            <w:r>
              <w:rPr>
                <w:i/>
                <w:iCs/>
                <w:color w:val="000000"/>
                <w:sz w:val="28"/>
                <w:szCs w:val="28"/>
              </w:rPr>
              <w:t>Hà Nội, ngày  29 tháng 5 năm 2022</w:t>
            </w:r>
          </w:p>
        </w:tc>
      </w:tr>
    </w:tbl>
    <w:p>
      <w:pPr>
        <w:pStyle w:val="Default"/>
        <w:jc w:val="center"/>
        <w:rPr>
          <w:b/>
          <w:b/>
          <w:bCs/>
          <w:color w:val="000000"/>
          <w:sz w:val="28"/>
          <w:szCs w:val="28"/>
        </w:rPr>
      </w:pPr>
      <w:r>
        <w:rPr>
          <w:b/>
          <w:bCs/>
          <w:color w:val="000000"/>
          <w:sz w:val="28"/>
          <w:szCs w:val="28"/>
        </w:rPr>
        <w:t xml:space="preserve">BÁO CÁO </w:t>
      </w:r>
    </w:p>
    <w:p>
      <w:pPr>
        <w:pStyle w:val="Default"/>
        <w:jc w:val="center"/>
        <w:rPr/>
      </w:pPr>
      <w:r>
        <w:rPr>
          <w:b/>
          <w:bCs/>
          <w:color w:val="000000"/>
          <w:sz w:val="28"/>
          <w:szCs w:val="28"/>
        </w:rPr>
        <w:t>Tình hình thực hiện kế hoạch tháng 5, 5 tháng đầu năm</w:t>
      </w:r>
    </w:p>
    <w:p>
      <w:pPr>
        <w:pStyle w:val="Default"/>
        <w:jc w:val="center"/>
        <w:rPr>
          <w:b/>
          <w:b/>
          <w:bCs/>
          <w:color w:val="000000"/>
          <w:sz w:val="28"/>
          <w:szCs w:val="28"/>
        </w:rPr>
      </w:pPr>
      <w:r>
        <w:rPr>
          <w:b/>
          <w:bCs/>
          <w:color w:val="000000"/>
          <w:sz w:val="28"/>
          <w:szCs w:val="28"/>
        </w:rPr>
        <w:t>và nhiệm vụ công tác tháng 6</w:t>
      </w:r>
    </w:p>
    <w:p>
      <w:pPr>
        <w:pStyle w:val="Default"/>
        <w:spacing w:lineRule="exact" w:line="360" w:before="80" w:after="80"/>
        <w:ind w:firstLine="720"/>
        <w:jc w:val="both"/>
        <w:rPr>
          <w:b/>
          <w:b/>
          <w:bCs/>
          <w:color w:val="000000"/>
          <w:sz w:val="28"/>
          <w:szCs w:val="28"/>
          <w:lang w:val="en-US" w:eastAsia="en-US"/>
        </w:rPr>
      </w:pPr>
      <w:r>
        <w:rPr>
          <w:b/>
          <w:bCs/>
          <w:color w:val="000000"/>
          <w:sz w:val="28"/>
          <w:szCs w:val="28"/>
          <w:lang w:val="en-US" w:eastAsia="en-US"/>
        </w:rPr>
        <mc:AlternateContent>
          <mc:Choice Requires="wps">
            <w:drawing>
              <wp:anchor behindDoc="0" distT="0" distB="0" distL="0" distR="0" simplePos="0" locked="0" layoutInCell="0" allowOverlap="1" relativeHeight="4">
                <wp:simplePos x="0" y="0"/>
                <wp:positionH relativeFrom="column">
                  <wp:posOffset>1801495</wp:posOffset>
                </wp:positionH>
                <wp:positionV relativeFrom="paragraph">
                  <wp:posOffset>48895</wp:posOffset>
                </wp:positionV>
                <wp:extent cx="2243455" cy="635"/>
                <wp:effectExtent l="0" t="0" r="0" b="0"/>
                <wp:wrapNone/>
                <wp:docPr id="3" name="AutoShape 9"/>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ID="AutoShape 9" stroked="t" o:allowincell="f" style="position:absolute;margin-left:141.85pt;margin-top:3.85pt;width:0pt;height:0pt" type="_x0000_t32">
                <v:stroke color="black" weight="9360" joinstyle="miter" endcap="flat"/>
                <v:fill o:detectmouseclick="t" on="false"/>
                <w10:wrap type="none"/>
              </v:shape>
            </w:pict>
          </mc:Fallback>
        </mc:AlternateContent>
      </w:r>
    </w:p>
    <w:p>
      <w:pPr>
        <w:pStyle w:val="Default"/>
        <w:widowControl w:val="false"/>
        <w:spacing w:before="120" w:after="0"/>
        <w:ind w:firstLine="720"/>
        <w:jc w:val="both"/>
        <w:rPr>
          <w:b/>
          <w:b/>
          <w:bCs/>
          <w:color w:val="000000"/>
          <w:sz w:val="28"/>
          <w:szCs w:val="28"/>
        </w:rPr>
      </w:pPr>
      <w:r>
        <w:rPr>
          <w:b/>
          <w:bCs/>
          <w:color w:val="000000"/>
          <w:sz w:val="28"/>
          <w:szCs w:val="28"/>
        </w:rPr>
        <w:t xml:space="preserve">I. KẾT QUẢ THỰC HIỆN KẾ HOẠCH THÁNG 5 VÀ 5 THÁNG </w:t>
      </w:r>
    </w:p>
    <w:p>
      <w:pPr>
        <w:pStyle w:val="Default"/>
        <w:widowControl w:val="false"/>
        <w:spacing w:before="120" w:after="0"/>
        <w:ind w:firstLine="720"/>
        <w:jc w:val="both"/>
        <w:rPr>
          <w:rFonts w:eastAsia="MS Mincho;Yu Gothic UI"/>
          <w:color w:val="000000"/>
          <w:sz w:val="28"/>
          <w:szCs w:val="28"/>
          <w:lang w:val="vi-VN" w:eastAsia="ja-JP"/>
        </w:rPr>
      </w:pPr>
      <w:bookmarkStart w:id="0" w:name="_Hlk36194803"/>
      <w:r>
        <w:rPr>
          <w:sz w:val="28"/>
          <w:szCs w:val="28"/>
          <w:lang w:val="pt-BR"/>
        </w:rPr>
        <w:t>Sản xuất nông, lâm nghiệp và thủy sản</w:t>
      </w:r>
      <w:r>
        <w:rPr>
          <w:sz w:val="28"/>
          <w:szCs w:val="28"/>
          <w:lang w:val="vi-VN"/>
        </w:rPr>
        <w:t xml:space="preserve"> trong</w:t>
      </w:r>
      <w:r>
        <w:rPr>
          <w:sz w:val="28"/>
          <w:szCs w:val="28"/>
          <w:lang w:val="pt-BR"/>
        </w:rPr>
        <w:t xml:space="preserve"> tháng 5 diễn ra trong điều kiện</w:t>
      </w:r>
      <w:r>
        <w:rPr>
          <w:sz w:val="28"/>
          <w:szCs w:val="28"/>
          <w:lang w:val="vi-VN"/>
        </w:rPr>
        <w:t xml:space="preserve"> </w:t>
      </w:r>
      <w:r>
        <w:rPr>
          <w:sz w:val="28"/>
          <w:szCs w:val="28"/>
          <w:lang w:val="pt-BR"/>
        </w:rPr>
        <w:t>dịch bệnh Covid trong nước đã cơ bản được kiểm soát, nhu cầu tiêu dùng hàng nông sản trên thế giới tăng cao</w:t>
      </w:r>
      <w:r>
        <w:rPr>
          <w:sz w:val="28"/>
          <w:szCs w:val="28"/>
          <w:lang w:val="vi-VN"/>
        </w:rPr>
        <w:t xml:space="preserve">. </w:t>
      </w:r>
      <w:r>
        <w:rPr>
          <w:sz w:val="28"/>
          <w:szCs w:val="28"/>
          <w:lang w:val="pt-BR"/>
        </w:rPr>
        <w:t xml:space="preserve">Tuy nhiên, cũng đối mặt với nhiều khó khăn do thời tiết phức tạp, giá vật tư, nguyên liệu đầu vào phục vụ sản xuất (xăng dầu, phân bón, thức ăn chăn nuôi,...) tăng cao. </w:t>
      </w:r>
      <w:r>
        <w:rPr>
          <w:bCs/>
          <w:color w:val="000000"/>
          <w:sz w:val="28"/>
          <w:szCs w:val="28"/>
        </w:rPr>
        <w:t xml:space="preserve">Dù vậy, sản xuất </w:t>
      </w:r>
      <w:r>
        <w:rPr>
          <w:color w:val="000000"/>
          <w:sz w:val="28"/>
          <w:szCs w:val="28"/>
          <w:lang w:val="es-ES"/>
        </w:rPr>
        <w:t xml:space="preserve">nông lâm thủy sản tiếp tục đạt được kết quả khả quan, xuất khẩu nông sản tăng mạnh với thặng dư thương mại 5 tháng gấp 3 lần so với cùng kỳ năm ngoái. </w:t>
      </w:r>
      <w:bookmarkEnd w:id="0"/>
      <w:r>
        <w:rPr>
          <w:rFonts w:eastAsia="MS Mincho;Yu Gothic UI"/>
          <w:color w:val="000000"/>
          <w:sz w:val="28"/>
          <w:szCs w:val="28"/>
          <w:lang w:val="vi-VN" w:eastAsia="ja-JP"/>
        </w:rPr>
        <w:t xml:space="preserve">Một số kết quả cụ thể như sau: </w:t>
      </w:r>
    </w:p>
    <w:p>
      <w:pPr>
        <w:pStyle w:val="Normal"/>
        <w:widowControl w:val="false"/>
        <w:spacing w:before="120" w:after="0"/>
        <w:ind w:firstLine="720"/>
        <w:jc w:val="both"/>
        <w:rPr>
          <w:b/>
          <w:b/>
          <w:sz w:val="28"/>
          <w:szCs w:val="28"/>
          <w:lang w:val="da-DK"/>
        </w:rPr>
      </w:pPr>
      <w:r>
        <w:rPr>
          <w:b/>
          <w:sz w:val="28"/>
          <w:szCs w:val="28"/>
          <w:lang w:val="da-DK"/>
        </w:rPr>
        <w:t>1. Kết quả sản xuất</w:t>
      </w:r>
    </w:p>
    <w:p>
      <w:pPr>
        <w:pStyle w:val="Normal"/>
        <w:widowControl w:val="false"/>
        <w:spacing w:before="120" w:after="0"/>
        <w:ind w:firstLine="720"/>
        <w:jc w:val="both"/>
        <w:rPr/>
      </w:pPr>
      <w:r>
        <w:rPr>
          <w:sz w:val="28"/>
          <w:szCs w:val="28"/>
          <w:lang w:val="da-DK"/>
        </w:rPr>
        <w:t>a) Trồng trọt</w:t>
      </w:r>
    </w:p>
    <w:p>
      <w:pPr>
        <w:pStyle w:val="Normal"/>
        <w:widowControl w:val="false"/>
        <w:shd w:fill="FFFFFF" w:val="clear"/>
        <w:tabs>
          <w:tab w:val="clear" w:pos="720"/>
          <w:tab w:val="left" w:pos="2847" w:leader="none"/>
        </w:tabs>
        <w:spacing w:before="120" w:after="0"/>
        <w:ind w:firstLine="720"/>
        <w:jc w:val="both"/>
        <w:rPr>
          <w:i/>
          <w:i/>
          <w:sz w:val="28"/>
          <w:szCs w:val="28"/>
          <w:lang w:val="pt-BR"/>
        </w:rPr>
      </w:pPr>
      <w:bookmarkStart w:id="1" w:name="_Hlk36194785"/>
      <w:bookmarkEnd w:id="1"/>
      <w:r>
        <w:rPr>
          <w:sz w:val="28"/>
          <w:szCs w:val="28"/>
          <w:lang w:val="pt-BR"/>
        </w:rPr>
        <w:t>Trong tháng,</w:t>
      </w:r>
      <w:r>
        <w:rPr>
          <w:color w:val="000000"/>
          <w:sz w:val="28"/>
          <w:szCs w:val="28"/>
          <w:lang w:val="pt-BR"/>
        </w:rPr>
        <w:t xml:space="preserve"> các địa phương phía Bắc tập trung chăm sóc lúa </w:t>
      </w:r>
      <w:r>
        <w:rPr>
          <w:color w:val="000000"/>
          <w:sz w:val="28"/>
          <w:szCs w:val="28"/>
          <w:lang w:val="vi-VN"/>
        </w:rPr>
        <w:t>Đ</w:t>
      </w:r>
      <w:r>
        <w:rPr>
          <w:color w:val="000000"/>
          <w:sz w:val="28"/>
          <w:szCs w:val="28"/>
          <w:lang w:val="pt-BR"/>
        </w:rPr>
        <w:t xml:space="preserve">ông </w:t>
      </w:r>
      <w:r>
        <w:rPr>
          <w:color w:val="000000"/>
          <w:sz w:val="28"/>
          <w:szCs w:val="28"/>
          <w:lang w:val="vi-VN"/>
        </w:rPr>
        <w:t>X</w:t>
      </w:r>
      <w:r>
        <w:rPr>
          <w:color w:val="000000"/>
          <w:sz w:val="28"/>
          <w:szCs w:val="28"/>
          <w:lang w:val="pt-BR"/>
        </w:rPr>
        <w:t xml:space="preserve">uân; phòng trừ sâu bệnh hại cây trồng; </w:t>
      </w:r>
      <w:r>
        <w:rPr>
          <w:color w:val="000000"/>
          <w:sz w:val="28"/>
          <w:szCs w:val="28"/>
          <w:lang w:val="vi-VN"/>
        </w:rPr>
        <w:t>các tỉnh phía Nam</w:t>
      </w:r>
      <w:r>
        <w:rPr>
          <w:color w:val="000000"/>
          <w:sz w:val="28"/>
          <w:szCs w:val="28"/>
          <w:lang w:val="pt-BR"/>
        </w:rPr>
        <w:t xml:space="preserve"> thu hoạch lúa, hoa màu vụ </w:t>
      </w:r>
      <w:r>
        <w:rPr>
          <w:color w:val="000000"/>
          <w:sz w:val="28"/>
          <w:szCs w:val="28"/>
          <w:lang w:val="vi-VN"/>
        </w:rPr>
        <w:t>Đ</w:t>
      </w:r>
      <w:r>
        <w:rPr>
          <w:color w:val="000000"/>
          <w:sz w:val="28"/>
          <w:szCs w:val="28"/>
          <w:lang w:val="pt-BR"/>
        </w:rPr>
        <w:t xml:space="preserve">ông </w:t>
      </w:r>
      <w:r>
        <w:rPr>
          <w:color w:val="000000"/>
          <w:sz w:val="28"/>
          <w:szCs w:val="28"/>
          <w:lang w:val="vi-VN"/>
        </w:rPr>
        <w:t>X</w:t>
      </w:r>
      <w:r>
        <w:rPr>
          <w:color w:val="000000"/>
          <w:sz w:val="28"/>
          <w:szCs w:val="28"/>
          <w:lang w:val="pt-BR"/>
        </w:rPr>
        <w:t xml:space="preserve">uân và xuống giống lúa </w:t>
      </w:r>
      <w:r>
        <w:rPr>
          <w:color w:val="000000"/>
          <w:sz w:val="28"/>
          <w:szCs w:val="28"/>
          <w:lang w:val="vi-VN"/>
        </w:rPr>
        <w:t>H</w:t>
      </w:r>
      <w:r>
        <w:rPr>
          <w:color w:val="000000"/>
          <w:sz w:val="28"/>
          <w:szCs w:val="28"/>
          <w:lang w:val="pt-BR"/>
        </w:rPr>
        <w:t xml:space="preserve">è </w:t>
      </w:r>
      <w:r>
        <w:rPr>
          <w:color w:val="000000"/>
          <w:sz w:val="28"/>
          <w:szCs w:val="28"/>
          <w:lang w:val="vi-VN"/>
        </w:rPr>
        <w:t>T</w:t>
      </w:r>
      <w:r>
        <w:rPr>
          <w:color w:val="000000"/>
          <w:sz w:val="28"/>
          <w:szCs w:val="28"/>
          <w:lang w:val="pt-BR"/>
        </w:rPr>
        <w:t xml:space="preserve">hu. </w:t>
      </w:r>
      <w:r>
        <w:rPr>
          <w:i/>
          <w:sz w:val="28"/>
          <w:szCs w:val="28"/>
          <w:lang w:val="pt-BR"/>
        </w:rPr>
        <w:t xml:space="preserve"> </w:t>
      </w:r>
    </w:p>
    <w:p>
      <w:pPr>
        <w:pStyle w:val="Normal"/>
        <w:widowControl w:val="false"/>
        <w:shd w:fill="FFFFFF" w:val="clear"/>
        <w:tabs>
          <w:tab w:val="clear" w:pos="720"/>
          <w:tab w:val="left" w:pos="2847" w:leader="none"/>
        </w:tabs>
        <w:spacing w:before="120" w:after="0"/>
        <w:ind w:firstLine="720"/>
        <w:jc w:val="both"/>
        <w:rPr>
          <w:i/>
          <w:i/>
          <w:iCs/>
          <w:sz w:val="28"/>
          <w:szCs w:val="28"/>
          <w:lang w:val="nb-NO"/>
        </w:rPr>
      </w:pPr>
      <w:bookmarkStart w:id="2" w:name="_Hlk36194785"/>
      <w:bookmarkEnd w:id="2"/>
      <w:r>
        <w:rPr>
          <w:i/>
          <w:iCs/>
          <w:sz w:val="28"/>
          <w:szCs w:val="28"/>
          <w:lang w:val="nb-NO"/>
        </w:rPr>
        <w:t xml:space="preserve">* Lúa </w:t>
      </w:r>
    </w:p>
    <w:p>
      <w:pPr>
        <w:pStyle w:val="Normal"/>
        <w:widowControl w:val="false"/>
        <w:spacing w:before="120" w:after="0"/>
        <w:ind w:firstLine="720"/>
        <w:jc w:val="both"/>
        <w:rPr/>
      </w:pPr>
      <w:r>
        <w:rPr>
          <w:sz w:val="28"/>
          <w:szCs w:val="28"/>
          <w:lang w:val="nb-NO"/>
        </w:rPr>
        <w:t xml:space="preserve">Tính đến trung tuần tháng 5, </w:t>
      </w:r>
      <w:bookmarkStart w:id="3" w:name="_Hlk52269939"/>
      <w:r>
        <w:rPr>
          <w:sz w:val="28"/>
          <w:szCs w:val="28"/>
          <w:lang w:val="nb-NO"/>
        </w:rPr>
        <w:t xml:space="preserve">cả nước gieo cấy được </w:t>
      </w:r>
      <w:r>
        <w:rPr>
          <w:sz w:val="28"/>
          <w:szCs w:val="28"/>
        </w:rPr>
        <w:t xml:space="preserve">4.282 nghìn ha </w:t>
      </w:r>
      <w:r>
        <w:rPr>
          <w:sz w:val="28"/>
          <w:szCs w:val="28"/>
          <w:lang w:val="nb-NO"/>
        </w:rPr>
        <w:t>lúa Đông Xuân</w:t>
      </w:r>
      <w:bookmarkStart w:id="4" w:name="_Hlk52269958"/>
      <w:bookmarkEnd w:id="3"/>
      <w:r>
        <w:rPr>
          <w:sz w:val="28"/>
          <w:szCs w:val="28"/>
          <w:lang w:val="nb-NO"/>
        </w:rPr>
        <w:t xml:space="preserve"> và Hè Thu; đã thu hoạch khoảng </w:t>
      </w:r>
      <w:r>
        <w:rPr>
          <w:sz w:val="28"/>
          <w:szCs w:val="28"/>
        </w:rPr>
        <w:t>2.673 nghìn ha, tăng 3,6% cùng kỳ</w:t>
      </w:r>
      <w:r>
        <w:rPr>
          <w:rStyle w:val="FootnoteCharacters"/>
          <w:rStyle w:val="FootnoteAnchor"/>
          <w:sz w:val="28"/>
          <w:szCs w:val="28"/>
        </w:rPr>
        <w:footnoteReference w:id="2"/>
      </w:r>
      <w:r>
        <w:rPr>
          <w:sz w:val="28"/>
          <w:szCs w:val="28"/>
          <w:lang w:val="vi-VN"/>
        </w:rPr>
        <w:t>;</w:t>
      </w:r>
      <w:r>
        <w:rPr>
          <w:sz w:val="28"/>
          <w:szCs w:val="28"/>
        </w:rPr>
        <w:t xml:space="preserve"> năng suất bình quân đạt 66,2 tạ/ha; </w:t>
      </w:r>
      <w:r>
        <w:rPr>
          <w:bCs/>
          <w:sz w:val="28"/>
          <w:szCs w:val="28"/>
          <w:lang w:val="vi-VN"/>
        </w:rPr>
        <w:t xml:space="preserve">sản lượng </w:t>
      </w:r>
      <w:r>
        <w:rPr>
          <w:bCs/>
          <w:sz w:val="28"/>
          <w:szCs w:val="28"/>
          <w:lang w:val="nl-NL"/>
        </w:rPr>
        <w:t xml:space="preserve">thu hoạch đạt khoảng 17,7 </w:t>
      </w:r>
      <w:r>
        <w:rPr>
          <w:bCs/>
          <w:sz w:val="28"/>
          <w:szCs w:val="28"/>
          <w:lang w:val="vi-VN"/>
        </w:rPr>
        <w:t>triệu tấn</w:t>
      </w:r>
      <w:r>
        <w:rPr>
          <w:sz w:val="28"/>
          <w:szCs w:val="28"/>
          <w:lang w:val="vi-VN"/>
        </w:rPr>
        <w:t>.</w:t>
      </w:r>
      <w:r>
        <w:rPr>
          <w:sz w:val="28"/>
          <w:szCs w:val="28"/>
          <w:lang w:val="nb-NO"/>
        </w:rPr>
        <w:t xml:space="preserve">  </w:t>
      </w:r>
      <w:bookmarkEnd w:id="4"/>
    </w:p>
    <w:p>
      <w:pPr>
        <w:pStyle w:val="Normal"/>
        <w:widowControl w:val="false"/>
        <w:spacing w:before="120" w:after="0"/>
        <w:ind w:firstLine="720"/>
        <w:jc w:val="both"/>
        <w:rPr>
          <w:sz w:val="28"/>
          <w:szCs w:val="28"/>
        </w:rPr>
      </w:pPr>
      <w:r>
        <w:rPr>
          <w:sz w:val="28"/>
          <w:szCs w:val="28"/>
          <w:lang w:val="nb-NO"/>
        </w:rPr>
        <w:t xml:space="preserve">- Vụ Đông Xuân: </w:t>
      </w:r>
      <w:r>
        <w:rPr>
          <w:sz w:val="28"/>
          <w:szCs w:val="28"/>
        </w:rPr>
        <w:t>Tính đến trung tuần tháng 5, cả nước đã gieo cấy được 2.991,9 nghìn ha, giảm 0,5% so cùng kỳ năm trước (CKNT); thu hoạch được 2.274 nghìn ha (tăng 2,2% so với CKNT, chiếm 76,0% diện tích gieo trồng)</w:t>
      </w:r>
      <w:r>
        <w:rPr>
          <w:rStyle w:val="FootnoteCharacters"/>
          <w:rStyle w:val="FootnoteAnchor"/>
          <w:sz w:val="28"/>
          <w:szCs w:val="28"/>
        </w:rPr>
        <w:footnoteReference w:id="3"/>
      </w:r>
      <w:r>
        <w:rPr>
          <w:sz w:val="28"/>
          <w:szCs w:val="28"/>
        </w:rPr>
        <w:t xml:space="preserve">; năng suất bình quân trên diện tích thu hoạch đạt 68,5 tạ/ha, giảm 1,1 tạ/ha; sản lượng thu hoạch đạt gần 15,6 triệu tấn lúa. </w:t>
      </w:r>
    </w:p>
    <w:p>
      <w:pPr>
        <w:pStyle w:val="Normal"/>
        <w:widowControl w:val="false"/>
        <w:spacing w:before="120" w:after="0"/>
        <w:ind w:firstLine="720"/>
        <w:jc w:val="both"/>
        <w:rPr>
          <w:iCs/>
          <w:sz w:val="28"/>
          <w:szCs w:val="28"/>
        </w:rPr>
      </w:pPr>
      <w:r>
        <w:rPr>
          <w:sz w:val="28"/>
          <w:szCs w:val="28"/>
        </w:rPr>
        <w:t xml:space="preserve">Các địa phương phía Bắc gieo cấy đạt 1.077,6 </w:t>
      </w:r>
      <w:r>
        <w:rPr>
          <w:iCs/>
          <w:sz w:val="28"/>
          <w:szCs w:val="28"/>
        </w:rPr>
        <w:t xml:space="preserve">nghìn ha, giảm 0,8%; đã thu hoạch được </w:t>
      </w:r>
      <w:r>
        <w:rPr>
          <w:sz w:val="28"/>
          <w:szCs w:val="28"/>
        </w:rPr>
        <w:t xml:space="preserve">372,7 </w:t>
      </w:r>
      <w:r>
        <w:rPr>
          <w:iCs/>
          <w:sz w:val="28"/>
          <w:szCs w:val="28"/>
        </w:rPr>
        <w:t>nghìn ha, giảm 2,9% so với CKNT. C</w:t>
      </w:r>
      <w:r>
        <w:rPr>
          <w:sz w:val="28"/>
          <w:szCs w:val="28"/>
        </w:rPr>
        <w:t xml:space="preserve">ác địa phương phía Nam gieo cấy đạt </w:t>
      </w:r>
      <w:r>
        <w:rPr>
          <w:iCs/>
          <w:sz w:val="28"/>
          <w:szCs w:val="28"/>
        </w:rPr>
        <w:t xml:space="preserve">1.914,3 nghìn ha, giảm 0,3%; đã thu hoạch được </w:t>
      </w:r>
      <w:r>
        <w:rPr>
          <w:sz w:val="28"/>
          <w:szCs w:val="28"/>
        </w:rPr>
        <w:t xml:space="preserve">1.901,4 </w:t>
      </w:r>
      <w:r>
        <w:rPr>
          <w:iCs/>
          <w:sz w:val="28"/>
          <w:szCs w:val="28"/>
        </w:rPr>
        <w:t>nghìn ha, tăng 3,3% so với CKNT. Riêng</w:t>
      </w:r>
      <w:r>
        <w:rPr>
          <w:sz w:val="28"/>
          <w:szCs w:val="28"/>
        </w:rPr>
        <w:t xml:space="preserve"> vùng ĐBSCL gieo cấy đạt </w:t>
      </w:r>
      <w:r>
        <w:rPr>
          <w:iCs/>
          <w:sz w:val="28"/>
          <w:szCs w:val="28"/>
        </w:rPr>
        <w:t xml:space="preserve">1.514,5 nghìn ha, giảm 5,1 nghìn ha; đã cơ bản thu hoạch xong với </w:t>
      </w:r>
      <w:r>
        <w:rPr>
          <w:sz w:val="28"/>
          <w:szCs w:val="28"/>
        </w:rPr>
        <w:t>năng suất thu hoạch đạt 70,9 tạ/ha (-1,4 tạ/ha); sản lượng thu hoạch đạt 10,7 triệu tấn, giảm 133,7 nghìn tấn</w:t>
      </w:r>
      <w:r>
        <w:rPr>
          <w:iCs/>
          <w:sz w:val="28"/>
          <w:szCs w:val="28"/>
        </w:rPr>
        <w:t>.</w:t>
      </w:r>
    </w:p>
    <w:p>
      <w:pPr>
        <w:pStyle w:val="Normal"/>
        <w:widowControl w:val="false"/>
        <w:spacing w:before="120" w:after="0"/>
        <w:ind w:firstLine="720"/>
        <w:jc w:val="both"/>
        <w:rPr>
          <w:bCs/>
          <w:spacing w:val="-2"/>
          <w:sz w:val="28"/>
          <w:szCs w:val="28"/>
          <w:lang w:val="nl-NL"/>
        </w:rPr>
      </w:pPr>
      <w:r>
        <w:rPr>
          <w:spacing w:val="-2"/>
          <w:sz w:val="28"/>
          <w:szCs w:val="28"/>
          <w:lang w:val="da-DK"/>
        </w:rPr>
        <w:t xml:space="preserve">- Vụ Hè Thu: </w:t>
      </w:r>
      <w:r>
        <w:rPr>
          <w:bCs/>
          <w:spacing w:val="-2"/>
          <w:sz w:val="28"/>
          <w:szCs w:val="28"/>
          <w:lang w:val="nl-NL"/>
        </w:rPr>
        <w:t xml:space="preserve">Các địa phương phía Nam đã xuống giống </w:t>
      </w:r>
      <w:r>
        <w:rPr>
          <w:spacing w:val="-2"/>
          <w:sz w:val="28"/>
          <w:szCs w:val="28"/>
        </w:rPr>
        <w:t xml:space="preserve">1.290 </w:t>
      </w:r>
      <w:r>
        <w:rPr>
          <w:bCs/>
          <w:spacing w:val="-2"/>
          <w:sz w:val="28"/>
          <w:szCs w:val="28"/>
          <w:lang w:val="nl-NL"/>
        </w:rPr>
        <w:t xml:space="preserve">nghìn ha, tăng 5,5% so với CKNT (vùng ĐBSCL đã gieo cấy được 1.150,2 nghìn ha, tăng 5,9%); đã thu hoạch 73,7 nghìn ha tại ĐBSCL với sản lượng khoảng 441,5 nghìn tấn. </w:t>
      </w:r>
      <w:r>
        <w:rPr>
          <w:color w:val="000000"/>
          <w:spacing w:val="-2"/>
          <w:sz w:val="28"/>
          <w:szCs w:val="28"/>
        </w:rPr>
        <w:t xml:space="preserve">Một số tỉnh ở ĐBSCL đã bắt đầu thu hoạch </w:t>
      </w:r>
      <w:r>
        <w:rPr>
          <w:color w:val="000000"/>
          <w:spacing w:val="-2"/>
          <w:sz w:val="28"/>
          <w:szCs w:val="28"/>
          <w:lang w:val="vi-VN"/>
        </w:rPr>
        <w:t xml:space="preserve">trà sớm </w:t>
      </w:r>
      <w:r>
        <w:rPr>
          <w:color w:val="000000"/>
          <w:spacing w:val="-2"/>
          <w:sz w:val="28"/>
          <w:szCs w:val="28"/>
        </w:rPr>
        <w:t>như: Long An đã thu hoạch được 38 nghìn ha; Đồng Tháp thu hoạch được 30 nghìn ha.</w:t>
      </w:r>
    </w:p>
    <w:p>
      <w:pPr>
        <w:pStyle w:val="Normal"/>
        <w:widowControl w:val="false"/>
        <w:shd w:fill="FFFFFF" w:val="clear"/>
        <w:spacing w:before="120" w:after="0"/>
        <w:ind w:firstLine="720"/>
        <w:jc w:val="both"/>
        <w:rPr/>
      </w:pPr>
      <w:r>
        <w:rPr>
          <w:i/>
          <w:iCs/>
          <w:sz w:val="28"/>
          <w:szCs w:val="28"/>
        </w:rPr>
        <w:t xml:space="preserve">* Rau, màu: </w:t>
      </w:r>
      <w:r>
        <w:rPr>
          <w:sz w:val="28"/>
          <w:szCs w:val="28"/>
        </w:rPr>
        <w:t>Diện tích gieo trồng nhiều loại rau mầu</w:t>
      </w:r>
      <w:bookmarkStart w:id="5" w:name="_Hlk36195153"/>
      <w:r>
        <w:rPr>
          <w:rFonts w:eastAsia="Calibri"/>
          <w:sz w:val="28"/>
          <w:szCs w:val="28"/>
        </w:rPr>
        <w:t xml:space="preserve"> giảm.</w:t>
      </w:r>
      <w:r>
        <w:rPr>
          <w:rFonts w:eastAsia="Calibri"/>
          <w:iCs/>
          <w:sz w:val="28"/>
          <w:szCs w:val="28"/>
        </w:rPr>
        <w:t xml:space="preserve"> </w:t>
      </w:r>
      <w:r>
        <w:rPr>
          <w:sz w:val="28"/>
          <w:szCs w:val="28"/>
        </w:rPr>
        <w:t xml:space="preserve">Cả nước đã gieo trồng được 433,4 nghìn ha ngô, giảm 0,3%; 55,3 nghìn ha khoai lang, giảm 10,4%; 15,8 nghìn ha đỗ tương, giảm 10,3%; 124,1 nghìn ha lạc, giảm 0,3%. Riêng rau đậu đạt 673,9 nghìn ha rau đậu, tăng 2,2%. </w:t>
      </w:r>
    </w:p>
    <w:p>
      <w:pPr>
        <w:pStyle w:val="Normal"/>
        <w:widowControl w:val="false"/>
        <w:shd w:fill="FFFFFF" w:val="clear"/>
        <w:spacing w:before="120" w:after="0"/>
        <w:ind w:firstLine="720"/>
        <w:jc w:val="both"/>
        <w:rPr>
          <w:sz w:val="28"/>
          <w:szCs w:val="28"/>
          <w:lang w:val="pt-BR"/>
        </w:rPr>
      </w:pPr>
      <w:bookmarkEnd w:id="5"/>
      <w:r>
        <w:rPr>
          <w:sz w:val="28"/>
          <w:szCs w:val="28"/>
          <w:lang w:val="nb-NO"/>
        </w:rPr>
        <w:t>b) Chăn nuôi</w:t>
      </w:r>
    </w:p>
    <w:p>
      <w:pPr>
        <w:pStyle w:val="Normal"/>
        <w:widowControl w:val="false"/>
        <w:spacing w:before="120" w:after="0"/>
        <w:ind w:firstLine="720"/>
        <w:jc w:val="both"/>
        <w:rPr/>
      </w:pPr>
      <w:r>
        <w:rPr>
          <w:iCs/>
          <w:sz w:val="28"/>
          <w:szCs w:val="28"/>
          <w:lang w:val="pt-BR"/>
        </w:rPr>
        <w:t xml:space="preserve">Trong tháng 5, </w:t>
      </w:r>
      <w:r>
        <w:rPr>
          <w:color w:val="000000"/>
          <w:sz w:val="28"/>
          <w:szCs w:val="28"/>
          <w:lang w:val="pt-BR"/>
        </w:rPr>
        <w:t>ngành chăn nuôi vẫn gặp khó khăn do giá thức ăn ở mức cao</w:t>
      </w:r>
      <w:r>
        <w:rPr>
          <w:rStyle w:val="FootnoteCharacters"/>
          <w:rStyle w:val="FootnoteAnchor"/>
          <w:color w:val="000000"/>
          <w:sz w:val="28"/>
          <w:szCs w:val="28"/>
          <w:lang w:val="pt-BR"/>
        </w:rPr>
        <w:footnoteReference w:id="4"/>
      </w:r>
      <w:r>
        <w:rPr>
          <w:color w:val="000000"/>
          <w:sz w:val="28"/>
          <w:szCs w:val="28"/>
          <w:lang w:val="pt-BR"/>
        </w:rPr>
        <w:t xml:space="preserve">; dù dịch LMLM và Tai xanh đã được kiểm soát nhưng nguy cơ tái phát dịch Tả lợn Châu Phi lớn; các địa phương đã tích cực chỉ đạo người chăn nuôi thực hiện nghiêm các biện pháp phòng chống thiên tai, dịch bệnh cho đàn vật nuôi thông qua biện pháp tăng cường chăn nuôi an toàn dịch bệnh, an toàn sinh học. </w:t>
      </w:r>
    </w:p>
    <w:p>
      <w:pPr>
        <w:pStyle w:val="Normal"/>
        <w:widowControl w:val="false"/>
        <w:spacing w:before="120" w:after="0"/>
        <w:ind w:firstLine="720"/>
        <w:jc w:val="both"/>
        <w:rPr>
          <w:sz w:val="28"/>
          <w:szCs w:val="28"/>
        </w:rPr>
      </w:pPr>
      <w:r>
        <w:rPr>
          <w:color w:val="000000"/>
          <w:sz w:val="28"/>
          <w:szCs w:val="28"/>
          <w:lang w:val="pt-BR"/>
        </w:rPr>
        <w:t xml:space="preserve">Nhìn chung, đàn lợn, đàn bò và gia cầm tiếp tục phát triển </w:t>
      </w:r>
      <w:bookmarkStart w:id="6" w:name="_Hlk54601063"/>
      <w:r>
        <w:rPr>
          <w:sz w:val="28"/>
          <w:szCs w:val="28"/>
          <w:lang w:val="pt-BR"/>
        </w:rPr>
        <w:t xml:space="preserve">ổn định. Cụ thể: Đàn trâu ước giảm khoảng 1,5%; đàn bò ước tăng khoảng 1,6%; </w:t>
      </w:r>
      <w:r>
        <w:rPr>
          <w:sz w:val="28"/>
          <w:szCs w:val="28"/>
        </w:rPr>
        <w:t>đ</w:t>
      </w:r>
      <w:r>
        <w:rPr>
          <w:sz w:val="28"/>
          <w:szCs w:val="28"/>
          <w:lang w:val="pt-BR"/>
        </w:rPr>
        <w:t>àn lợn tăng 5,7% và đàn gia cầm tăng 1,9 %</w:t>
      </w:r>
      <w:r>
        <w:rPr>
          <w:sz w:val="28"/>
          <w:szCs w:val="28"/>
        </w:rPr>
        <w:t>.</w:t>
      </w:r>
    </w:p>
    <w:p>
      <w:pPr>
        <w:pStyle w:val="Normal"/>
        <w:widowControl w:val="false"/>
        <w:spacing w:before="120" w:after="0"/>
        <w:ind w:firstLine="720"/>
        <w:jc w:val="both"/>
        <w:rPr>
          <w:bCs/>
          <w:sz w:val="28"/>
          <w:szCs w:val="28"/>
          <w:lang w:val="sv-SE"/>
        </w:rPr>
      </w:pPr>
      <w:bookmarkStart w:id="7" w:name="_Hlk46479941"/>
      <w:bookmarkEnd w:id="7"/>
      <w:r>
        <w:rPr>
          <w:sz w:val="28"/>
          <w:szCs w:val="28"/>
        </w:rPr>
        <w:t>Tính đến ngày 23/5, c</w:t>
      </w:r>
      <w:r>
        <w:rPr>
          <w:color w:val="222222"/>
          <w:sz w:val="28"/>
          <w:szCs w:val="28"/>
          <w:lang w:val="pt-BR"/>
        </w:rPr>
        <w:t xml:space="preserve">ác bệnh LMLM, Tai xanh đã được kiểm soát tốt, hiện nay trên địa bàn cả nước không có dịch; </w:t>
      </w:r>
      <w:r>
        <w:rPr>
          <w:sz w:val="28"/>
          <w:szCs w:val="28"/>
          <w:lang w:val="sv-SE"/>
        </w:rPr>
        <w:t>có 01 ổ dịch cúm gia cầm</w:t>
      </w:r>
      <w:r>
        <w:rPr>
          <w:i/>
          <w:sz w:val="28"/>
          <w:szCs w:val="28"/>
          <w:lang w:val="sv-SE"/>
        </w:rPr>
        <w:t xml:space="preserve"> </w:t>
      </w:r>
      <w:r>
        <w:rPr>
          <w:sz w:val="28"/>
          <w:szCs w:val="28"/>
          <w:lang w:val="sv-SE"/>
        </w:rPr>
        <w:t xml:space="preserve">tại tỉnh Tiền Giang; có </w:t>
      </w:r>
      <w:r>
        <w:rPr>
          <w:sz w:val="28"/>
          <w:szCs w:val="28"/>
        </w:rPr>
        <w:t xml:space="preserve">69 ổ </w:t>
      </w:r>
      <w:r>
        <w:rPr>
          <w:bCs/>
          <w:sz w:val="28"/>
          <w:szCs w:val="28"/>
          <w:lang w:val="sv-SE"/>
        </w:rPr>
        <w:t>bệnh dịch tả lợn Châu Phi</w:t>
      </w:r>
      <w:r>
        <w:rPr>
          <w:sz w:val="28"/>
          <w:szCs w:val="28"/>
        </w:rPr>
        <w:t xml:space="preserve"> tại 27 tỉnh, thành phố và có </w:t>
      </w:r>
      <w:r>
        <w:rPr>
          <w:sz w:val="28"/>
          <w:szCs w:val="28"/>
          <w:lang w:val="sv-SE"/>
        </w:rPr>
        <w:t>25 ổ dịch viêm da nổi cục tại 07 tỉnh, thành phố chưa qua 21 ngày</w:t>
      </w:r>
      <w:r>
        <w:rPr>
          <w:bCs/>
          <w:sz w:val="28"/>
          <w:szCs w:val="28"/>
          <w:lang w:val="sv-SE"/>
        </w:rPr>
        <w:t>. Lũy kế 5 tháng, số gia súc, gia cầm phải tiêu hủy khoảng 70,3 nghìn con (53,6 nghìn con gia cầm, trên 26,3 nghìn con lợn, 370 trâu/bò).</w:t>
      </w:r>
    </w:p>
    <w:p>
      <w:pPr>
        <w:pStyle w:val="Normal"/>
        <w:tabs>
          <w:tab w:val="clear" w:pos="720"/>
          <w:tab w:val="left" w:pos="90" w:leader="none"/>
        </w:tabs>
        <w:spacing w:before="120" w:after="0"/>
        <w:ind w:firstLine="720"/>
        <w:jc w:val="both"/>
        <w:rPr>
          <w:bCs/>
          <w:sz w:val="28"/>
          <w:szCs w:val="28"/>
        </w:rPr>
      </w:pPr>
      <w:r>
        <w:rPr>
          <w:bCs/>
          <w:color w:val="000000"/>
          <w:sz w:val="28"/>
          <w:szCs w:val="28"/>
        </w:rPr>
        <w:t xml:space="preserve">Trong tháng, tập trung hoàn thiện hồ sơ, thủ tục cấp Giấy chứng nhận lưu hành vắc xin Dịch tả lợn Châu Phi NAVET-ASFVAC </w:t>
      </w:r>
      <w:r>
        <w:rPr>
          <w:sz w:val="28"/>
          <w:szCs w:val="28"/>
        </w:rPr>
        <w:t xml:space="preserve">cho Công ty Navetco và chuẩn bị Lễ công bố vắc xin DTLCP; </w:t>
      </w:r>
      <w:r>
        <w:rPr>
          <w:bCs/>
          <w:sz w:val="28"/>
          <w:szCs w:val="28"/>
        </w:rPr>
        <w:t>b</w:t>
      </w:r>
      <w:r>
        <w:rPr>
          <w:bCs/>
          <w:sz w:val="28"/>
          <w:szCs w:val="28"/>
          <w:lang w:val="en-US"/>
        </w:rPr>
        <w:t>an hành K</w:t>
      </w:r>
      <w:r>
        <w:rPr>
          <w:bCs/>
          <w:sz w:val="28"/>
          <w:szCs w:val="28"/>
        </w:rPr>
        <w:t>ế</w:t>
      </w:r>
      <w:r>
        <w:rPr>
          <w:bCs/>
          <w:sz w:val="28"/>
          <w:szCs w:val="28"/>
          <w:lang w:val="en-US"/>
        </w:rPr>
        <w:t xml:space="preserve"> hoạch Giám sát chất lượng và sử dụng vắc xin</w:t>
      </w:r>
      <w:r>
        <w:rPr>
          <w:bCs/>
          <w:sz w:val="28"/>
          <w:szCs w:val="28"/>
        </w:rPr>
        <w:t xml:space="preserve"> và </w:t>
      </w:r>
      <w:r>
        <w:rPr>
          <w:bCs/>
          <w:color w:val="000000"/>
          <w:sz w:val="28"/>
          <w:szCs w:val="28"/>
        </w:rPr>
        <w:t>báo cáo TTCP về kết quả nghiên cứu vắc xin.</w:t>
      </w:r>
    </w:p>
    <w:p>
      <w:pPr>
        <w:pStyle w:val="Normal"/>
        <w:widowControl w:val="false"/>
        <w:spacing w:before="120" w:after="0"/>
        <w:ind w:firstLine="720"/>
        <w:jc w:val="both"/>
        <w:rPr/>
      </w:pPr>
      <w:bookmarkStart w:id="8" w:name="_Hlk46479941"/>
      <w:bookmarkEnd w:id="6"/>
      <w:bookmarkEnd w:id="8"/>
      <w:r>
        <w:rPr>
          <w:sz w:val="28"/>
          <w:szCs w:val="28"/>
          <w:lang w:val="es-AR"/>
        </w:rPr>
        <w:t>c)</w:t>
      </w:r>
      <w:r>
        <w:rPr>
          <w:sz w:val="28"/>
          <w:szCs w:val="28"/>
          <w:lang w:val="vi-VN"/>
        </w:rPr>
        <w:t xml:space="preserve"> Lâm nghiệp</w:t>
      </w:r>
    </w:p>
    <w:p>
      <w:pPr>
        <w:pStyle w:val="Normal"/>
        <w:ind w:firstLine="720"/>
        <w:jc w:val="both"/>
        <w:rPr/>
      </w:pPr>
      <w:r>
        <w:rPr>
          <w:sz w:val="28"/>
          <w:szCs w:val="28"/>
          <w:lang w:val="de-DE"/>
        </w:rPr>
        <w:t xml:space="preserve">Trong tháng, Bộ tập trung </w:t>
      </w:r>
      <w:r>
        <w:rPr>
          <w:iCs/>
          <w:sz w:val="28"/>
          <w:szCs w:val="28"/>
        </w:rPr>
        <w:t xml:space="preserve">chỉ đạo </w:t>
      </w:r>
      <w:r>
        <w:rPr>
          <w:iCs/>
          <w:sz w:val="28"/>
          <w:szCs w:val="28"/>
          <w:lang w:val="vi-VN"/>
        </w:rPr>
        <w:t xml:space="preserve">các địa phương </w:t>
      </w:r>
      <w:r>
        <w:rPr>
          <w:iCs/>
          <w:sz w:val="28"/>
          <w:szCs w:val="28"/>
        </w:rPr>
        <w:t xml:space="preserve">đẩy nhanh tiến độ </w:t>
      </w:r>
      <w:r>
        <w:rPr>
          <w:bCs/>
          <w:sz w:val="28"/>
          <w:szCs w:val="28"/>
        </w:rPr>
        <w:t>trồng và chăm sóc rừng,</w:t>
      </w:r>
      <w:r>
        <w:rPr>
          <w:sz w:val="28"/>
          <w:szCs w:val="28"/>
          <w:shd w:fill="FFFFFF" w:val="clear"/>
        </w:rPr>
        <w:t xml:space="preserve"> tăng cường công tác bảo vệ, phòng chống cháy rừng trong mùa khô tại khu vực phía Nam</w:t>
      </w:r>
      <w:r>
        <w:rPr>
          <w:sz w:val="28"/>
          <w:szCs w:val="28"/>
          <w:lang w:val="es-ES"/>
        </w:rPr>
        <w:t xml:space="preserve">. </w:t>
      </w:r>
      <w:r>
        <w:rPr>
          <w:sz w:val="28"/>
          <w:szCs w:val="28"/>
        </w:rPr>
        <w:t>Tháng 5,</w:t>
      </w:r>
      <w:r>
        <w:rPr>
          <w:sz w:val="28"/>
          <w:szCs w:val="28"/>
          <w:lang w:val="vi-VN"/>
        </w:rPr>
        <w:t xml:space="preserve"> </w:t>
      </w:r>
      <w:r>
        <w:rPr>
          <w:sz w:val="28"/>
          <w:szCs w:val="28"/>
        </w:rPr>
        <w:t xml:space="preserve">cả nước chuẩn bị được 83,7 triệu cây giống, trồng rừng </w:t>
      </w:r>
      <w:r>
        <w:rPr>
          <w:sz w:val="28"/>
          <w:szCs w:val="28"/>
          <w:shd w:fill="FFFFFF" w:val="clear"/>
        </w:rPr>
        <w:t>đạt 26,2 nghìn ha, tăng 5,0% so với CKNT; sản lượng gỗ khai thác ước đạt 1.885,8 nghìn m</w:t>
      </w:r>
      <w:r>
        <w:rPr>
          <w:sz w:val="28"/>
          <w:szCs w:val="28"/>
          <w:shd w:fill="FFFFFF" w:val="clear"/>
          <w:vertAlign w:val="superscript"/>
        </w:rPr>
        <w:t>3</w:t>
      </w:r>
      <w:r>
        <w:rPr>
          <w:sz w:val="28"/>
          <w:szCs w:val="28"/>
          <w:shd w:fill="FFFFFF" w:val="clear"/>
        </w:rPr>
        <w:t xml:space="preserve">, tăng 7,0%; </w:t>
      </w:r>
      <w:r>
        <w:rPr>
          <w:sz w:val="28"/>
          <w:szCs w:val="28"/>
        </w:rPr>
        <w:t>sản lượng củi ước đạt 1,6 triệu ste, giảm 2,4%. Lũy kế 5 tháng,</w:t>
      </w:r>
      <w:r>
        <w:rPr>
          <w:sz w:val="28"/>
          <w:szCs w:val="28"/>
          <w:lang w:val="vi-VN"/>
        </w:rPr>
        <w:t xml:space="preserve"> </w:t>
      </w:r>
      <w:r>
        <w:rPr>
          <w:sz w:val="28"/>
          <w:szCs w:val="28"/>
        </w:rPr>
        <w:t xml:space="preserve">cả nước chuẩn bị được </w:t>
      </w:r>
      <w:r>
        <w:rPr>
          <w:sz w:val="28"/>
          <w:szCs w:val="28"/>
          <w:lang w:val="nb-NO"/>
        </w:rPr>
        <w:t>744,7 triệu cây giống, tăng 52,8%;</w:t>
      </w:r>
      <w:r>
        <w:rPr>
          <w:sz w:val="28"/>
          <w:szCs w:val="28"/>
        </w:rPr>
        <w:t xml:space="preserve"> trồng rừng </w:t>
      </w:r>
      <w:r>
        <w:rPr>
          <w:sz w:val="28"/>
          <w:szCs w:val="28"/>
          <w:shd w:fill="FFFFFF" w:val="clear"/>
        </w:rPr>
        <w:t xml:space="preserve">đạt </w:t>
      </w:r>
      <w:r>
        <w:rPr>
          <w:sz w:val="28"/>
          <w:szCs w:val="28"/>
        </w:rPr>
        <w:t xml:space="preserve">86,6 </w:t>
      </w:r>
      <w:r>
        <w:rPr>
          <w:sz w:val="28"/>
          <w:szCs w:val="28"/>
          <w:shd w:fill="FFFFFF" w:val="clear"/>
        </w:rPr>
        <w:t xml:space="preserve">nghìn ha, tăng 1,6% so với CKNT; sản lượng gỗ khai thác ước đạt </w:t>
      </w:r>
      <w:r>
        <w:rPr>
          <w:sz w:val="28"/>
          <w:szCs w:val="28"/>
        </w:rPr>
        <w:t xml:space="preserve">6.318,8 </w:t>
      </w:r>
      <w:r>
        <w:rPr>
          <w:sz w:val="28"/>
          <w:szCs w:val="28"/>
          <w:shd w:fill="FFFFFF" w:val="clear"/>
        </w:rPr>
        <w:t>nghìn m</w:t>
      </w:r>
      <w:r>
        <w:rPr>
          <w:sz w:val="28"/>
          <w:szCs w:val="28"/>
          <w:shd w:fill="FFFFFF" w:val="clear"/>
          <w:vertAlign w:val="superscript"/>
        </w:rPr>
        <w:t>3</w:t>
      </w:r>
      <w:r>
        <w:rPr>
          <w:sz w:val="28"/>
          <w:szCs w:val="28"/>
          <w:shd w:fill="FFFFFF" w:val="clear"/>
        </w:rPr>
        <w:t xml:space="preserve">, tăng 5,3%; </w:t>
      </w:r>
      <w:r>
        <w:rPr>
          <w:sz w:val="28"/>
          <w:szCs w:val="28"/>
        </w:rPr>
        <w:t>sản lượng củi khai thác ước đạt 7,9 triệu ste, tăng 1,3%.</w:t>
      </w:r>
      <w:r>
        <w:rPr>
          <w:rStyle w:val="FootnoteCharacters"/>
          <w:rStyle w:val="FootnoteAnchor"/>
          <w:sz w:val="28"/>
          <w:szCs w:val="28"/>
        </w:rPr>
        <w:footnoteReference w:id="5"/>
      </w:r>
      <w:r>
        <w:rPr>
          <w:sz w:val="28"/>
          <w:szCs w:val="28"/>
        </w:rPr>
        <w:t xml:space="preserve"> </w:t>
      </w:r>
    </w:p>
    <w:p>
      <w:pPr>
        <w:pStyle w:val="Normal"/>
        <w:tabs>
          <w:tab w:val="clear" w:pos="720"/>
          <w:tab w:val="left" w:pos="360" w:leader="none"/>
          <w:tab w:val="left" w:pos="1134" w:leader="none"/>
        </w:tabs>
        <w:spacing w:before="120" w:after="0"/>
        <w:ind w:firstLine="720"/>
        <w:jc w:val="both"/>
        <w:rPr>
          <w:sz w:val="28"/>
          <w:szCs w:val="28"/>
        </w:rPr>
      </w:pPr>
      <w:r>
        <w:rPr>
          <w:sz w:val="28"/>
          <w:szCs w:val="28"/>
          <w:shd w:fill="FFFFFF" w:val="clear"/>
        </w:rPr>
        <w:t>Thời gian gần đây</w:t>
      </w:r>
      <w:r>
        <w:rPr>
          <w:bCs/>
          <w:sz w:val="28"/>
          <w:szCs w:val="28"/>
          <w:lang w:val="nl-NL"/>
        </w:rPr>
        <w:t>, liên tiếp xảy ra các vụ phá rừng, lấn chiếm đất rừng trái pháp luật tại các tỉnh khu vực Tây Bắc, Miền Trung, Tây Nguyên,...</w:t>
      </w:r>
      <w:r>
        <w:rPr>
          <w:sz w:val="28"/>
          <w:szCs w:val="28"/>
          <w:shd w:fill="FFFFFF" w:val="clear"/>
        </w:rPr>
        <w:t xml:space="preserve"> Tháng 5, diện tích rừng bị thiệt hại khoảng 157,0 ha, tăng 28,8%. Nhưng nhìn chung</w:t>
      </w:r>
      <w:r>
        <w:rPr>
          <w:sz w:val="28"/>
          <w:szCs w:val="28"/>
        </w:rPr>
        <w:t xml:space="preserve"> 5 tháng đầu năm, thiệt hại rừng</w:t>
      </w:r>
      <w:r>
        <w:rPr>
          <w:sz w:val="28"/>
          <w:szCs w:val="28"/>
          <w:shd w:fill="FFFFFF" w:val="clear"/>
        </w:rPr>
        <w:t xml:space="preserve"> giảm so với cùng kỳ năm trước nhờ nhiều địa phương đã hướng dẫn người dân và tổ chức thực hiện tốt các biện pháp phòng chống cháy rừng ngay từ đầu năm. Lũy kế 5 tháng, diện tích rừng bị thiệt hại khoảng 518,9 ha, giảm 25,2% so với cùng kỳ, trong đó diện tích rừng bị phá là 488,9 ha, tăng 13,9%; bị cháy trên 29,9 ha, giảm tới 83,0%.</w:t>
      </w:r>
    </w:p>
    <w:p>
      <w:pPr>
        <w:pStyle w:val="Normal"/>
        <w:widowControl w:val="false"/>
        <w:tabs>
          <w:tab w:val="clear" w:pos="720"/>
          <w:tab w:val="left" w:pos="360" w:leader="none"/>
          <w:tab w:val="left" w:pos="1134" w:leader="none"/>
        </w:tabs>
        <w:spacing w:before="120" w:after="0"/>
        <w:ind w:firstLine="720"/>
        <w:jc w:val="both"/>
        <w:rPr/>
      </w:pPr>
      <w:r>
        <w:rPr>
          <w:sz w:val="28"/>
          <w:szCs w:val="28"/>
        </w:rPr>
        <w:t>Cả nước đã thu được 1.447,5 tỷ đồng đạt 48,4% kế hoạch thu năm 2022, tăng 5,6% so với cùng kỳ năm 2021.</w:t>
      </w:r>
    </w:p>
    <w:p>
      <w:pPr>
        <w:pStyle w:val="Normal"/>
        <w:widowControl w:val="false"/>
        <w:spacing w:before="120" w:after="0"/>
        <w:ind w:firstLine="720"/>
        <w:jc w:val="both"/>
        <w:rPr>
          <w:bCs/>
          <w:sz w:val="28"/>
          <w:szCs w:val="28"/>
        </w:rPr>
      </w:pPr>
      <w:r>
        <w:rPr>
          <w:sz w:val="28"/>
          <w:szCs w:val="28"/>
        </w:rPr>
        <w:t>d)</w:t>
      </w:r>
      <w:r>
        <w:rPr>
          <w:sz w:val="28"/>
          <w:szCs w:val="28"/>
          <w:lang w:val="es-AR"/>
        </w:rPr>
        <w:t xml:space="preserve"> Thủy sản</w:t>
      </w:r>
    </w:p>
    <w:p>
      <w:pPr>
        <w:pStyle w:val="Normal"/>
        <w:widowControl w:val="false"/>
        <w:spacing w:before="120" w:after="0"/>
        <w:ind w:firstLine="720"/>
        <w:jc w:val="both"/>
        <w:rPr/>
      </w:pPr>
      <w:r>
        <w:rPr>
          <w:bCs/>
          <w:sz w:val="28"/>
          <w:szCs w:val="28"/>
        </w:rPr>
        <w:t xml:space="preserve">Sản lượng thuỷ sản tháng 5 ước đạt </w:t>
      </w:r>
      <w:r>
        <w:rPr>
          <w:sz w:val="28"/>
          <w:szCs w:val="28"/>
          <w:lang w:val="pl-PL"/>
        </w:rPr>
        <w:t>756,9</w:t>
      </w:r>
      <w:r>
        <w:rPr>
          <w:sz w:val="28"/>
          <w:szCs w:val="28"/>
          <w:lang w:val="pt-BR"/>
        </w:rPr>
        <w:t xml:space="preserve"> nghìn tấn, tăng 2,9% so tháng 5/2021</w:t>
      </w:r>
      <w:r>
        <w:rPr>
          <w:bCs/>
          <w:sz w:val="28"/>
          <w:szCs w:val="28"/>
        </w:rPr>
        <w:t xml:space="preserve">. Lũy kế 5 tháng, tổng sản lượng ước đạt </w:t>
      </w:r>
      <w:r>
        <w:rPr>
          <w:sz w:val="28"/>
          <w:szCs w:val="28"/>
          <w:lang w:val="pl-PL"/>
        </w:rPr>
        <w:t>3.356,9</w:t>
      </w:r>
      <w:r>
        <w:rPr>
          <w:sz w:val="28"/>
          <w:szCs w:val="28"/>
          <w:lang w:val="pt-BR"/>
        </w:rPr>
        <w:t xml:space="preserve"> nghìn tấn, tăng 2,3% </w:t>
      </w:r>
      <w:r>
        <w:rPr>
          <w:bCs/>
          <w:sz w:val="28"/>
          <w:szCs w:val="28"/>
        </w:rPr>
        <w:t xml:space="preserve">so với cùng kỳ năm ngoái. Cụ thể: </w:t>
      </w:r>
    </w:p>
    <w:p>
      <w:pPr>
        <w:pStyle w:val="Normal"/>
        <w:widowControl w:val="false"/>
        <w:spacing w:before="120" w:after="0"/>
        <w:ind w:firstLine="720"/>
        <w:jc w:val="both"/>
        <w:rPr>
          <w:sz w:val="28"/>
          <w:szCs w:val="28"/>
          <w:lang w:val="pt-BR"/>
        </w:rPr>
      </w:pPr>
      <w:r>
        <w:rPr>
          <w:sz w:val="28"/>
          <w:szCs w:val="28"/>
        </w:rPr>
        <w:t>- Khai thác: Tháng 5, s</w:t>
      </w:r>
      <w:r>
        <w:rPr>
          <w:sz w:val="28"/>
          <w:szCs w:val="28"/>
          <w:lang w:val="vi-VN"/>
        </w:rPr>
        <w:t xml:space="preserve">ản lượng khai thác đạt </w:t>
      </w:r>
      <w:r>
        <w:rPr>
          <w:sz w:val="28"/>
          <w:szCs w:val="28"/>
          <w:lang w:val="pl-PL"/>
        </w:rPr>
        <w:t xml:space="preserve">356,0 </w:t>
      </w:r>
      <w:r>
        <w:rPr>
          <w:sz w:val="28"/>
          <w:szCs w:val="28"/>
          <w:lang w:val="pt-BR"/>
        </w:rPr>
        <w:t xml:space="preserve">nghìn tấn, giảm 0,7%. </w:t>
      </w:r>
      <w:r>
        <w:rPr>
          <w:sz w:val="28"/>
          <w:szCs w:val="28"/>
        </w:rPr>
        <w:t xml:space="preserve">Tính chung 5 tháng, sản lượng đạt </w:t>
      </w:r>
      <w:r>
        <w:rPr>
          <w:sz w:val="28"/>
          <w:szCs w:val="28"/>
          <w:lang w:val="pl-PL"/>
        </w:rPr>
        <w:t xml:space="preserve">1.587,6 </w:t>
      </w:r>
      <w:r>
        <w:rPr>
          <w:sz w:val="28"/>
          <w:szCs w:val="28"/>
          <w:lang w:val="pt-BR"/>
        </w:rPr>
        <w:t>nghìn tấn, giảm 1,0%</w:t>
      </w:r>
      <w:r>
        <w:rPr>
          <w:sz w:val="28"/>
          <w:szCs w:val="28"/>
        </w:rPr>
        <w:t xml:space="preserve"> so với CKNT; </w:t>
      </w:r>
      <w:r>
        <w:rPr>
          <w:sz w:val="28"/>
          <w:szCs w:val="28"/>
          <w:lang w:val="vi-VN"/>
        </w:rPr>
        <w:t>trong đó</w:t>
      </w:r>
      <w:r>
        <w:rPr>
          <w:sz w:val="28"/>
          <w:szCs w:val="28"/>
        </w:rPr>
        <w:t>,</w:t>
      </w:r>
      <w:r>
        <w:rPr>
          <w:sz w:val="28"/>
          <w:szCs w:val="28"/>
          <w:lang w:val="vi-VN"/>
        </w:rPr>
        <w:t xml:space="preserve"> khai thác biển đạt </w:t>
      </w:r>
      <w:r>
        <w:rPr>
          <w:sz w:val="28"/>
          <w:szCs w:val="28"/>
        </w:rPr>
        <w:t xml:space="preserve">1.518,6 </w:t>
      </w:r>
      <w:r>
        <w:rPr>
          <w:sz w:val="28"/>
          <w:szCs w:val="28"/>
          <w:lang w:val="vi-VN"/>
        </w:rPr>
        <w:t xml:space="preserve">nghìn tấn, </w:t>
      </w:r>
      <w:r>
        <w:rPr>
          <w:sz w:val="28"/>
          <w:szCs w:val="28"/>
        </w:rPr>
        <w:t>giảm 1,0%</w:t>
      </w:r>
      <w:r>
        <w:rPr>
          <w:sz w:val="28"/>
          <w:szCs w:val="28"/>
          <w:lang w:val="vi-VN"/>
        </w:rPr>
        <w:t>.</w:t>
      </w:r>
    </w:p>
    <w:p>
      <w:pPr>
        <w:pStyle w:val="Normal"/>
        <w:widowControl w:val="false"/>
        <w:spacing w:before="120" w:after="0"/>
        <w:ind w:firstLine="720"/>
        <w:jc w:val="both"/>
        <w:rPr>
          <w:sz w:val="28"/>
          <w:szCs w:val="28"/>
          <w:lang w:val="sv-SE"/>
        </w:rPr>
      </w:pPr>
      <w:r>
        <w:rPr>
          <w:sz w:val="28"/>
          <w:szCs w:val="28"/>
          <w:lang w:val="pt-BR"/>
        </w:rPr>
        <w:t xml:space="preserve">- Nuôi trồng: Tháng 5, sản lượng nuôi trồng ước đạt </w:t>
      </w:r>
      <w:r>
        <w:rPr>
          <w:sz w:val="28"/>
          <w:szCs w:val="28"/>
          <w:lang w:val="pl-PL"/>
        </w:rPr>
        <w:t xml:space="preserve">400,9 </w:t>
      </w:r>
      <w:r>
        <w:rPr>
          <w:sz w:val="28"/>
          <w:szCs w:val="28"/>
          <w:lang w:val="pt-BR"/>
        </w:rPr>
        <w:t xml:space="preserve">nghìn tấn, tăng 6,3% so với tháng 5/2021. 5 tháng, sản lượng ước đạt </w:t>
      </w:r>
      <w:r>
        <w:rPr>
          <w:sz w:val="28"/>
          <w:szCs w:val="28"/>
          <w:lang w:val="de-DE"/>
        </w:rPr>
        <w:t xml:space="preserve">1.769,3 </w:t>
      </w:r>
      <w:r>
        <w:rPr>
          <w:sz w:val="28"/>
          <w:szCs w:val="28"/>
          <w:lang w:val="pt-BR"/>
        </w:rPr>
        <w:t>nghìn tấn, tăng 5,5% so với CKNT. Trong đó</w:t>
      </w:r>
      <w:r>
        <w:rPr>
          <w:sz w:val="28"/>
          <w:szCs w:val="28"/>
          <w:lang w:val="sv-SE"/>
        </w:rPr>
        <w:t xml:space="preserve">, sản lượng cá tra ước đạt 602,1 nghìn tấn, tăng 7,6%; sản lượng tôm đạt 320,3 nghìn tấn, tăng 8,5% (tôm sú ước đạt 91,8 nghìn tấn, giảm 0,8%; tôm thẻ chân trắng ước đạt 206,6 nghìn tấn, tăng 14,1%).  </w:t>
      </w:r>
    </w:p>
    <w:p>
      <w:pPr>
        <w:pStyle w:val="Normal"/>
        <w:widowControl w:val="false"/>
        <w:tabs>
          <w:tab w:val="clear" w:pos="720"/>
          <w:tab w:val="left" w:pos="3690" w:leader="none"/>
        </w:tabs>
        <w:spacing w:before="120" w:after="0"/>
        <w:ind w:firstLine="720"/>
        <w:jc w:val="both"/>
        <w:rPr>
          <w:b/>
          <w:b/>
          <w:sz w:val="28"/>
          <w:szCs w:val="28"/>
          <w:lang w:val="vi-VN"/>
        </w:rPr>
      </w:pPr>
      <w:r>
        <w:rPr>
          <w:b/>
          <w:sz w:val="28"/>
          <w:szCs w:val="28"/>
        </w:rPr>
        <w:t>2.</w:t>
      </w:r>
      <w:r>
        <w:rPr>
          <w:b/>
          <w:sz w:val="28"/>
          <w:szCs w:val="28"/>
          <w:lang w:val="pl-PL"/>
        </w:rPr>
        <w:t xml:space="preserve"> </w:t>
      </w:r>
      <w:r>
        <w:rPr>
          <w:b/>
          <w:sz w:val="28"/>
          <w:szCs w:val="28"/>
          <w:lang w:val="vi-VN"/>
        </w:rPr>
        <w:t>Xuất</w:t>
      </w:r>
      <w:r>
        <w:rPr>
          <w:b/>
          <w:sz w:val="28"/>
          <w:szCs w:val="28"/>
          <w:lang w:val="pl-PL"/>
        </w:rPr>
        <w:t>, nhập</w:t>
      </w:r>
      <w:r>
        <w:rPr>
          <w:b/>
          <w:sz w:val="28"/>
          <w:szCs w:val="28"/>
          <w:lang w:val="vi-VN"/>
        </w:rPr>
        <w:t xml:space="preserve"> khẩu</w:t>
      </w:r>
    </w:p>
    <w:p>
      <w:pPr>
        <w:pStyle w:val="Normal"/>
        <w:widowControl w:val="false"/>
        <w:spacing w:before="120" w:after="0"/>
        <w:ind w:firstLine="720"/>
        <w:jc w:val="both"/>
        <w:rPr/>
      </w:pPr>
      <w:r>
        <w:rPr>
          <w:bCs/>
          <w:sz w:val="28"/>
          <w:szCs w:val="28"/>
          <w:lang w:val="pl-PL"/>
        </w:rPr>
        <w:t xml:space="preserve">5 tháng, </w:t>
      </w:r>
      <w:r>
        <w:rPr>
          <w:rStyle w:val="StrongEmphasis"/>
          <w:b w:val="false"/>
          <w:iCs/>
          <w:sz w:val="28"/>
          <w:szCs w:val="28"/>
          <w:lang w:val="de-DE"/>
        </w:rPr>
        <w:t xml:space="preserve">tổng kim ngạch xuất nhập khẩu hàng NLTS ước đạt khoảng 41,3 tỷ USD, tăng 8,6% so với 5 tháng đầu năm 2021; trong đó xuất khẩu (XK) đạt khoảng 23,2 tỷ USD, tăng 16,8% so với CKNT; nhập khẩu (NK) ước khoảng 18,1 tỷ USD, giảm 0,3%; </w:t>
      </w:r>
      <w:r>
        <w:rPr>
          <w:bCs/>
          <w:sz w:val="28"/>
          <w:szCs w:val="28"/>
        </w:rPr>
        <w:t xml:space="preserve">xuất siêu gần 5,1 tỷ USD, </w:t>
      </w:r>
      <w:bookmarkStart w:id="9" w:name="_Hlk67905851"/>
      <w:r>
        <w:rPr>
          <w:bCs/>
          <w:sz w:val="28"/>
          <w:szCs w:val="28"/>
        </w:rPr>
        <w:t xml:space="preserve">gấp 3 lần so với CKNT. </w:t>
      </w:r>
      <w:bookmarkStart w:id="10" w:name="_Hlk23237033"/>
    </w:p>
    <w:p>
      <w:pPr>
        <w:pStyle w:val="Normal"/>
        <w:widowControl w:val="false"/>
        <w:spacing w:before="120" w:after="0"/>
        <w:ind w:firstLine="720"/>
        <w:jc w:val="both"/>
        <w:rPr>
          <w:iCs/>
          <w:sz w:val="28"/>
          <w:szCs w:val="28"/>
        </w:rPr>
      </w:pPr>
      <w:bookmarkEnd w:id="9"/>
      <w:bookmarkEnd w:id="10"/>
      <w:r>
        <w:rPr>
          <w:iCs/>
          <w:sz w:val="28"/>
          <w:szCs w:val="28"/>
        </w:rPr>
        <w:t xml:space="preserve">a) Về xuất khẩu </w:t>
      </w:r>
    </w:p>
    <w:p>
      <w:pPr>
        <w:pStyle w:val="Normal"/>
        <w:widowControl w:val="false"/>
        <w:spacing w:before="120" w:after="0"/>
        <w:ind w:firstLine="720"/>
        <w:jc w:val="both"/>
        <w:rPr>
          <w:bCs/>
          <w:iCs/>
          <w:sz w:val="28"/>
          <w:szCs w:val="28"/>
        </w:rPr>
      </w:pPr>
      <w:r>
        <w:rPr>
          <w:bCs/>
          <w:iCs/>
          <w:sz w:val="28"/>
          <w:szCs w:val="28"/>
        </w:rPr>
        <w:t xml:space="preserve">- Kim ngạch xuất khẩu </w:t>
      </w:r>
    </w:p>
    <w:p>
      <w:pPr>
        <w:pStyle w:val="Normal"/>
        <w:widowControl w:val="false"/>
        <w:spacing w:before="120" w:after="0"/>
        <w:ind w:firstLine="720"/>
        <w:jc w:val="both"/>
        <w:rPr/>
      </w:pPr>
      <w:bookmarkStart w:id="11" w:name="_Hlk33599548"/>
      <w:bookmarkEnd w:id="11"/>
      <w:r>
        <w:rPr>
          <w:sz w:val="28"/>
          <w:szCs w:val="28"/>
        </w:rPr>
        <w:t xml:space="preserve">Tháng 5, kim ngạch XK ước trên 5,1 tỷ USD, tăng 18,1% so với tháng 5/2021, tăng 3,8% so với tháng 4/2022; trong đó, giá trị XK nhóm nông sản chính trên 2,0 tỷ USD, lâm sản chính ước gần 1,7 tỷ USD, thủy sản đạt trên 1,1 tỷ USD và chăn nuôi đạt 32,4 triệu USD,… </w:t>
      </w:r>
    </w:p>
    <w:p>
      <w:pPr>
        <w:pStyle w:val="Normal"/>
        <w:widowControl w:val="false"/>
        <w:spacing w:before="120" w:after="0"/>
        <w:ind w:firstLine="720"/>
        <w:jc w:val="both"/>
        <w:rPr/>
      </w:pPr>
      <w:bookmarkStart w:id="12" w:name="_Hlk33599548"/>
      <w:bookmarkEnd w:id="12"/>
      <w:r>
        <w:rPr>
          <w:sz w:val="28"/>
          <w:szCs w:val="28"/>
        </w:rPr>
        <w:t>Tính chung 5 tháng đầu năm, kim ngạch XK nông lâm thủy sản ước gần 23,2 tỷ USD</w:t>
      </w:r>
      <w:r>
        <w:rPr>
          <w:bCs/>
          <w:iCs/>
          <w:sz w:val="28"/>
          <w:szCs w:val="28"/>
        </w:rPr>
        <w:t>,</w:t>
      </w:r>
      <w:r>
        <w:rPr>
          <w:sz w:val="28"/>
          <w:szCs w:val="28"/>
        </w:rPr>
        <w:t xml:space="preserve"> tăng 16,8% so với CKNT. Trong đó, XK nhóm nông sản chính đạt trên 9,4 tỷ USD, tăng 10,4%; lâm sản chính đạt gần 7,7 tỷ USD, tăng 7,6%; thủy sản ước đạt gần 4,8 tỷ USD, tăng 46,3%; chăn nuôi ước đạt 138,9 triệu USD, giảm 16,2%</w:t>
      </w:r>
      <w:r>
        <w:rPr>
          <w:sz w:val="28"/>
          <w:szCs w:val="28"/>
          <w:lang w:val="vi-VN"/>
        </w:rPr>
        <w:t xml:space="preserve">; XK đầu vào sản xuất khoảng </w:t>
      </w:r>
      <w:r>
        <w:rPr>
          <w:sz w:val="28"/>
          <w:szCs w:val="28"/>
        </w:rPr>
        <w:t>1,1</w:t>
      </w:r>
      <w:r>
        <w:rPr>
          <w:sz w:val="28"/>
          <w:szCs w:val="28"/>
          <w:lang w:val="vi-VN"/>
        </w:rPr>
        <w:t xml:space="preserve"> </w:t>
      </w:r>
      <w:r>
        <w:rPr>
          <w:sz w:val="28"/>
          <w:szCs w:val="28"/>
        </w:rPr>
        <w:t>tỷ</w:t>
      </w:r>
      <w:r>
        <w:rPr>
          <w:sz w:val="28"/>
          <w:szCs w:val="28"/>
          <w:lang w:val="vi-VN"/>
        </w:rPr>
        <w:t xml:space="preserve"> USD, tăng </w:t>
      </w:r>
      <w:r>
        <w:rPr>
          <w:sz w:val="28"/>
          <w:szCs w:val="28"/>
        </w:rPr>
        <w:t>59,3</w:t>
      </w:r>
      <w:r>
        <w:rPr>
          <w:sz w:val="28"/>
          <w:szCs w:val="28"/>
          <w:lang w:val="vi-VN"/>
        </w:rPr>
        <w:t>%</w:t>
      </w:r>
      <w:r>
        <w:rPr>
          <w:sz w:val="28"/>
          <w:szCs w:val="28"/>
        </w:rPr>
        <w:t>.</w:t>
        <w:tab/>
      </w:r>
    </w:p>
    <w:p>
      <w:pPr>
        <w:pStyle w:val="Normal"/>
        <w:widowControl w:val="false"/>
        <w:spacing w:before="120" w:after="0"/>
        <w:ind w:firstLine="426"/>
        <w:jc w:val="both"/>
        <w:rPr/>
      </w:pPr>
      <w:r>
        <w:rPr>
          <w:b/>
          <w:bCs/>
          <w:sz w:val="28"/>
          <w:szCs w:val="28"/>
        </w:rPr>
        <w:tab/>
      </w:r>
      <w:r>
        <w:rPr>
          <w:bCs/>
          <w:iCs/>
          <w:sz w:val="28"/>
          <w:szCs w:val="28"/>
        </w:rPr>
        <w:t xml:space="preserve">5 tháng đầu năm, đã có 09 sản phẩm/nhóm sản phẩm có giá trị XK đạt trên 01 tỷ USD (cà phê, cao su, gạo, điều, nhóm rau quả, cá tra, tôm, sản phẩm gỗ và nhóm đầu vào phục vụ SX). Một số mặt hàng đạt giá trị xuất khẩu cao hơn so với cùng kỳ, như: Giá trị xuất khẩu cà phê đạt gần 2,0 tỷ USD (tăng 54,0%); cao su đạt trên 1,0 tỷ USD (tăng 12,0%); hồ tiêu khoảng 476 triệu USD (tăng 25,7%); sắn và sản phẩm sắn đạt 636 triệu USD (tăng 20,3%), </w:t>
      </w:r>
      <w:r>
        <w:rPr>
          <w:bCs/>
          <w:iCs/>
          <w:sz w:val="28"/>
          <w:szCs w:val="28"/>
          <w:lang w:val="vi-VN"/>
        </w:rPr>
        <w:t>cá tra</w:t>
      </w:r>
      <w:r>
        <w:rPr>
          <w:bCs/>
          <w:iCs/>
          <w:sz w:val="28"/>
          <w:szCs w:val="28"/>
        </w:rPr>
        <w:t xml:space="preserve"> đạt khoảng 1,2 triệu USD (tăng 91,2%)</w:t>
      </w:r>
      <w:r>
        <w:rPr>
          <w:bCs/>
          <w:iCs/>
          <w:sz w:val="28"/>
          <w:szCs w:val="28"/>
          <w:lang w:val="vi-VN"/>
        </w:rPr>
        <w:t xml:space="preserve">, </w:t>
      </w:r>
      <w:r>
        <w:rPr>
          <w:bCs/>
          <w:iCs/>
          <w:sz w:val="28"/>
          <w:szCs w:val="28"/>
        </w:rPr>
        <w:t xml:space="preserve">tôm đạt trên 1,9 tỷ USD (tăng 42,7%), gỗ và sản phẩm gỗ đạt gần 7,2 tỷ USD (tăng 6,9%); mây, tre, cói thảm đạt 426 triệu USD (tăng 19,1%).  </w:t>
      </w:r>
    </w:p>
    <w:p>
      <w:pPr>
        <w:pStyle w:val="Normal"/>
        <w:widowControl w:val="false"/>
        <w:spacing w:before="120" w:after="0"/>
        <w:ind w:firstLine="720"/>
        <w:jc w:val="both"/>
        <w:rPr>
          <w:bCs/>
          <w:i/>
          <w:i/>
          <w:sz w:val="28"/>
          <w:szCs w:val="28"/>
        </w:rPr>
      </w:pPr>
      <w:r>
        <w:rPr>
          <w:bCs/>
          <w:iCs/>
          <w:sz w:val="28"/>
          <w:szCs w:val="28"/>
        </w:rPr>
        <w:t xml:space="preserve">Những mặt hàng giảm gồm: </w:t>
      </w:r>
      <w:r>
        <w:rPr>
          <w:bCs/>
          <w:iCs/>
          <w:sz w:val="28"/>
          <w:szCs w:val="28"/>
          <w:lang w:val="vi-VN"/>
        </w:rPr>
        <w:t>Chè</w:t>
      </w:r>
      <w:r>
        <w:rPr>
          <w:bCs/>
          <w:iCs/>
          <w:sz w:val="28"/>
          <w:szCs w:val="28"/>
        </w:rPr>
        <w:t xml:space="preserve"> đạt 70 triệu USD (giảm 6,5%), </w:t>
      </w:r>
      <w:r>
        <w:rPr>
          <w:bCs/>
          <w:iCs/>
          <w:sz w:val="28"/>
          <w:szCs w:val="28"/>
          <w:lang w:val="vi-VN"/>
        </w:rPr>
        <w:t>nhóm hàng rau quả</w:t>
      </w:r>
      <w:r>
        <w:rPr>
          <w:bCs/>
          <w:iCs/>
          <w:sz w:val="28"/>
          <w:szCs w:val="28"/>
        </w:rPr>
        <w:t xml:space="preserve"> đạt khoảng 1,5 tỷ USD (giảm 13,6%), hạt điều ước đạt trên 1,2 tỷ USD (giảm 2,9%), dù giá trị XK nhóm gỗ và SP gỗ tăng 6,9% nhưng giá trị XK của Sản phẩm gỗ lại giảm 4,6% với giá trị trên 4,9 tỷ USD</w:t>
      </w:r>
      <w:r>
        <w:rPr>
          <w:bCs/>
          <w:iCs/>
          <w:sz w:val="28"/>
          <w:szCs w:val="28"/>
          <w:lang w:val="vi-VN"/>
        </w:rPr>
        <w:t>.</w:t>
      </w:r>
    </w:p>
    <w:p>
      <w:pPr>
        <w:pStyle w:val="Normal"/>
        <w:widowControl w:val="false"/>
        <w:autoSpaceDE w:val="false"/>
        <w:spacing w:before="120" w:after="0"/>
        <w:ind w:firstLine="720"/>
        <w:jc w:val="both"/>
        <w:rPr>
          <w:sz w:val="28"/>
          <w:szCs w:val="28"/>
        </w:rPr>
      </w:pPr>
      <w:r>
        <w:rPr>
          <w:bCs/>
          <w:iCs/>
          <w:sz w:val="28"/>
          <w:szCs w:val="28"/>
        </w:rPr>
        <w:t>- Về thị trường xuất khẩu:</w:t>
      </w:r>
      <w:bookmarkStart w:id="13" w:name="_Hlk36195422"/>
      <w:r>
        <w:rPr>
          <w:sz w:val="28"/>
          <w:szCs w:val="28"/>
        </w:rPr>
        <w:t xml:space="preserve"> Ước giá trị XK nông, lâm, thủy sản 5 tháng đầu năm của Việt Nam tới các thị trường</w:t>
      </w:r>
      <w:r>
        <w:rPr>
          <w:rStyle w:val="FootnoteAnchor"/>
          <w:sz w:val="28"/>
          <w:szCs w:val="28"/>
          <w:vertAlign w:val="superscript"/>
        </w:rPr>
        <w:footnoteReference w:id="6"/>
      </w:r>
      <w:r>
        <w:rPr>
          <w:sz w:val="28"/>
          <w:szCs w:val="28"/>
        </w:rPr>
        <w:t xml:space="preserve"> thuộc khu vực châu Á (chiếm 41,6% thị phần), châu Mỹ (30,4%), châu Âu (12,0%), châu Đại Dương (1,</w:t>
      </w:r>
      <w:r>
        <w:rPr>
          <w:sz w:val="28"/>
          <w:szCs w:val="28"/>
          <w:lang w:val="vi-VN"/>
        </w:rPr>
        <w:t>7</w:t>
      </w:r>
      <w:r>
        <w:rPr>
          <w:sz w:val="28"/>
          <w:szCs w:val="28"/>
        </w:rPr>
        <w:t xml:space="preserve">%) và châu Phi (1,5%). Thị trường xuất khẩu </w:t>
      </w:r>
      <w:r>
        <w:rPr>
          <w:i/>
          <w:sz w:val="28"/>
          <w:szCs w:val="28"/>
        </w:rPr>
        <w:t>lớn nhất</w:t>
      </w:r>
      <w:r>
        <w:rPr>
          <w:sz w:val="28"/>
          <w:szCs w:val="28"/>
        </w:rPr>
        <w:t xml:space="preserve"> là Hoa Kỳ đạt </w:t>
      </w:r>
      <w:r>
        <w:rPr>
          <w:sz w:val="28"/>
          <w:szCs w:val="28"/>
          <w:lang w:val="vi-VN"/>
        </w:rPr>
        <w:t>gần</w:t>
      </w:r>
      <w:r>
        <w:rPr>
          <w:sz w:val="28"/>
          <w:szCs w:val="28"/>
        </w:rPr>
        <w:t xml:space="preserve"> 6,5 tỷ USD (chiếm 28,0% thị phần), trong đó kim ngạch XK nhóm hàng gỗ và sản phẩm gỗ chiếm tới 67,5% tỷ trọng kim ngạch XK NLTS của Việt Nam tại thị trường này; đứng </w:t>
      </w:r>
      <w:r>
        <w:rPr>
          <w:i/>
          <w:sz w:val="28"/>
          <w:szCs w:val="28"/>
        </w:rPr>
        <w:t>thứ 2</w:t>
      </w:r>
      <w:r>
        <w:rPr>
          <w:sz w:val="28"/>
          <w:szCs w:val="28"/>
        </w:rPr>
        <w:t xml:space="preserve"> là thị trường Trung Quốc </w:t>
      </w:r>
      <w:r>
        <w:rPr>
          <w:sz w:val="28"/>
          <w:szCs w:val="28"/>
          <w:lang w:val="vi-VN"/>
        </w:rPr>
        <w:t>trên</w:t>
      </w:r>
      <w:r>
        <w:rPr>
          <w:sz w:val="28"/>
          <w:szCs w:val="28"/>
        </w:rPr>
        <w:t xml:space="preserve"> 4,1 tỷ USD (chiếm 17,8% thị phần) với kim ngạch xuất khẩu nhóm rau quả chiếm 20,8</w:t>
      </w:r>
      <w:r>
        <w:rPr>
          <w:sz w:val="28"/>
          <w:szCs w:val="28"/>
          <w:lang w:val="vi-VN"/>
        </w:rPr>
        <w:t>%;</w:t>
      </w:r>
      <w:r>
        <w:rPr>
          <w:sz w:val="28"/>
          <w:szCs w:val="28"/>
        </w:rPr>
        <w:t xml:space="preserve"> </w:t>
      </w:r>
      <w:r>
        <w:rPr>
          <w:i/>
          <w:sz w:val="28"/>
          <w:szCs w:val="28"/>
        </w:rPr>
        <w:t>thứ 3</w:t>
      </w:r>
      <w:r>
        <w:rPr>
          <w:sz w:val="28"/>
          <w:szCs w:val="28"/>
        </w:rPr>
        <w:t xml:space="preserve"> là thị trường Nhật Bản với giá trị XK đạt trên 1,6 tỷ USD (chiếm 7,0%) và XK nhóm sản phẩm gỗ nhiều nhất (chiếm 43,8%); </w:t>
      </w:r>
      <w:r>
        <w:rPr>
          <w:i/>
          <w:sz w:val="28"/>
          <w:szCs w:val="28"/>
        </w:rPr>
        <w:t>thứ 4</w:t>
      </w:r>
      <w:r>
        <w:rPr>
          <w:sz w:val="28"/>
          <w:szCs w:val="28"/>
        </w:rPr>
        <w:t xml:space="preserve"> là thị trường Hàn Quốc với giá trị XK đạt trên 1,1 tỷ USD (chiếm 4,8%) và XK nhóm sản phẩm gỗ chiếm 44,2%.</w:t>
      </w:r>
    </w:p>
    <w:p>
      <w:pPr>
        <w:pStyle w:val="Normal"/>
        <w:widowControl w:val="false"/>
        <w:autoSpaceDE w:val="false"/>
        <w:spacing w:before="120" w:after="0"/>
        <w:ind w:firstLine="709"/>
        <w:jc w:val="both"/>
        <w:rPr>
          <w:sz w:val="28"/>
          <w:szCs w:val="28"/>
        </w:rPr>
      </w:pPr>
      <w:bookmarkEnd w:id="13"/>
      <w:r>
        <w:rPr>
          <w:iCs/>
          <w:sz w:val="28"/>
          <w:szCs w:val="28"/>
        </w:rPr>
        <w:t>b) Về nhập khẩu</w:t>
      </w:r>
    </w:p>
    <w:p>
      <w:pPr>
        <w:pStyle w:val="Normal"/>
        <w:widowControl w:val="false"/>
        <w:tabs>
          <w:tab w:val="clear" w:pos="720"/>
          <w:tab w:val="left" w:pos="3600" w:leader="none"/>
          <w:tab w:val="left" w:pos="4230" w:leader="none"/>
        </w:tabs>
        <w:autoSpaceDE w:val="false"/>
        <w:spacing w:before="120" w:after="0"/>
        <w:ind w:firstLine="720"/>
        <w:jc w:val="both"/>
        <w:rPr>
          <w:sz w:val="28"/>
          <w:szCs w:val="28"/>
        </w:rPr>
      </w:pPr>
      <w:r>
        <w:rPr>
          <w:sz w:val="28"/>
          <w:szCs w:val="28"/>
        </w:rPr>
        <w:t xml:space="preserve">Tính chung 5 tháng đầu năm, kim ngạch NK các mặt hàng NLTS ước </w:t>
      </w:r>
      <w:r>
        <w:rPr>
          <w:sz w:val="28"/>
          <w:szCs w:val="28"/>
          <w:lang w:val="vi-VN"/>
        </w:rPr>
        <w:t>gần</w:t>
      </w:r>
      <w:r>
        <w:rPr>
          <w:sz w:val="28"/>
          <w:szCs w:val="28"/>
        </w:rPr>
        <w:t xml:space="preserve"> 18,1 tỷ USD, </w:t>
      </w:r>
      <w:r>
        <w:rPr>
          <w:sz w:val="28"/>
          <w:szCs w:val="28"/>
          <w:lang w:val="vi-VN"/>
        </w:rPr>
        <w:t xml:space="preserve">giảm </w:t>
      </w:r>
      <w:r>
        <w:rPr>
          <w:sz w:val="28"/>
          <w:szCs w:val="28"/>
        </w:rPr>
        <w:t>0,3% so với cùng kỳ năm 202</w:t>
      </w:r>
      <w:r>
        <w:rPr>
          <w:sz w:val="28"/>
          <w:szCs w:val="28"/>
          <w:lang w:val="vi-VN"/>
        </w:rPr>
        <w:t>1</w:t>
      </w:r>
      <w:r>
        <w:rPr>
          <w:sz w:val="28"/>
          <w:szCs w:val="28"/>
        </w:rPr>
        <w:t xml:space="preserve">. Trong đó, giá trị NK các mặt hàng nông sản chính ước đạt gần 11,3 tỷ USD, </w:t>
      </w:r>
      <w:r>
        <w:rPr>
          <w:sz w:val="28"/>
          <w:szCs w:val="28"/>
          <w:lang w:val="vi-VN"/>
        </w:rPr>
        <w:t xml:space="preserve">giảm </w:t>
      </w:r>
      <w:r>
        <w:rPr>
          <w:sz w:val="28"/>
          <w:szCs w:val="28"/>
        </w:rPr>
        <w:t xml:space="preserve">1,5%; nhóm hàng thủy sản ước khoảng 1,0 tỷ USD, tăng 17,3%; nhóm lâm sản chính trên 1,3 tỷ USD, tăng 0,1%; nhóm sản phẩm chăn nuôi khoảng 1,3 tỷ USD, </w:t>
      </w:r>
      <w:r>
        <w:rPr>
          <w:sz w:val="28"/>
          <w:szCs w:val="28"/>
          <w:lang w:val="vi-VN"/>
        </w:rPr>
        <w:t>giảm</w:t>
      </w:r>
      <w:r>
        <w:rPr>
          <w:sz w:val="28"/>
          <w:szCs w:val="28"/>
        </w:rPr>
        <w:t xml:space="preserve"> 13,7%; nhóm đầu vào sản xuất </w:t>
      </w:r>
      <w:r>
        <w:rPr>
          <w:sz w:val="28"/>
          <w:szCs w:val="28"/>
          <w:lang w:val="vi-VN"/>
        </w:rPr>
        <w:t xml:space="preserve">ước </w:t>
      </w:r>
      <w:r>
        <w:rPr>
          <w:sz w:val="28"/>
          <w:szCs w:val="28"/>
        </w:rPr>
        <w:t xml:space="preserve">gần 3,2 tỷ USD, tăng 5,6%. </w:t>
      </w:r>
    </w:p>
    <w:p>
      <w:pPr>
        <w:pStyle w:val="Normal"/>
        <w:widowControl w:val="false"/>
        <w:tabs>
          <w:tab w:val="clear" w:pos="720"/>
          <w:tab w:val="left" w:pos="3600" w:leader="none"/>
          <w:tab w:val="left" w:pos="4230" w:leader="none"/>
        </w:tabs>
        <w:autoSpaceDE w:val="false"/>
        <w:spacing w:before="120" w:after="0"/>
        <w:ind w:firstLine="720"/>
        <w:jc w:val="both"/>
        <w:rPr>
          <w:sz w:val="28"/>
          <w:szCs w:val="28"/>
        </w:rPr>
      </w:pPr>
      <w:r>
        <w:rPr>
          <w:sz w:val="28"/>
          <w:szCs w:val="28"/>
        </w:rPr>
        <w:t>Sang đến tháng 5 Campuchia tiếp tục trở thành thị trường XK nông sản sang VN nhiều nhất đạt trên 1,9 tỷ USD, chiếm 10,7% thị phần; tiếp theo là Braxin với giá trị NK đạt 1,6 tỷ USD, chiếm 8,6% thị phần; thứ 3 là Trung Quốc đạt khoảng 1,5 tỷ USD, chiếm</w:t>
      </w:r>
      <w:r>
        <w:rPr>
          <w:sz w:val="28"/>
          <w:szCs w:val="28"/>
          <w:lang w:val="vi-VN"/>
        </w:rPr>
        <w:t xml:space="preserve"> </w:t>
      </w:r>
      <w:r>
        <w:rPr>
          <w:sz w:val="28"/>
          <w:szCs w:val="28"/>
        </w:rPr>
        <w:t>8,3%; thứ 4 là Hoa Kỳ với giá trị NK đạt gần 1,4 tỷ USD, chiếm 7,6% thị phần.</w:t>
      </w:r>
    </w:p>
    <w:p>
      <w:pPr>
        <w:pStyle w:val="Normal"/>
        <w:widowControl w:val="false"/>
        <w:tabs>
          <w:tab w:val="clear" w:pos="720"/>
          <w:tab w:val="left" w:pos="3600" w:leader="none"/>
          <w:tab w:val="left" w:pos="4230" w:leader="none"/>
        </w:tabs>
        <w:autoSpaceDE w:val="false"/>
        <w:spacing w:before="120" w:after="0"/>
        <w:ind w:firstLine="720"/>
        <w:jc w:val="both"/>
        <w:rPr>
          <w:sz w:val="28"/>
          <w:szCs w:val="28"/>
        </w:rPr>
      </w:pPr>
      <w:r>
        <w:rPr>
          <w:sz w:val="28"/>
          <w:szCs w:val="28"/>
        </w:rPr>
        <w:t xml:space="preserve">c) Khác: Trong tháng 5, </w:t>
      </w:r>
      <w:r>
        <w:rPr>
          <w:sz w:val="28"/>
          <w:szCs w:val="28"/>
          <w:lang w:val="nl-NL"/>
        </w:rPr>
        <w:t xml:space="preserve">đã kiểm dịch thực vật XNK trên 45,6 nghìn lô hàng (NK là 22,5 nghìn lô, XK trên 23,6 nghìn lô) với trọng lượng gần 7,7 triệu tấn; kiểm tra ATTP hàng thực vật NK khoảng 12,5 nghìn lô, trọng lượng là 1,02 triệu tấn; kiểm tra </w:t>
      </w:r>
      <w:r>
        <w:rPr>
          <w:sz w:val="28"/>
          <w:szCs w:val="28"/>
        </w:rPr>
        <w:t xml:space="preserve">727 lô phân bón nhập khẩu, </w:t>
      </w:r>
      <w:r>
        <w:rPr>
          <w:sz w:val="28"/>
          <w:szCs w:val="28"/>
          <w:lang w:val="sv-SE"/>
        </w:rPr>
        <w:t>khối lượng trên 299 nghìn</w:t>
      </w:r>
      <w:r>
        <w:rPr>
          <w:b/>
          <w:sz w:val="28"/>
          <w:szCs w:val="28"/>
          <w:lang w:val="sv-SE"/>
        </w:rPr>
        <w:t xml:space="preserve"> </w:t>
      </w:r>
      <w:r>
        <w:rPr>
          <w:sz w:val="28"/>
          <w:szCs w:val="28"/>
          <w:lang w:val="sv-SE"/>
        </w:rPr>
        <w:t>tấn</w:t>
      </w:r>
      <w:r>
        <w:rPr>
          <w:sz w:val="28"/>
          <w:szCs w:val="28"/>
        </w:rPr>
        <w:t xml:space="preserve">; </w:t>
      </w:r>
      <w:r>
        <w:rPr>
          <w:sz w:val="28"/>
          <w:szCs w:val="28"/>
          <w:highlight w:val="white"/>
        </w:rPr>
        <w:t>329 lô thuốc BVTV thành phẩm</w:t>
      </w:r>
      <w:r>
        <w:rPr>
          <w:sz w:val="28"/>
          <w:szCs w:val="28"/>
        </w:rPr>
        <w:t xml:space="preserve">, </w:t>
      </w:r>
      <w:r>
        <w:rPr>
          <w:sz w:val="28"/>
          <w:szCs w:val="28"/>
          <w:lang w:val="vi-VN"/>
        </w:rPr>
        <w:t xml:space="preserve">khối lượng </w:t>
      </w:r>
      <w:r>
        <w:rPr>
          <w:sz w:val="28"/>
          <w:szCs w:val="28"/>
        </w:rPr>
        <w:t>khoảng</w:t>
      </w:r>
      <w:r>
        <w:rPr>
          <w:sz w:val="28"/>
          <w:szCs w:val="28"/>
          <w:lang w:val="vi-VN"/>
        </w:rPr>
        <w:t xml:space="preserve"> 7</w:t>
      </w:r>
      <w:r>
        <w:rPr>
          <w:sz w:val="28"/>
          <w:szCs w:val="28"/>
        </w:rPr>
        <w:t>,</w:t>
      </w:r>
      <w:r>
        <w:rPr>
          <w:sz w:val="28"/>
          <w:szCs w:val="28"/>
          <w:lang w:val="vi-VN"/>
        </w:rPr>
        <w:t>5</w:t>
      </w:r>
      <w:r>
        <w:rPr>
          <w:sz w:val="28"/>
          <w:szCs w:val="28"/>
        </w:rPr>
        <w:t xml:space="preserve">4 nghìn </w:t>
      </w:r>
      <w:r>
        <w:rPr>
          <w:sz w:val="28"/>
          <w:szCs w:val="28"/>
          <w:lang w:val="vi-VN"/>
        </w:rPr>
        <w:t>tấn</w:t>
      </w:r>
      <w:r>
        <w:rPr>
          <w:sz w:val="28"/>
          <w:szCs w:val="28"/>
        </w:rPr>
        <w:t>.</w:t>
      </w:r>
    </w:p>
    <w:p>
      <w:pPr>
        <w:pStyle w:val="Normal"/>
        <w:widowControl w:val="false"/>
        <w:spacing w:before="120" w:after="0"/>
        <w:ind w:firstLine="720"/>
        <w:jc w:val="both"/>
        <w:rPr>
          <w:b/>
          <w:b/>
          <w:iCs/>
          <w:sz w:val="28"/>
          <w:szCs w:val="28"/>
          <w:shd w:fill="FFFFFF" w:val="clear"/>
        </w:rPr>
      </w:pPr>
      <w:bookmarkStart w:id="14" w:name="_Hlk36194168"/>
      <w:bookmarkEnd w:id="14"/>
      <w:r>
        <w:rPr>
          <w:b/>
          <w:sz w:val="28"/>
          <w:szCs w:val="28"/>
        </w:rPr>
        <w:t>3. Hợp tác quốc tế, p</w:t>
      </w:r>
      <w:r>
        <w:rPr>
          <w:b/>
          <w:iCs/>
          <w:sz w:val="28"/>
          <w:szCs w:val="28"/>
          <w:shd w:fill="FFFFFF" w:val="clear"/>
        </w:rPr>
        <w:t>hát triển thị trường, quản lý chất lượng</w:t>
      </w:r>
    </w:p>
    <w:p>
      <w:pPr>
        <w:pStyle w:val="Normal"/>
        <w:widowControl w:val="false"/>
        <w:spacing w:before="120" w:after="0"/>
        <w:ind w:firstLine="709"/>
        <w:jc w:val="both"/>
        <w:rPr>
          <w:rFonts w:eastAsia="Batang;바탕"/>
          <w:i/>
          <w:i/>
          <w:sz w:val="28"/>
          <w:szCs w:val="28"/>
          <w:lang w:eastAsia="ko-KR"/>
        </w:rPr>
      </w:pPr>
      <w:r>
        <w:rPr>
          <w:rFonts w:eastAsia="Batang;바탕"/>
          <w:sz w:val="28"/>
          <w:szCs w:val="28"/>
          <w:lang w:val="es-ES" w:eastAsia="ko-KR"/>
        </w:rPr>
        <w:t xml:space="preserve">Trong tháng, </w:t>
      </w:r>
      <w:r>
        <w:rPr>
          <w:bCs/>
          <w:color w:val="000000"/>
          <w:sz w:val="28"/>
          <w:szCs w:val="28"/>
          <w:lang w:val="it-IT"/>
        </w:rPr>
        <w:t>Tổ chức/phối hợp tổ chức và tham gia hỗ trợ các địa phương/ ngành hàng trong công tác xúc tiến thương mại, xúc tiến đầu tư vào lĩnh vực nông nghiệp; giới thiệu, quảng bá, tiêu thụ các sản phẩm nông sản vùng miền tại Đăk Lak, Gia Lai, Sơn La,...</w:t>
      </w:r>
      <w:r>
        <w:rPr>
          <w:rStyle w:val="FootnoteCharacters"/>
          <w:rStyle w:val="FootnoteAnchor"/>
          <w:bCs/>
          <w:color w:val="000000"/>
          <w:sz w:val="28"/>
          <w:szCs w:val="28"/>
          <w:lang w:val="it-IT"/>
        </w:rPr>
        <w:footnoteReference w:id="7"/>
      </w:r>
      <w:r>
        <w:rPr>
          <w:bCs/>
          <w:color w:val="000000"/>
          <w:sz w:val="28"/>
          <w:szCs w:val="28"/>
          <w:lang w:val="it-IT"/>
        </w:rPr>
        <w:t xml:space="preserve"> </w:t>
      </w:r>
    </w:p>
    <w:p>
      <w:pPr>
        <w:pStyle w:val="Normal"/>
        <w:widowControl w:val="false"/>
        <w:autoSpaceDE w:val="false"/>
        <w:spacing w:before="120" w:after="0"/>
        <w:ind w:firstLine="720"/>
        <w:jc w:val="both"/>
        <w:rPr>
          <w:sz w:val="28"/>
          <w:szCs w:val="28"/>
        </w:rPr>
      </w:pPr>
      <w:r>
        <w:rPr>
          <w:sz w:val="28"/>
          <w:szCs w:val="28"/>
          <w:lang w:val="sv-SE"/>
        </w:rPr>
        <w:t xml:space="preserve">Tiếp tục đẩy mạnh các hoạt động hợp tác song phương, đa phương, mở cửa thị trường. Tham </w:t>
      </w:r>
      <w:r>
        <w:rPr>
          <w:sz w:val="28"/>
          <w:szCs w:val="28"/>
        </w:rPr>
        <w:t>dự Hội nghị cấp cao đặc biệt ASEAN - Hoa Kỳ tại Hoa kỳ; đã thống nhất với Hoa Kỳ thúc đẩy triển khai một số hoạt động: Hợp tác với WEF xây dựng Trung tâm đổi mới sáng tạo về lương thực, thực phẩm (FIH) tại khu vực Đông Nam Á; Kết nối nông sản Việt Nam với chuỗi đại siêu thị toàn cầu. Đặc biệt, tại buổi Tọa đàm kết nối doanh nghiệp nông nghiệp Việt Nam – Hoa Kỳ, 04 thỏa thuận hợp tác đã được ký kết</w:t>
      </w:r>
      <w:r>
        <w:rPr>
          <w:rStyle w:val="FootnoteCharacters"/>
          <w:rStyle w:val="FootnoteAnchor"/>
          <w:sz w:val="28"/>
          <w:szCs w:val="28"/>
        </w:rPr>
        <w:footnoteReference w:id="8"/>
      </w:r>
      <w:r>
        <w:rPr>
          <w:sz w:val="28"/>
          <w:szCs w:val="28"/>
        </w:rPr>
        <w:t xml:space="preserve">; tham gia Triển lãm Trồng trọt thông minh châu Á 2022 tại Thái Lan. </w:t>
      </w:r>
    </w:p>
    <w:p>
      <w:pPr>
        <w:pStyle w:val="Normal"/>
        <w:widowControl w:val="false"/>
        <w:autoSpaceDE w:val="false"/>
        <w:spacing w:before="120" w:after="0"/>
        <w:ind w:firstLine="720"/>
        <w:jc w:val="both"/>
        <w:rPr>
          <w:sz w:val="28"/>
          <w:szCs w:val="28"/>
          <w:lang w:val="vi-VN"/>
        </w:rPr>
      </w:pPr>
      <w:r>
        <w:rPr>
          <w:spacing w:val="-2"/>
          <w:sz w:val="28"/>
          <w:szCs w:val="28"/>
          <w:lang w:val="sv-SE"/>
        </w:rPr>
        <w:t xml:space="preserve">Tập trung đàm phán, </w:t>
      </w:r>
      <w:r>
        <w:rPr>
          <w:spacing w:val="-2"/>
          <w:sz w:val="28"/>
          <w:szCs w:val="28"/>
        </w:rPr>
        <w:t xml:space="preserve">thúc đẩy XK chanh leo và bưởi sang Úc; chôm chôm, vú sữa, na, bưởi, sắn lát, đường, sữa sang Thái Lan; chanh, bưởi sang </w:t>
      </w:r>
      <w:r>
        <w:rPr>
          <w:spacing w:val="-2"/>
          <w:sz w:val="28"/>
          <w:szCs w:val="28"/>
          <w:lang w:val="vi-VN"/>
        </w:rPr>
        <w:t>Newzealand</w:t>
      </w:r>
      <w:r>
        <w:rPr>
          <w:spacing w:val="-2"/>
          <w:sz w:val="28"/>
          <w:szCs w:val="28"/>
        </w:rPr>
        <w:t>, yến sào, SP lông vũ, bột cá sang Trung Quốc</w:t>
      </w:r>
      <w:r>
        <w:rPr>
          <w:spacing w:val="-2"/>
          <w:sz w:val="28"/>
          <w:szCs w:val="28"/>
          <w:lang w:val="sv-SE"/>
        </w:rPr>
        <w:t xml:space="preserve">. Ký Công hàm gửi Tổng cục Hải quan Trung Quốc để kiểm tra và đưa vào danh sách được phép xuất khẩu vào Trung Quốc. </w:t>
      </w:r>
      <w:r>
        <w:rPr>
          <w:bCs/>
          <w:spacing w:val="-2"/>
          <w:sz w:val="28"/>
          <w:szCs w:val="28"/>
          <w:lang w:val="it-IT"/>
        </w:rPr>
        <w:t>Tiếp tục h</w:t>
      </w:r>
      <w:r>
        <w:rPr>
          <w:spacing w:val="-2"/>
          <w:sz w:val="28"/>
          <w:szCs w:val="28"/>
          <w:lang w:val="vi-VN"/>
        </w:rPr>
        <w:t xml:space="preserve">ướng dẫn </w:t>
      </w:r>
      <w:r>
        <w:rPr>
          <w:spacing w:val="-2"/>
          <w:sz w:val="28"/>
          <w:szCs w:val="28"/>
        </w:rPr>
        <w:t xml:space="preserve">các đơn vị, doanh nghiệp thực hiện quy định </w:t>
      </w:r>
      <w:r>
        <w:rPr>
          <w:spacing w:val="-2"/>
          <w:sz w:val="28"/>
          <w:szCs w:val="28"/>
          <w:lang w:val="vi-VN"/>
        </w:rPr>
        <w:t>Lệnh 248, 249 của Tổng cục Hải quan Trung Quốc</w:t>
      </w:r>
      <w:r>
        <w:rPr>
          <w:rStyle w:val="FootnoteCharacters"/>
          <w:rStyle w:val="FootnoteAnchor"/>
          <w:spacing w:val="-2"/>
          <w:sz w:val="28"/>
          <w:szCs w:val="28"/>
          <w:lang w:val="vi-VN"/>
        </w:rPr>
        <w:footnoteReference w:id="9"/>
      </w:r>
      <w:r>
        <w:rPr>
          <w:spacing w:val="-2"/>
          <w:sz w:val="28"/>
          <w:szCs w:val="28"/>
        </w:rPr>
        <w:t>. Trong tháng, đã tổng hợp được 48 thông báo dự thảo quy định về SPS; đã xử lý 04 cảnh báo của EU.</w:t>
      </w:r>
      <w:r>
        <w:rPr>
          <w:sz w:val="28"/>
          <w:szCs w:val="28"/>
        </w:rPr>
        <w:t xml:space="preserve"> </w:t>
      </w:r>
    </w:p>
    <w:p>
      <w:pPr>
        <w:pStyle w:val="Normal"/>
        <w:widowControl w:val="false"/>
        <w:tabs>
          <w:tab w:val="clear" w:pos="720"/>
          <w:tab w:val="left" w:pos="709" w:leader="none"/>
        </w:tabs>
        <w:spacing w:before="120" w:after="0"/>
        <w:ind w:firstLine="709"/>
        <w:jc w:val="both"/>
        <w:rPr>
          <w:sz w:val="28"/>
          <w:szCs w:val="28"/>
          <w:lang w:val="cs-CZ"/>
        </w:rPr>
      </w:pPr>
      <w:r>
        <w:rPr>
          <w:sz w:val="28"/>
          <w:szCs w:val="28"/>
        </w:rPr>
        <w:t>T</w:t>
      </w:r>
      <w:r>
        <w:rPr>
          <w:bCs/>
          <w:sz w:val="28"/>
          <w:szCs w:val="28"/>
        </w:rPr>
        <w:t xml:space="preserve">ập trung hướng dẫn địa phương, cơ sở sản xuất kinh doanh thực hiện nghiêm các quy định về quản lý chất lượng, ATTP; </w:t>
      </w:r>
      <w:r>
        <w:rPr>
          <w:sz w:val="28"/>
          <w:szCs w:val="28"/>
          <w:lang w:val="cs-CZ"/>
        </w:rPr>
        <w:t>phát triển</w:t>
      </w:r>
      <w:r>
        <w:rPr>
          <w:sz w:val="28"/>
          <w:szCs w:val="28"/>
        </w:rPr>
        <w:t xml:space="preserve"> các chuỗi cung ứng thực phẩm an toàn.</w:t>
      </w:r>
      <w:r>
        <w:rPr>
          <w:bCs/>
          <w:sz w:val="28"/>
          <w:szCs w:val="28"/>
        </w:rPr>
        <w:t xml:space="preserve"> Đẩy mạnh giám sát, cấp mã số vùng trồng, vùng nuôi. </w:t>
      </w:r>
      <w:r>
        <w:rPr>
          <w:sz w:val="28"/>
          <w:szCs w:val="28"/>
        </w:rPr>
        <w:t xml:space="preserve"> </w:t>
      </w:r>
    </w:p>
    <w:p>
      <w:pPr>
        <w:pStyle w:val="Normal"/>
        <w:widowControl w:val="false"/>
        <w:autoSpaceDE w:val="false"/>
        <w:spacing w:before="120" w:after="0"/>
        <w:ind w:firstLine="707"/>
        <w:jc w:val="both"/>
        <w:rPr>
          <w:sz w:val="28"/>
          <w:szCs w:val="28"/>
          <w:shd w:fill="FFFFFF" w:val="clear"/>
        </w:rPr>
      </w:pPr>
      <w:r>
        <w:rPr>
          <w:sz w:val="28"/>
          <w:szCs w:val="28"/>
          <w:lang w:val="vi-VN"/>
        </w:rPr>
        <w:t xml:space="preserve">Trong tháng 5, đã cấp 144 mã số vùng trồng xoài, thanh long, chanh không hạt, sầu riêng, ớt, thạch đen; </w:t>
      </w:r>
      <w:r>
        <w:rPr>
          <w:sz w:val="28"/>
          <w:szCs w:val="28"/>
        </w:rPr>
        <w:t>0</w:t>
      </w:r>
      <w:r>
        <w:rPr>
          <w:sz w:val="28"/>
          <w:szCs w:val="28"/>
          <w:lang w:val="vi-VN"/>
        </w:rPr>
        <w:t>3 mã số cơ sở đóng gói đối với các loại quả, chuối, vải đi các thị trường Trung Quốc.</w:t>
      </w:r>
      <w:r>
        <w:rPr>
          <w:sz w:val="28"/>
          <w:szCs w:val="28"/>
        </w:rPr>
        <w:t xml:space="preserve"> T</w:t>
      </w:r>
      <w:r>
        <w:rPr>
          <w:sz w:val="28"/>
          <w:szCs w:val="28"/>
          <w:shd w:fill="FFFFFF" w:val="clear"/>
          <w:lang w:val="sv-SE"/>
        </w:rPr>
        <w:t xml:space="preserve">ổ chức lấy 325 mẫu thủy sản, kết quả 324 mẫu đạt yêu cầu; </w:t>
      </w:r>
      <w:r>
        <w:rPr>
          <w:sz w:val="28"/>
          <w:szCs w:val="28"/>
          <w:shd w:fill="FFFFFF" w:val="clear"/>
          <w:lang w:val="en-SG"/>
        </w:rPr>
        <w:t>các</w:t>
      </w:r>
      <w:r>
        <w:rPr>
          <w:sz w:val="28"/>
          <w:szCs w:val="28"/>
          <w:shd w:fill="FFFFFF" w:val="clear"/>
        </w:rPr>
        <w:t xml:space="preserve"> địa phương lấy 2.905</w:t>
      </w:r>
      <w:r>
        <w:rPr>
          <w:sz w:val="28"/>
          <w:szCs w:val="28"/>
          <w:shd w:fill="FFFFFF" w:val="clear"/>
          <w:lang w:val="en-SG"/>
        </w:rPr>
        <w:t xml:space="preserve"> </w:t>
      </w:r>
      <w:r>
        <w:rPr>
          <w:sz w:val="28"/>
          <w:szCs w:val="28"/>
          <w:shd w:fill="FFFFFF" w:val="clear"/>
        </w:rPr>
        <w:t xml:space="preserve">mẫu NLTS sau thu hoạch, phát hiện 117 mẫu vi phạm ATTP, chiếm 4,03%. </w:t>
      </w:r>
      <w:r>
        <w:rPr>
          <w:sz w:val="28"/>
          <w:szCs w:val="28"/>
          <w:shd w:fill="FFFFFF" w:val="clear"/>
          <w:lang w:val="sv-SE"/>
        </w:rPr>
        <w:t>Lũy kế, đã</w:t>
      </w:r>
      <w:r>
        <w:rPr>
          <w:sz w:val="28"/>
          <w:szCs w:val="28"/>
          <w:lang w:val="it-IT" w:eastAsia="en-US"/>
        </w:rPr>
        <w:t xml:space="preserve"> lấy 843 mẫu thủy sản, phát hiện 12 mẫu vi phạm (chiếm 1,42%), </w:t>
      </w:r>
      <w:r>
        <w:rPr>
          <w:sz w:val="28"/>
          <w:szCs w:val="28"/>
          <w:shd w:fill="FFFFFF" w:val="clear"/>
          <w:lang w:val="en-SG"/>
        </w:rPr>
        <w:t>các</w:t>
      </w:r>
      <w:r>
        <w:rPr>
          <w:sz w:val="28"/>
          <w:szCs w:val="28"/>
          <w:shd w:fill="FFFFFF" w:val="clear"/>
        </w:rPr>
        <w:t xml:space="preserve"> địa phương lấy 7.897</w:t>
      </w:r>
      <w:r>
        <w:rPr>
          <w:sz w:val="28"/>
          <w:szCs w:val="28"/>
          <w:shd w:fill="FFFFFF" w:val="clear"/>
          <w:lang w:val="en-SG"/>
        </w:rPr>
        <w:t xml:space="preserve"> </w:t>
      </w:r>
      <w:r>
        <w:rPr>
          <w:sz w:val="28"/>
          <w:szCs w:val="28"/>
          <w:shd w:fill="FFFFFF" w:val="clear"/>
        </w:rPr>
        <w:t>mẫu NLTS sau thu hoạch, phát hiện 297 mẫu vi phạm an toàn thực phẩm (chiếm 3,76%).</w:t>
      </w:r>
    </w:p>
    <w:p>
      <w:pPr>
        <w:pStyle w:val="Normal"/>
        <w:widowControl w:val="false"/>
        <w:autoSpaceDE w:val="false"/>
        <w:spacing w:before="120" w:after="0"/>
        <w:ind w:firstLine="707"/>
        <w:jc w:val="both"/>
        <w:rPr>
          <w:b/>
          <w:b/>
          <w:sz w:val="28"/>
          <w:szCs w:val="28"/>
          <w:lang w:val="vi-VN"/>
        </w:rPr>
      </w:pPr>
      <w:r>
        <w:rPr>
          <w:b/>
          <w:sz w:val="28"/>
          <w:szCs w:val="28"/>
        </w:rPr>
        <w:t>5</w:t>
      </w:r>
      <w:r>
        <w:rPr>
          <w:b/>
          <w:sz w:val="28"/>
          <w:szCs w:val="28"/>
          <w:lang w:val="vi-VN"/>
        </w:rPr>
        <w:t>. Công tác thủy lợi, phòng chống thiên tai</w:t>
      </w:r>
    </w:p>
    <w:p>
      <w:pPr>
        <w:pStyle w:val="Normal"/>
        <w:widowControl w:val="false"/>
        <w:spacing w:before="120" w:after="0"/>
        <w:ind w:firstLine="707"/>
        <w:jc w:val="both"/>
        <w:rPr>
          <w:sz w:val="28"/>
          <w:szCs w:val="28"/>
        </w:rPr>
      </w:pPr>
      <w:r>
        <w:rPr>
          <w:bCs/>
          <w:sz w:val="28"/>
          <w:szCs w:val="28"/>
          <w:lang w:val="it-IT"/>
        </w:rPr>
        <w:t xml:space="preserve">Trong tháng, </w:t>
      </w:r>
      <w:r>
        <w:rPr>
          <w:sz w:val="28"/>
          <w:szCs w:val="28"/>
        </w:rPr>
        <w:t xml:space="preserve">tổ chức trực ban, theo dõi chặt chẽ diễn biến thời tiết, tình hình thiên tai và </w:t>
      </w:r>
      <w:r>
        <w:rPr>
          <w:sz w:val="28"/>
          <w:szCs w:val="28"/>
          <w:lang w:val="vi-VN"/>
        </w:rPr>
        <w:t xml:space="preserve">chỉ đạo các địa phương chủ động </w:t>
      </w:r>
      <w:r>
        <w:rPr>
          <w:sz w:val="28"/>
          <w:szCs w:val="28"/>
        </w:rPr>
        <w:t xml:space="preserve">triển khai </w:t>
      </w:r>
      <w:r>
        <w:rPr>
          <w:sz w:val="28"/>
          <w:szCs w:val="28"/>
          <w:lang w:val="vi-VN"/>
        </w:rPr>
        <w:t>các biện pháp ứng phó với mưa lớn, lũ quét, sạt lở đất, rét hại và gió mạnh trên biển</w:t>
      </w:r>
      <w:r>
        <w:rPr>
          <w:sz w:val="28"/>
          <w:szCs w:val="28"/>
        </w:rPr>
        <w:t>. Tham mưu TTCP ban hành c</w:t>
      </w:r>
      <w:r>
        <w:rPr>
          <w:sz w:val="28"/>
          <w:szCs w:val="28"/>
          <w:lang w:val="vi-VN"/>
        </w:rPr>
        <w:t xml:space="preserve">ông điện số Công điện số 415/CĐ-TTg ngày 13/5/2022 chỉ đạo các </w:t>
      </w:r>
      <w:r>
        <w:rPr>
          <w:sz w:val="28"/>
          <w:szCs w:val="28"/>
        </w:rPr>
        <w:t>b</w:t>
      </w:r>
      <w:r>
        <w:rPr>
          <w:sz w:val="28"/>
          <w:szCs w:val="28"/>
          <w:lang w:val="vi-VN"/>
        </w:rPr>
        <w:t>ộ</w:t>
      </w:r>
      <w:r>
        <w:rPr>
          <w:sz w:val="28"/>
          <w:szCs w:val="28"/>
        </w:rPr>
        <w:t>,</w:t>
      </w:r>
      <w:r>
        <w:rPr>
          <w:sz w:val="28"/>
          <w:szCs w:val="28"/>
          <w:lang w:val="vi-VN"/>
        </w:rPr>
        <w:t xml:space="preserve"> ngành, địa phương chủ động ứng phó mưa lũ tại khu vực Bắc Bộ.</w:t>
      </w:r>
      <w:r>
        <w:rPr>
          <w:sz w:val="28"/>
          <w:szCs w:val="28"/>
        </w:rPr>
        <w:t xml:space="preserve"> H</w:t>
      </w:r>
      <w:r>
        <w:rPr>
          <w:color w:val="000000"/>
          <w:sz w:val="28"/>
          <w:szCs w:val="28"/>
        </w:rPr>
        <w:t>oàn thành hồ sơ báo cáo Bộ Chính trị về Đề án “An ninh nguồn nước và an toàn đập, hồ chứa giai đoạn 2021-2025, tầm nhìn 2045”</w:t>
      </w:r>
      <w:r>
        <w:rPr>
          <w:i/>
          <w:color w:val="000000"/>
          <w:sz w:val="28"/>
          <w:szCs w:val="28"/>
        </w:rPr>
        <w:t>.</w:t>
      </w:r>
    </w:p>
    <w:p>
      <w:pPr>
        <w:pStyle w:val="Normal"/>
        <w:widowControl w:val="false"/>
        <w:spacing w:before="120" w:after="0"/>
        <w:ind w:firstLine="707"/>
        <w:jc w:val="both"/>
        <w:rPr>
          <w:sz w:val="28"/>
          <w:szCs w:val="28"/>
          <w:lang w:val="nl-NL"/>
        </w:rPr>
      </w:pPr>
      <w:r>
        <w:rPr>
          <w:spacing w:val="4"/>
          <w:sz w:val="28"/>
          <w:szCs w:val="28"/>
        </w:rPr>
        <w:t>Tổ chức</w:t>
      </w:r>
      <w:r>
        <w:rPr>
          <w:spacing w:val="4"/>
          <w:sz w:val="28"/>
          <w:szCs w:val="28"/>
          <w:lang w:val="vi-VN"/>
        </w:rPr>
        <w:t xml:space="preserve"> </w:t>
      </w:r>
      <w:r>
        <w:rPr>
          <w:color w:val="000000"/>
          <w:sz w:val="28"/>
          <w:szCs w:val="28"/>
        </w:rPr>
        <w:t xml:space="preserve">Tuần lễ quốc gia nước sạch và vệ sinh môi trường nông thôn tại Đắk Lắk; </w:t>
      </w:r>
      <w:r>
        <w:rPr>
          <w:spacing w:val="4"/>
          <w:sz w:val="28"/>
          <w:szCs w:val="28"/>
          <w:lang w:val="vi-VN"/>
        </w:rPr>
        <w:t>Tuần lễ Quốc gia về Phòng chống thiên tai năm 2022</w:t>
      </w:r>
      <w:r>
        <w:rPr>
          <w:spacing w:val="4"/>
          <w:sz w:val="28"/>
          <w:szCs w:val="28"/>
        </w:rPr>
        <w:t>; Lễ trao giải Báo chí toàn quốc về PCTT;</w:t>
      </w:r>
      <w:r>
        <w:rPr>
          <w:spacing w:val="4"/>
          <w:sz w:val="28"/>
          <w:szCs w:val="28"/>
          <w:lang w:val="vi-VN"/>
        </w:rPr>
        <w:t xml:space="preserve"> công bố kết quả đánh giá công tác PCTT cấp tỉnh năm.</w:t>
      </w:r>
      <w:r>
        <w:rPr>
          <w:spacing w:val="4"/>
          <w:sz w:val="28"/>
          <w:szCs w:val="28"/>
        </w:rPr>
        <w:t xml:space="preserve"> </w:t>
      </w:r>
      <w:r>
        <w:rPr>
          <w:sz w:val="28"/>
          <w:szCs w:val="28"/>
        </w:rPr>
        <w:t xml:space="preserve">Hoàn thiện Dự thảo Nghị định sửa đổi Nghị định </w:t>
      </w:r>
      <w:r>
        <w:rPr>
          <w:rStyle w:val="Fontstyle01"/>
          <w:rFonts w:cs="Times New Roman"/>
          <w:color w:val="000000"/>
        </w:rPr>
        <w:t xml:space="preserve">số 02/2017/NĐ-CP ngày 09/01/2017 trên cơ sở tiếp thu ý kiến bộ, ngành, địa phương. </w:t>
      </w:r>
    </w:p>
    <w:p>
      <w:pPr>
        <w:pStyle w:val="Normal"/>
        <w:widowControl w:val="false"/>
        <w:tabs>
          <w:tab w:val="clear" w:pos="720"/>
          <w:tab w:val="left" w:pos="0" w:leader="none"/>
          <w:tab w:val="left" w:pos="567" w:leader="none"/>
        </w:tabs>
        <w:spacing w:before="120" w:after="0"/>
        <w:jc w:val="both"/>
        <w:rPr/>
      </w:pPr>
      <w:r>
        <w:rPr>
          <w:sz w:val="28"/>
          <w:szCs w:val="28"/>
          <w:lang w:val="vi-VN"/>
        </w:rPr>
        <w:tab/>
        <w:tab/>
        <w:t xml:space="preserve">Trong tháng, nước ta đã chịu ảnh hưởng của </w:t>
      </w:r>
      <w:r>
        <w:rPr>
          <w:sz w:val="28"/>
          <w:szCs w:val="28"/>
        </w:rPr>
        <w:t>23</w:t>
      </w:r>
      <w:r>
        <w:rPr>
          <w:sz w:val="28"/>
          <w:szCs w:val="28"/>
          <w:lang w:val="vi-VN"/>
        </w:rPr>
        <w:t xml:space="preserve"> trận mưa lớn; 10 trận mưa dông, lốc, sét; 12 trận động đất </w:t>
      </w:r>
      <w:r>
        <w:rPr>
          <w:sz w:val="28"/>
          <w:szCs w:val="28"/>
        </w:rPr>
        <w:t>làm</w:t>
      </w:r>
      <w:r>
        <w:rPr>
          <w:sz w:val="28"/>
          <w:szCs w:val="28"/>
          <w:lang w:val="vi-VN"/>
        </w:rPr>
        <w:t xml:space="preserve"> 1</w:t>
      </w:r>
      <w:r>
        <w:rPr>
          <w:sz w:val="28"/>
          <w:szCs w:val="28"/>
        </w:rPr>
        <w:t>4</w:t>
      </w:r>
      <w:r>
        <w:rPr>
          <w:sz w:val="28"/>
          <w:szCs w:val="28"/>
          <w:lang w:val="vi-VN"/>
        </w:rPr>
        <w:t xml:space="preserve"> người chết, mất tích; 07 người bị thương; </w:t>
      </w:r>
      <w:r>
        <w:rPr>
          <w:sz w:val="28"/>
          <w:szCs w:val="28"/>
        </w:rPr>
        <w:t xml:space="preserve">thiệt hại </w:t>
      </w:r>
      <w:r>
        <w:rPr>
          <w:spacing w:val="4"/>
          <w:sz w:val="28"/>
          <w:szCs w:val="28"/>
          <w:lang w:val="vi-VN"/>
        </w:rPr>
        <w:t>22.603</w:t>
      </w:r>
      <w:r>
        <w:rPr>
          <w:spacing w:val="4"/>
          <w:sz w:val="28"/>
          <w:szCs w:val="28"/>
        </w:rPr>
        <w:t xml:space="preserve"> </w:t>
      </w:r>
      <w:r>
        <w:rPr>
          <w:spacing w:val="4"/>
          <w:sz w:val="28"/>
          <w:szCs w:val="28"/>
          <w:lang w:val="vi-VN"/>
        </w:rPr>
        <w:t xml:space="preserve">ha </w:t>
      </w:r>
      <w:r>
        <w:rPr>
          <w:sz w:val="28"/>
          <w:szCs w:val="28"/>
          <w:lang w:val="vi-VN"/>
        </w:rPr>
        <w:t xml:space="preserve">lúa, </w:t>
      </w:r>
      <w:r>
        <w:rPr>
          <w:spacing w:val="4"/>
          <w:sz w:val="28"/>
          <w:szCs w:val="28"/>
          <w:lang w:val="vi-VN"/>
        </w:rPr>
        <w:t>4.259</w:t>
      </w:r>
      <w:r>
        <w:rPr>
          <w:spacing w:val="4"/>
          <w:sz w:val="28"/>
          <w:szCs w:val="28"/>
        </w:rPr>
        <w:t xml:space="preserve"> </w:t>
      </w:r>
      <w:r>
        <w:rPr>
          <w:sz w:val="28"/>
          <w:szCs w:val="28"/>
          <w:lang w:val="vi-VN"/>
        </w:rPr>
        <w:t xml:space="preserve">ha hoa màu, </w:t>
      </w:r>
      <w:r>
        <w:rPr>
          <w:spacing w:val="4"/>
          <w:sz w:val="28"/>
          <w:szCs w:val="28"/>
          <w:lang w:val="vi-VN"/>
        </w:rPr>
        <w:t>1.888ha cây trồng khác</w:t>
      </w:r>
      <w:r>
        <w:rPr>
          <w:sz w:val="28"/>
          <w:szCs w:val="28"/>
          <w:lang w:val="vi-VN"/>
        </w:rPr>
        <w:t xml:space="preserve">; </w:t>
      </w:r>
      <w:r>
        <w:rPr>
          <w:spacing w:val="4"/>
          <w:sz w:val="28"/>
          <w:szCs w:val="28"/>
          <w:lang w:val="vi-VN"/>
        </w:rPr>
        <w:t xml:space="preserve">14.595 </w:t>
      </w:r>
      <w:r>
        <w:rPr>
          <w:sz w:val="28"/>
          <w:szCs w:val="28"/>
        </w:rPr>
        <w:t>c</w:t>
      </w:r>
      <w:r>
        <w:rPr>
          <w:sz w:val="28"/>
          <w:szCs w:val="28"/>
          <w:lang w:val="vi-VN"/>
        </w:rPr>
        <w:t>on gia súc</w:t>
      </w:r>
      <w:r>
        <w:rPr>
          <w:sz w:val="28"/>
          <w:szCs w:val="28"/>
        </w:rPr>
        <w:t>, gia cầm</w:t>
      </w:r>
      <w:r>
        <w:rPr>
          <w:sz w:val="28"/>
          <w:szCs w:val="28"/>
          <w:lang w:val="vi-VN"/>
        </w:rPr>
        <w:t xml:space="preserve">; </w:t>
      </w:r>
      <w:r>
        <w:rPr>
          <w:sz w:val="28"/>
          <w:szCs w:val="28"/>
        </w:rPr>
        <w:t xml:space="preserve">47 </w:t>
      </w:r>
      <w:r>
        <w:rPr>
          <w:sz w:val="28"/>
          <w:szCs w:val="28"/>
          <w:lang w:val="vi-VN"/>
        </w:rPr>
        <w:t xml:space="preserve">ha nuôi trồng thuỷ sản thiệt hại; </w:t>
      </w:r>
      <w:r>
        <w:rPr>
          <w:sz w:val="28"/>
          <w:szCs w:val="28"/>
        </w:rPr>
        <w:t>142</w:t>
      </w:r>
      <w:r>
        <w:rPr>
          <w:sz w:val="28"/>
          <w:szCs w:val="28"/>
          <w:lang w:val="vi-VN"/>
        </w:rPr>
        <w:t xml:space="preserve"> lồng bè nuôi trồng thủy sản bị thiệt hại.</w:t>
      </w:r>
      <w:r>
        <w:rPr>
          <w:sz w:val="28"/>
          <w:szCs w:val="28"/>
        </w:rPr>
        <w:t xml:space="preserve"> </w:t>
      </w:r>
      <w:r>
        <w:rPr>
          <w:sz w:val="28"/>
          <w:szCs w:val="28"/>
          <w:lang w:val="vi-VN"/>
        </w:rPr>
        <w:t xml:space="preserve">Thiệt hại về kinh tế ước tính khoảng </w:t>
      </w:r>
      <w:r>
        <w:rPr>
          <w:sz w:val="28"/>
          <w:szCs w:val="28"/>
        </w:rPr>
        <w:t>417</w:t>
      </w:r>
      <w:r>
        <w:rPr>
          <w:sz w:val="28"/>
          <w:szCs w:val="28"/>
          <w:lang w:val="vi-VN"/>
        </w:rPr>
        <w:t xml:space="preserve"> tỷ đồng</w:t>
      </w:r>
      <w:r>
        <w:rPr>
          <w:sz w:val="28"/>
          <w:szCs w:val="28"/>
        </w:rPr>
        <w:t>;</w:t>
      </w:r>
      <w:r>
        <w:rPr>
          <w:sz w:val="28"/>
          <w:szCs w:val="28"/>
          <w:lang w:val="vi-VN"/>
        </w:rPr>
        <w:t xml:space="preserve"> thiệt hại </w:t>
      </w:r>
      <w:r>
        <w:rPr>
          <w:sz w:val="28"/>
          <w:szCs w:val="28"/>
        </w:rPr>
        <w:t>5</w:t>
      </w:r>
      <w:r>
        <w:rPr>
          <w:sz w:val="28"/>
          <w:szCs w:val="28"/>
          <w:lang w:val="vi-VN"/>
        </w:rPr>
        <w:t xml:space="preserve"> tháng đầu năm khoảng </w:t>
      </w:r>
      <w:r>
        <w:rPr>
          <w:sz w:val="28"/>
          <w:szCs w:val="28"/>
        </w:rPr>
        <w:t>3.812</w:t>
      </w:r>
      <w:r>
        <w:rPr>
          <w:sz w:val="28"/>
          <w:szCs w:val="28"/>
          <w:lang w:val="vi-VN"/>
        </w:rPr>
        <w:t xml:space="preserve"> tỷ đồng.</w:t>
      </w:r>
    </w:p>
    <w:p>
      <w:pPr>
        <w:pStyle w:val="Normal"/>
        <w:widowControl w:val="false"/>
        <w:spacing w:before="120" w:after="0"/>
        <w:ind w:firstLine="720"/>
        <w:jc w:val="both"/>
        <w:rPr/>
      </w:pPr>
      <w:bookmarkStart w:id="15" w:name="_Hlk36194168"/>
      <w:bookmarkEnd w:id="15"/>
      <w:r>
        <w:rPr>
          <w:b/>
          <w:sz w:val="28"/>
          <w:szCs w:val="28"/>
        </w:rPr>
        <w:t>6</w:t>
      </w:r>
      <w:r>
        <w:rPr>
          <w:b/>
          <w:sz w:val="28"/>
          <w:szCs w:val="28"/>
          <w:lang w:val="vi-VN"/>
        </w:rPr>
        <w:t>. Đầu tư xây dựng cơ bản</w:t>
      </w:r>
    </w:p>
    <w:p>
      <w:pPr>
        <w:pStyle w:val="Normal"/>
        <w:tabs>
          <w:tab w:val="clear" w:pos="720"/>
          <w:tab w:val="left" w:pos="1800" w:leader="none"/>
        </w:tabs>
        <w:spacing w:before="120" w:after="0"/>
        <w:ind w:firstLine="720"/>
        <w:jc w:val="both"/>
        <w:rPr>
          <w:sz w:val="28"/>
          <w:szCs w:val="28"/>
          <w:lang w:eastAsia="zh-CN"/>
        </w:rPr>
      </w:pPr>
      <w:r>
        <w:rPr>
          <w:rFonts w:eastAsia="MS Mincho;Yu Gothic UI"/>
          <w:sz w:val="28"/>
          <w:szCs w:val="28"/>
          <w:lang w:eastAsia="ja-JP"/>
        </w:rPr>
        <w:t>Rà soát, phân nhóm các dự án gộp để có phương án điều chỉnh nhằm đẩy nhanh tiến độ thực hiện</w:t>
      </w:r>
      <w:r>
        <w:rPr>
          <w:rFonts w:eastAsia="MS Mincho;Yu Gothic UI"/>
          <w:iCs/>
          <w:sz w:val="28"/>
          <w:szCs w:val="28"/>
          <w:lang w:eastAsia="ja-JP"/>
        </w:rPr>
        <w:t xml:space="preserve">; </w:t>
      </w:r>
      <w:r>
        <w:rPr>
          <w:sz w:val="28"/>
          <w:szCs w:val="28"/>
          <w:lang w:eastAsia="zh-CN"/>
        </w:rPr>
        <w:t xml:space="preserve">Đôn đốc các chủ đầu tư khẩn trương hoàn thiện hồ sơ BCNCKT các dự án khởi công trong năm 2022, xin ý kiến thỏa thuận của Bộ Tài chính đối với một số dự án khối trường </w:t>
      </w:r>
      <w:r>
        <w:rPr>
          <w:sz w:val="28"/>
          <w:szCs w:val="28"/>
        </w:rPr>
        <w:t>thuộc khu vực Đồng bằng sông Cửu Long, TP. Hồ Chí Minh và Tây Nguyên</w:t>
      </w:r>
      <w:r>
        <w:rPr>
          <w:sz w:val="28"/>
          <w:szCs w:val="28"/>
          <w:lang w:eastAsia="zh-CN"/>
        </w:rPr>
        <w:t xml:space="preserve">. </w:t>
      </w:r>
      <w:r>
        <w:rPr>
          <w:sz w:val="28"/>
          <w:szCs w:val="28"/>
        </w:rPr>
        <w:t>Điều chỉnh 03 dự án đầu tư xây dựng công trình</w:t>
      </w:r>
      <w:r>
        <w:rPr>
          <w:rStyle w:val="FootnoteCharacters"/>
          <w:rStyle w:val="FootnoteAnchor"/>
          <w:sz w:val="28"/>
          <w:szCs w:val="28"/>
        </w:rPr>
        <w:footnoteReference w:id="10"/>
      </w:r>
      <w:r>
        <w:rPr>
          <w:sz w:val="28"/>
          <w:szCs w:val="28"/>
        </w:rPr>
        <w:t xml:space="preserve">, phê duyệt 03 dự án mới </w:t>
      </w:r>
      <w:r>
        <w:rPr>
          <w:rStyle w:val="FootnoteCharacters"/>
          <w:rStyle w:val="FootnoteAnchor"/>
          <w:sz w:val="28"/>
          <w:szCs w:val="28"/>
        </w:rPr>
        <w:footnoteReference w:id="11"/>
      </w:r>
      <w:r>
        <w:rPr>
          <w:sz w:val="28"/>
          <w:szCs w:val="28"/>
        </w:rPr>
        <w:t>.</w:t>
      </w:r>
    </w:p>
    <w:p>
      <w:pPr>
        <w:pStyle w:val="TextBodyIndent"/>
        <w:widowControl w:val="false"/>
        <w:ind w:firstLine="601"/>
        <w:rPr>
          <w:rFonts w:ascii="Times New Roman" w:hAnsi="Times New Roman" w:cs="Times New Roman"/>
          <w:sz w:val="28"/>
          <w:szCs w:val="28"/>
        </w:rPr>
      </w:pPr>
      <w:r>
        <w:rPr>
          <w:rFonts w:cs="Times New Roman" w:ascii="Times New Roman" w:hAnsi="Times New Roman"/>
          <w:sz w:val="28"/>
          <w:szCs w:val="28"/>
          <w:lang w:val="en-US"/>
        </w:rPr>
        <w:t xml:space="preserve">5 tháng đầu năm, Bộ </w:t>
      </w:r>
      <w:r>
        <w:rPr>
          <w:rFonts w:cs="Times New Roman" w:ascii="Times New Roman" w:hAnsi="Times New Roman"/>
          <w:sz w:val="28"/>
          <w:szCs w:val="28"/>
          <w:lang w:val="af-ZA"/>
        </w:rPr>
        <w:t xml:space="preserve">đã phân bổ hết 6.438 tỷ đồng; trong đó, </w:t>
      </w:r>
      <w:r>
        <w:rPr>
          <w:rFonts w:cs="Times New Roman" w:ascii="Times New Roman" w:hAnsi="Times New Roman"/>
          <w:sz w:val="28"/>
          <w:szCs w:val="28"/>
        </w:rPr>
        <w:t>vốn trong nước là 4.538 tỷ đồng, vốn ODA 1.900 tỷ đồng;</w:t>
      </w:r>
      <w:r>
        <w:rPr>
          <w:rFonts w:cs="Times New Roman" w:ascii="Times New Roman" w:hAnsi="Times New Roman"/>
          <w:sz w:val="28"/>
          <w:szCs w:val="28"/>
          <w:lang w:val="en-US"/>
        </w:rPr>
        <w:t xml:space="preserve"> khối lượng giải ngân đạt khoảng </w:t>
      </w:r>
      <w:r>
        <w:rPr>
          <w:rFonts w:cs="Times New Roman" w:ascii="Times New Roman" w:hAnsi="Times New Roman"/>
          <w:sz w:val="28"/>
          <w:szCs w:val="28"/>
          <w:lang w:val="af-ZA"/>
        </w:rPr>
        <w:t>1.162 tỷ đồng, đạt 18,0% vốn đã giao</w:t>
      </w:r>
      <w:r>
        <w:rPr>
          <w:rFonts w:cs="Times New Roman" w:ascii="Times New Roman" w:hAnsi="Times New Roman"/>
          <w:sz w:val="28"/>
          <w:szCs w:val="28"/>
          <w:lang w:val="en-US"/>
        </w:rPr>
        <w:t xml:space="preserve"> , cụ thể:</w:t>
      </w:r>
    </w:p>
    <w:p>
      <w:pPr>
        <w:pStyle w:val="Normal"/>
        <w:widowControl w:val="false"/>
        <w:shd w:fill="FFFFFF" w:val="clear"/>
        <w:spacing w:before="120" w:after="0"/>
        <w:ind w:right="113" w:firstLine="720"/>
        <w:jc w:val="right"/>
        <w:textAlignment w:val="baseline"/>
        <w:rPr>
          <w:i/>
          <w:i/>
          <w:sz w:val="28"/>
          <w:szCs w:val="28"/>
          <w:lang w:val="af-ZA"/>
        </w:rPr>
      </w:pPr>
      <w:r>
        <w:rPr>
          <w:i/>
          <w:sz w:val="28"/>
          <w:szCs w:val="28"/>
          <w:lang w:val="af-ZA"/>
        </w:rPr>
        <w:t>Đơn vị: Tỷ đồng</w:t>
      </w:r>
    </w:p>
    <w:tbl>
      <w:tblPr>
        <w:tblW w:w="8749" w:type="dxa"/>
        <w:jc w:val="center"/>
        <w:tblInd w:w="0" w:type="dxa"/>
        <w:tblLayout w:type="fixed"/>
        <w:tblCellMar>
          <w:top w:w="0" w:type="dxa"/>
          <w:left w:w="108" w:type="dxa"/>
          <w:bottom w:w="0" w:type="dxa"/>
          <w:right w:w="108" w:type="dxa"/>
        </w:tblCellMar>
      </w:tblPr>
      <w:tblGrid>
        <w:gridCol w:w="2567"/>
        <w:gridCol w:w="1326"/>
        <w:gridCol w:w="1747"/>
        <w:gridCol w:w="1266"/>
        <w:gridCol w:w="1843"/>
      </w:tblGrid>
      <w:tr>
        <w:trPr>
          <w:trHeight w:val="585" w:hRule="atLeast"/>
        </w:trPr>
        <w:tc>
          <w:tcPr>
            <w:tcW w:w="256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0"/>
              <w:jc w:val="center"/>
              <w:rPr>
                <w:b/>
                <w:b/>
                <w:sz w:val="28"/>
                <w:szCs w:val="28"/>
              </w:rPr>
            </w:pPr>
            <w:r>
              <w:rPr>
                <w:b/>
                <w:sz w:val="28"/>
                <w:szCs w:val="28"/>
              </w:rPr>
              <w:t>Nội dung</w:t>
            </w:r>
          </w:p>
        </w:tc>
        <w:tc>
          <w:tcPr>
            <w:tcW w:w="132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0"/>
              <w:jc w:val="center"/>
              <w:rPr>
                <w:b/>
                <w:b/>
                <w:bCs/>
                <w:sz w:val="28"/>
                <w:szCs w:val="28"/>
              </w:rPr>
            </w:pPr>
            <w:r>
              <w:rPr>
                <w:b/>
                <w:bCs/>
                <w:sz w:val="28"/>
                <w:szCs w:val="28"/>
              </w:rPr>
              <w:t>KH 2022 được giao</w:t>
            </w:r>
          </w:p>
        </w:tc>
        <w:tc>
          <w:tcPr>
            <w:tcW w:w="174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0"/>
              <w:jc w:val="center"/>
              <w:rPr>
                <w:b/>
                <w:b/>
                <w:bCs/>
                <w:sz w:val="28"/>
                <w:szCs w:val="28"/>
              </w:rPr>
            </w:pPr>
            <w:r>
              <w:rPr>
                <w:b/>
                <w:bCs/>
                <w:sz w:val="28"/>
                <w:szCs w:val="28"/>
              </w:rPr>
              <w:t>KH 2022 Bộ đã phân bổ</w:t>
            </w:r>
          </w:p>
        </w:tc>
        <w:tc>
          <w:tcPr>
            <w:tcW w:w="310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0"/>
              <w:jc w:val="center"/>
              <w:rPr>
                <w:b/>
                <w:b/>
                <w:bCs/>
                <w:sz w:val="28"/>
                <w:szCs w:val="28"/>
              </w:rPr>
            </w:pPr>
            <w:r>
              <w:rPr>
                <w:b/>
                <w:bCs/>
                <w:sz w:val="28"/>
                <w:szCs w:val="28"/>
              </w:rPr>
              <w:t>Dự kiến giải ngân từ đầu năm đến hết 30/4</w:t>
            </w:r>
          </w:p>
        </w:tc>
      </w:tr>
      <w:tr>
        <w:trPr>
          <w:trHeight w:val="356" w:hRule="atLeast"/>
        </w:trPr>
        <w:tc>
          <w:tcPr>
            <w:tcW w:w="25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0"/>
              <w:rPr>
                <w:b/>
                <w:b/>
                <w:bCs/>
                <w:sz w:val="28"/>
                <w:szCs w:val="28"/>
              </w:rPr>
            </w:pPr>
            <w:r>
              <w:rPr>
                <w:b/>
                <w:bCs/>
                <w:sz w:val="28"/>
                <w:szCs w:val="28"/>
              </w:rPr>
            </w:r>
          </w:p>
        </w:tc>
        <w:tc>
          <w:tcPr>
            <w:tcW w:w="132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0"/>
              <w:rPr>
                <w:b/>
                <w:b/>
                <w:bCs/>
                <w:sz w:val="28"/>
                <w:szCs w:val="28"/>
              </w:rPr>
            </w:pPr>
            <w:r>
              <w:rPr>
                <w:b/>
                <w:bCs/>
                <w:sz w:val="28"/>
                <w:szCs w:val="28"/>
              </w:rPr>
            </w:r>
          </w:p>
        </w:tc>
        <w:tc>
          <w:tcPr>
            <w:tcW w:w="174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0"/>
              <w:rPr>
                <w:b/>
                <w:b/>
                <w:bCs/>
                <w:sz w:val="28"/>
                <w:szCs w:val="28"/>
              </w:rPr>
            </w:pPr>
            <w:r>
              <w:rPr>
                <w:b/>
                <w:bCs/>
                <w:sz w:val="28"/>
                <w:szCs w:val="28"/>
              </w:rPr>
            </w:r>
          </w:p>
        </w:tc>
        <w:tc>
          <w:tcPr>
            <w:tcW w:w="126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0"/>
              <w:jc w:val="center"/>
              <w:rPr>
                <w:sz w:val="28"/>
                <w:szCs w:val="28"/>
              </w:rPr>
            </w:pPr>
            <w:r>
              <w:rPr>
                <w:sz w:val="28"/>
                <w:szCs w:val="28"/>
              </w:rPr>
              <w:t>Số vốn</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0"/>
              <w:jc w:val="center"/>
              <w:rPr>
                <w:iCs/>
                <w:sz w:val="28"/>
                <w:szCs w:val="28"/>
              </w:rPr>
            </w:pPr>
            <w:r>
              <w:rPr>
                <w:iCs/>
                <w:sz w:val="28"/>
                <w:szCs w:val="28"/>
              </w:rPr>
              <w:t>Tỷ lệ %</w:t>
            </w:r>
          </w:p>
        </w:tc>
      </w:tr>
      <w:tr>
        <w:trPr>
          <w:trHeight w:val="300" w:hRule="atLeast"/>
        </w:trPr>
        <w:tc>
          <w:tcPr>
            <w:tcW w:w="25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rPr>
                <w:b/>
                <w:b/>
                <w:sz w:val="28"/>
                <w:szCs w:val="28"/>
              </w:rPr>
            </w:pPr>
            <w:r>
              <w:rPr>
                <w:b/>
                <w:sz w:val="28"/>
                <w:szCs w:val="28"/>
              </w:rPr>
              <w:t>Tổng</w:t>
            </w:r>
          </w:p>
        </w:tc>
        <w:tc>
          <w:tcPr>
            <w:tcW w:w="13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
                <w:b/>
                <w:sz w:val="28"/>
                <w:szCs w:val="28"/>
              </w:rPr>
            </w:pPr>
            <w:r>
              <w:rPr>
                <w:b/>
                <w:sz w:val="28"/>
                <w:szCs w:val="28"/>
              </w:rPr>
              <w:t>6.438</w:t>
            </w:r>
          </w:p>
        </w:tc>
        <w:tc>
          <w:tcPr>
            <w:tcW w:w="17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
                <w:b/>
                <w:sz w:val="28"/>
                <w:szCs w:val="28"/>
              </w:rPr>
            </w:pPr>
            <w:r>
              <w:rPr>
                <w:b/>
                <w:sz w:val="28"/>
                <w:szCs w:val="28"/>
              </w:rPr>
              <w:t>6.438</w:t>
            </w:r>
          </w:p>
        </w:tc>
        <w:tc>
          <w:tcPr>
            <w:tcW w:w="12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pPr>
            <w:r>
              <w:rPr>
                <w:b/>
                <w:sz w:val="28"/>
                <w:szCs w:val="28"/>
              </w:rPr>
              <w:t xml:space="preserve">1.162 </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
                <w:b/>
                <w:sz w:val="28"/>
                <w:szCs w:val="28"/>
              </w:rPr>
            </w:pPr>
            <w:r>
              <w:rPr>
                <w:b/>
                <w:sz w:val="28"/>
                <w:szCs w:val="28"/>
              </w:rPr>
              <w:t>18,0%</w:t>
            </w:r>
          </w:p>
        </w:tc>
      </w:tr>
      <w:tr>
        <w:trPr>
          <w:trHeight w:val="300" w:hRule="atLeast"/>
        </w:trPr>
        <w:tc>
          <w:tcPr>
            <w:tcW w:w="25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rPr>
                <w:sz w:val="28"/>
                <w:szCs w:val="28"/>
              </w:rPr>
            </w:pPr>
            <w:r>
              <w:rPr>
                <w:sz w:val="28"/>
                <w:szCs w:val="28"/>
              </w:rPr>
              <w:t>Vốn trong nước</w:t>
            </w:r>
          </w:p>
        </w:tc>
        <w:tc>
          <w:tcPr>
            <w:tcW w:w="13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sz w:val="28"/>
                <w:szCs w:val="28"/>
              </w:rPr>
            </w:pPr>
            <w:r>
              <w:rPr>
                <w:sz w:val="28"/>
                <w:szCs w:val="28"/>
              </w:rPr>
              <w:t>4.538</w:t>
            </w:r>
          </w:p>
        </w:tc>
        <w:tc>
          <w:tcPr>
            <w:tcW w:w="17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sz w:val="28"/>
                <w:szCs w:val="28"/>
              </w:rPr>
            </w:pPr>
            <w:r>
              <w:rPr>
                <w:sz w:val="28"/>
                <w:szCs w:val="28"/>
              </w:rPr>
              <w:t>4.538</w:t>
            </w:r>
          </w:p>
        </w:tc>
        <w:tc>
          <w:tcPr>
            <w:tcW w:w="12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pPr>
            <w:r>
              <w:rPr>
                <w:bCs/>
                <w:sz w:val="28"/>
                <w:szCs w:val="28"/>
              </w:rPr>
              <w:t xml:space="preserve">815 </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pPr>
            <w:r>
              <w:rPr>
                <w:bCs/>
                <w:sz w:val="28"/>
                <w:szCs w:val="28"/>
              </w:rPr>
              <w:t>18,0%</w:t>
            </w:r>
          </w:p>
        </w:tc>
      </w:tr>
      <w:tr>
        <w:trPr>
          <w:trHeight w:val="300" w:hRule="atLeast"/>
        </w:trPr>
        <w:tc>
          <w:tcPr>
            <w:tcW w:w="25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rPr>
                <w:sz w:val="28"/>
                <w:szCs w:val="28"/>
              </w:rPr>
            </w:pPr>
            <w:r>
              <w:rPr>
                <w:sz w:val="28"/>
                <w:szCs w:val="28"/>
              </w:rPr>
              <w:t>Vốn ODA</w:t>
            </w:r>
          </w:p>
        </w:tc>
        <w:tc>
          <w:tcPr>
            <w:tcW w:w="13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sz w:val="28"/>
                <w:szCs w:val="28"/>
              </w:rPr>
            </w:pPr>
            <w:r>
              <w:rPr>
                <w:sz w:val="28"/>
                <w:szCs w:val="28"/>
              </w:rPr>
              <w:t>1.900</w:t>
            </w:r>
          </w:p>
        </w:tc>
        <w:tc>
          <w:tcPr>
            <w:tcW w:w="17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sz w:val="28"/>
                <w:szCs w:val="28"/>
              </w:rPr>
            </w:pPr>
            <w:r>
              <w:rPr>
                <w:sz w:val="28"/>
                <w:szCs w:val="28"/>
              </w:rPr>
              <w:t>1.900</w:t>
            </w:r>
          </w:p>
        </w:tc>
        <w:tc>
          <w:tcPr>
            <w:tcW w:w="12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Cs/>
                <w:sz w:val="28"/>
                <w:szCs w:val="28"/>
              </w:rPr>
            </w:pPr>
            <w:r>
              <w:rPr>
                <w:bCs/>
                <w:sz w:val="28"/>
                <w:szCs w:val="28"/>
              </w:rPr>
              <w:t>347</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right"/>
              <w:rPr>
                <w:bCs/>
                <w:sz w:val="28"/>
                <w:szCs w:val="28"/>
              </w:rPr>
            </w:pPr>
            <w:r>
              <w:rPr>
                <w:bCs/>
                <w:sz w:val="28"/>
                <w:szCs w:val="28"/>
              </w:rPr>
              <w:t>18,3%</w:t>
            </w:r>
          </w:p>
        </w:tc>
      </w:tr>
    </w:tbl>
    <w:p>
      <w:pPr>
        <w:pStyle w:val="Normal"/>
        <w:widowControl w:val="false"/>
        <w:shd w:fill="FFFFFF" w:val="clear"/>
        <w:spacing w:before="120" w:after="0"/>
        <w:jc w:val="both"/>
        <w:textAlignment w:val="baseline"/>
        <w:rPr/>
      </w:pPr>
      <w:r>
        <w:rPr>
          <w:sz w:val="28"/>
          <w:szCs w:val="28"/>
          <w:lang w:val="af-ZA"/>
        </w:rPr>
        <w:tab/>
      </w:r>
      <w:r>
        <w:rPr>
          <w:b/>
          <w:sz w:val="28"/>
          <w:szCs w:val="28"/>
        </w:rPr>
        <w:t>7</w:t>
      </w:r>
      <w:r>
        <w:rPr>
          <w:b/>
          <w:sz w:val="28"/>
          <w:szCs w:val="28"/>
          <w:lang w:val="vi-VN"/>
        </w:rPr>
        <w:t>. Phát triển nông thôn và xây dựng nông thôn mới</w:t>
      </w:r>
    </w:p>
    <w:p>
      <w:pPr>
        <w:pStyle w:val="Normal"/>
        <w:spacing w:before="120" w:after="0"/>
        <w:ind w:firstLine="720"/>
        <w:jc w:val="both"/>
        <w:rPr>
          <w:sz w:val="28"/>
          <w:szCs w:val="28"/>
        </w:rPr>
      </w:pPr>
      <w:r>
        <w:rPr>
          <w:sz w:val="28"/>
          <w:szCs w:val="28"/>
        </w:rPr>
        <w:t>C</w:t>
      </w:r>
      <w:r>
        <w:rPr>
          <w:sz w:val="28"/>
          <w:szCs w:val="28"/>
          <w:lang w:val="vi-VN"/>
        </w:rPr>
        <w:t xml:space="preserve">ả nước có 18.488 HTX nông nghiệp, </w:t>
      </w:r>
      <w:r>
        <w:rPr>
          <w:sz w:val="28"/>
          <w:szCs w:val="28"/>
        </w:rPr>
        <w:t xml:space="preserve">tỷ lệ </w:t>
      </w:r>
      <w:r>
        <w:rPr>
          <w:sz w:val="28"/>
          <w:szCs w:val="28"/>
          <w:lang w:val="vi-VN"/>
        </w:rPr>
        <w:t>HTX hoạt động hiệu quả</w:t>
      </w:r>
      <w:r>
        <w:rPr>
          <w:sz w:val="28"/>
          <w:szCs w:val="28"/>
        </w:rPr>
        <w:t xml:space="preserve"> </w:t>
      </w:r>
      <w:r>
        <w:rPr>
          <w:sz w:val="28"/>
          <w:szCs w:val="28"/>
          <w:lang w:val="vi-VN"/>
        </w:rPr>
        <w:t xml:space="preserve">chiếm </w:t>
      </w:r>
      <w:r>
        <w:rPr>
          <w:sz w:val="28"/>
          <w:szCs w:val="28"/>
        </w:rPr>
        <w:t>trên</w:t>
      </w:r>
      <w:r>
        <w:rPr>
          <w:sz w:val="28"/>
          <w:szCs w:val="28"/>
          <w:lang w:val="vi-VN"/>
        </w:rPr>
        <w:t xml:space="preserve"> </w:t>
      </w:r>
      <w:r>
        <w:rPr>
          <w:sz w:val="28"/>
          <w:szCs w:val="28"/>
        </w:rPr>
        <w:t>60</w:t>
      </w:r>
      <w:r>
        <w:rPr>
          <w:sz w:val="28"/>
          <w:szCs w:val="28"/>
          <w:lang w:val="vi-VN"/>
        </w:rPr>
        <w:t>% tổng số HTX NN cả nước.</w:t>
      </w:r>
      <w:r>
        <w:rPr>
          <w:sz w:val="28"/>
          <w:szCs w:val="28"/>
        </w:rPr>
        <w:t xml:space="preserve"> </w:t>
      </w:r>
      <w:r>
        <w:rPr>
          <w:sz w:val="28"/>
          <w:szCs w:val="28"/>
          <w:lang w:val="af-ZA"/>
        </w:rPr>
        <w:t xml:space="preserve">Hiện, cả nước có </w:t>
      </w:r>
      <w:r>
        <w:rPr>
          <w:bCs/>
          <w:sz w:val="28"/>
          <w:szCs w:val="28"/>
          <w:lang w:val="af-ZA"/>
        </w:rPr>
        <w:t>5.760 xã</w:t>
      </w:r>
      <w:r>
        <w:rPr>
          <w:sz w:val="28"/>
          <w:szCs w:val="28"/>
          <w:lang w:val="af-ZA"/>
        </w:rPr>
        <w:t>/8.2</w:t>
      </w:r>
      <w:r>
        <w:rPr>
          <w:sz w:val="28"/>
          <w:szCs w:val="28"/>
          <w:lang w:val="vi-VN"/>
        </w:rPr>
        <w:t>27</w:t>
      </w:r>
      <w:r>
        <w:rPr>
          <w:sz w:val="28"/>
          <w:szCs w:val="28"/>
          <w:lang w:val="af-ZA"/>
        </w:rPr>
        <w:t xml:space="preserve"> xã </w:t>
      </w:r>
      <w:r>
        <w:rPr>
          <w:bCs/>
          <w:sz w:val="28"/>
          <w:szCs w:val="28"/>
          <w:lang w:val="af-ZA"/>
        </w:rPr>
        <w:t>(</w:t>
      </w:r>
      <w:r>
        <w:rPr>
          <w:bCs/>
          <w:sz w:val="28"/>
          <w:szCs w:val="28"/>
        </w:rPr>
        <w:t>70</w:t>
      </w:r>
      <w:r>
        <w:rPr>
          <w:bCs/>
          <w:sz w:val="28"/>
          <w:szCs w:val="28"/>
          <w:lang w:val="af-ZA"/>
        </w:rPr>
        <w:t>%)</w:t>
      </w:r>
      <w:r>
        <w:rPr>
          <w:sz w:val="28"/>
          <w:szCs w:val="28"/>
          <w:lang w:val="af-ZA"/>
        </w:rPr>
        <w:t xml:space="preserve"> đạt chuẩn nông thôn mới</w:t>
      </w:r>
      <w:r>
        <w:rPr>
          <w:sz w:val="28"/>
          <w:szCs w:val="28"/>
          <w:shd w:fill="FFFFFF" w:val="clear"/>
        </w:rPr>
        <w:t xml:space="preserve">, tăng 54 xã so với tháng trước; có 700 xã đạt chuẩn NTM nâng cao; </w:t>
      </w:r>
      <w:r>
        <w:rPr>
          <w:sz w:val="28"/>
          <w:szCs w:val="28"/>
          <w:lang w:val="de-DE"/>
        </w:rPr>
        <w:t>bình quân cả nước đạt 1</w:t>
      </w:r>
      <w:r>
        <w:rPr>
          <w:sz w:val="28"/>
          <w:szCs w:val="28"/>
          <w:lang w:val="vi-VN"/>
        </w:rPr>
        <w:t>7</w:t>
      </w:r>
      <w:r>
        <w:rPr>
          <w:sz w:val="28"/>
          <w:szCs w:val="28"/>
          <w:lang w:val="de-DE"/>
        </w:rPr>
        <w:t xml:space="preserve"> tiêu chí/xã;</w:t>
      </w:r>
      <w:r>
        <w:rPr>
          <w:sz w:val="28"/>
          <w:szCs w:val="28"/>
          <w:shd w:fill="FFFFFF" w:val="clear"/>
        </w:rPr>
        <w:t xml:space="preserve"> có </w:t>
      </w:r>
      <w:r>
        <w:rPr>
          <w:bCs/>
          <w:sz w:val="28"/>
          <w:szCs w:val="28"/>
          <w:shd w:fill="FFFFFF" w:val="clear"/>
        </w:rPr>
        <w:t>234</w:t>
      </w:r>
      <w:r>
        <w:rPr>
          <w:sz w:val="28"/>
          <w:szCs w:val="28"/>
          <w:shd w:fill="FFFFFF" w:val="clear"/>
        </w:rPr>
        <w:t xml:space="preserve"> đơn vị cấp huyện thuộc 5</w:t>
      </w:r>
      <w:r>
        <w:rPr>
          <w:sz w:val="28"/>
          <w:szCs w:val="28"/>
          <w:shd w:fill="FFFFFF" w:val="clear"/>
          <w:lang w:val="vi-VN"/>
        </w:rPr>
        <w:t>5</w:t>
      </w:r>
      <w:r>
        <w:rPr>
          <w:sz w:val="28"/>
          <w:szCs w:val="28"/>
          <w:shd w:fill="FFFFFF" w:val="clear"/>
        </w:rPr>
        <w:t xml:space="preserve"> tỉnh, thành phố hoàn thành nhiệm vụ/đạt chuẩn NTM. Có </w:t>
      </w:r>
      <w:r>
        <w:rPr>
          <w:bCs/>
          <w:sz w:val="28"/>
          <w:szCs w:val="28"/>
          <w:shd w:fill="FFFFFF" w:val="clear"/>
          <w:lang w:val="vi-VN"/>
        </w:rPr>
        <w:t>1</w:t>
      </w:r>
      <w:r>
        <w:rPr>
          <w:bCs/>
          <w:sz w:val="28"/>
          <w:szCs w:val="28"/>
          <w:shd w:fill="FFFFFF" w:val="clear"/>
        </w:rPr>
        <w:t>6</w:t>
      </w:r>
      <w:r>
        <w:rPr>
          <w:sz w:val="28"/>
          <w:szCs w:val="28"/>
          <w:shd w:fill="FFFFFF" w:val="clear"/>
        </w:rPr>
        <w:t xml:space="preserve"> tỉnh</w:t>
      </w:r>
      <w:r>
        <w:rPr>
          <w:rStyle w:val="FootnoteCharacters"/>
          <w:rStyle w:val="FootnoteAnchor"/>
          <w:sz w:val="28"/>
          <w:szCs w:val="28"/>
          <w:shd w:fill="FFFFFF" w:val="clear"/>
        </w:rPr>
        <w:footnoteReference w:id="12"/>
      </w:r>
      <w:r>
        <w:rPr>
          <w:sz w:val="28"/>
          <w:szCs w:val="28"/>
          <w:shd w:fill="FFFFFF" w:val="clear"/>
        </w:rPr>
        <w:t xml:space="preserve"> có 100% số xã đạt chuẩn NTM. Có 63 tỉnh/thành phố đánh giá, phân hạng và Quyết định công nhận </w:t>
      </w:r>
      <w:r>
        <w:rPr>
          <w:sz w:val="28"/>
          <w:szCs w:val="28"/>
        </w:rPr>
        <w:t xml:space="preserve">7.463 </w:t>
      </w:r>
      <w:r>
        <w:rPr>
          <w:sz w:val="28"/>
          <w:szCs w:val="28"/>
          <w:shd w:fill="FFFFFF" w:val="clear"/>
        </w:rPr>
        <w:t xml:space="preserve">sản phẩm OCOP với </w:t>
      </w:r>
      <w:r>
        <w:rPr>
          <w:bCs/>
          <w:sz w:val="28"/>
          <w:szCs w:val="28"/>
          <w:shd w:fill="FFFFFF" w:val="clear"/>
        </w:rPr>
        <w:t>4.061</w:t>
      </w:r>
      <w:r>
        <w:rPr>
          <w:sz w:val="28"/>
          <w:szCs w:val="28"/>
          <w:shd w:fill="FFFFFF" w:val="clear"/>
        </w:rPr>
        <w:t xml:space="preserve"> chủ thể tham gia. </w:t>
      </w:r>
    </w:p>
    <w:p>
      <w:pPr>
        <w:pStyle w:val="Normal"/>
        <w:spacing w:before="120" w:after="0"/>
        <w:ind w:firstLine="720"/>
        <w:jc w:val="both"/>
        <w:rPr>
          <w:bCs/>
          <w:iCs/>
          <w:sz w:val="28"/>
          <w:szCs w:val="28"/>
        </w:rPr>
      </w:pPr>
      <w:r>
        <w:rPr>
          <w:sz w:val="28"/>
          <w:szCs w:val="28"/>
        </w:rPr>
        <w:t xml:space="preserve">Tập trung hoàn thành hồ sơ Nghị quyết của Chính phủ </w:t>
      </w:r>
      <w:r>
        <w:rPr>
          <w:bCs/>
          <w:iCs/>
          <w:sz w:val="28"/>
          <w:szCs w:val="28"/>
        </w:rPr>
        <w:t xml:space="preserve">về phát triển HTX nông nghiệp phục vụ CCL ngành nông nghiệp và xây dựng NTM; thông tư hướng dẫn thực hiện nội dung hỗ trợ phát triển sản xuất thuộc Chương trình giảm nghèo bền vững giai đoạn 2021-2025. Hướng dẫn 11 tỉnh </w:t>
      </w:r>
      <w:r>
        <w:rPr>
          <w:sz w:val="28"/>
          <w:szCs w:val="28"/>
        </w:rPr>
        <w:t xml:space="preserve">thành lập BCĐ và xây dựng kế hoạch triển khai thực hiện Đề án thí điểm xây dựng vùng nguyên liệu. </w:t>
      </w:r>
      <w:r>
        <w:rPr>
          <w:spacing w:val="-6"/>
          <w:sz w:val="28"/>
          <w:szCs w:val="28"/>
        </w:rPr>
        <w:t xml:space="preserve">Hoàn thiện Đề án “Bảo tồn và phát triển làng nghề Việt Nam giai đoạn 2021-2030”; tiếp tục </w:t>
      </w:r>
      <w:r>
        <w:rPr>
          <w:sz w:val="28"/>
          <w:szCs w:val="28"/>
        </w:rPr>
        <w:t xml:space="preserve">XD </w:t>
      </w:r>
      <w:r>
        <w:rPr>
          <w:rFonts w:eastAsia="SimSun;宋体"/>
          <w:iCs/>
          <w:sz w:val="28"/>
          <w:szCs w:val="28"/>
        </w:rPr>
        <w:t>Chiến lược phát triển ngành nghề nông thôn đến năm 2030.</w:t>
      </w:r>
    </w:p>
    <w:p>
      <w:pPr>
        <w:pStyle w:val="Normal"/>
        <w:spacing w:before="120" w:after="0"/>
        <w:ind w:firstLine="720"/>
        <w:jc w:val="both"/>
        <w:rPr/>
      </w:pPr>
      <w:r>
        <w:rPr>
          <w:bCs/>
          <w:sz w:val="28"/>
          <w:szCs w:val="28"/>
          <w:lang w:val="de-DE" w:eastAsia="ja-JP"/>
        </w:rPr>
        <w:t>Ban hành 03 Quyết định về thành lâp Tổ công tác,</w:t>
      </w:r>
      <w:r>
        <w:rPr>
          <w:bCs/>
          <w:iCs/>
          <w:sz w:val="28"/>
          <w:szCs w:val="28"/>
        </w:rPr>
        <w:t xml:space="preserve"> </w:t>
      </w:r>
      <w:r>
        <w:rPr>
          <w:sz w:val="28"/>
          <w:szCs w:val="28"/>
        </w:rPr>
        <w:t xml:space="preserve">hướng dẫn thực hiện một số tiêu chí, chỉ tiêu và Pd Chương trình truyền thông phục vụ Chương trình NTM. </w:t>
      </w:r>
      <w:r>
        <w:rPr>
          <w:sz w:val="28"/>
          <w:szCs w:val="28"/>
          <w:shd w:fill="FFFFFF" w:val="clear"/>
        </w:rPr>
        <w:t>H</w:t>
      </w:r>
      <w:r>
        <w:rPr>
          <w:iCs/>
          <w:sz w:val="28"/>
          <w:szCs w:val="28"/>
        </w:rPr>
        <w:t>oàn thành hồ sơ trình TTCP xem xét, phê duyệt 05/05 chương trình chuyên đề thuộc Chương trình XD NTM</w:t>
      </w:r>
      <w:r>
        <w:rPr>
          <w:rStyle w:val="FootnoteCharacters"/>
          <w:rStyle w:val="FootnoteAnchor"/>
          <w:iCs/>
          <w:sz w:val="28"/>
          <w:szCs w:val="28"/>
        </w:rPr>
        <w:footnoteReference w:id="13"/>
      </w:r>
      <w:r>
        <w:rPr>
          <w:iCs/>
          <w:sz w:val="28"/>
          <w:szCs w:val="28"/>
        </w:rPr>
        <w:t xml:space="preserve">; </w:t>
      </w:r>
      <w:r>
        <w:rPr>
          <w:bCs/>
          <w:iCs/>
          <w:spacing w:val="-4"/>
          <w:sz w:val="28"/>
          <w:szCs w:val="28"/>
          <w:lang w:val="it-IT"/>
        </w:rPr>
        <w:t xml:space="preserve">hoàn thiện phương án </w:t>
      </w:r>
      <w:r>
        <w:rPr>
          <w:spacing w:val="-4"/>
          <w:sz w:val="28"/>
          <w:szCs w:val="28"/>
        </w:rPr>
        <w:t>phân bổ vốn NSTW thực hiện Chương trình giai đoạn 2021-2025 và năm 2022 báo cáo Chính phủ, TTCP xem xét, trình Ủy ban Thường vụ Quốc hội thông qua.</w:t>
      </w:r>
    </w:p>
    <w:p>
      <w:pPr>
        <w:pStyle w:val="Normal"/>
        <w:spacing w:before="120" w:after="0"/>
        <w:ind w:firstLine="720"/>
        <w:jc w:val="both"/>
        <w:rPr>
          <w:bCs/>
          <w:iCs/>
          <w:sz w:val="28"/>
          <w:szCs w:val="28"/>
          <w:lang w:val="es-ES"/>
        </w:rPr>
      </w:pPr>
      <w:r>
        <w:rPr>
          <w:b/>
          <w:bCs/>
          <w:sz w:val="28"/>
          <w:szCs w:val="28"/>
        </w:rPr>
        <w:t xml:space="preserve">8. </w:t>
      </w:r>
      <w:r>
        <w:rPr>
          <w:b/>
          <w:sz w:val="28"/>
          <w:szCs w:val="28"/>
        </w:rPr>
        <w:t>Công tác khác</w:t>
      </w:r>
    </w:p>
    <w:p>
      <w:pPr>
        <w:pStyle w:val="TextBody"/>
        <w:widowControl w:val="false"/>
        <w:spacing w:before="120" w:after="0"/>
        <w:ind w:firstLine="720"/>
        <w:rPr>
          <w:bCs/>
          <w:iCs/>
          <w:color w:val="000000"/>
          <w:sz w:val="28"/>
          <w:szCs w:val="28"/>
          <w:lang w:val="sv-SE"/>
        </w:rPr>
      </w:pPr>
      <w:r>
        <w:rPr>
          <w:bCs/>
          <w:iCs/>
          <w:color w:val="000000"/>
          <w:sz w:val="28"/>
          <w:szCs w:val="28"/>
          <w:lang w:val="sv-SE"/>
        </w:rPr>
        <w:t xml:space="preserve">a) Kế hoạch, tài chính: </w:t>
      </w:r>
      <w:bookmarkStart w:id="16" w:name="_Hlk83738233"/>
      <w:r>
        <w:rPr>
          <w:bCs/>
          <w:iCs/>
          <w:color w:val="000000"/>
          <w:sz w:val="28"/>
          <w:szCs w:val="28"/>
        </w:rPr>
        <w:t xml:space="preserve">Ban hành </w:t>
      </w:r>
      <w:r>
        <w:rPr>
          <w:bCs/>
          <w:iCs/>
          <w:color w:val="000000"/>
          <w:sz w:val="28"/>
          <w:szCs w:val="28"/>
          <w:lang w:val="sv-SE"/>
        </w:rPr>
        <w:t xml:space="preserve">kế hoạch triển khai thực hiện </w:t>
      </w:r>
      <w:bookmarkEnd w:id="16"/>
      <w:r>
        <w:rPr>
          <w:bCs/>
          <w:iCs/>
          <w:color w:val="000000"/>
          <w:sz w:val="28"/>
          <w:szCs w:val="28"/>
          <w:lang w:val="sv-SE"/>
        </w:rPr>
        <w:t>Chiến lược Phát triển nông nghiệp, nông thôn bền vững</w:t>
      </w:r>
      <w:r>
        <w:rPr>
          <w:bCs/>
          <w:iCs/>
          <w:color w:val="000000"/>
          <w:sz w:val="28"/>
          <w:szCs w:val="28"/>
          <w:lang w:val="vi-VN"/>
        </w:rPr>
        <w:t xml:space="preserve"> giai đoạn 2021-2030, tầm nhìn đến năm 2050</w:t>
      </w:r>
      <w:r>
        <w:rPr>
          <w:bCs/>
          <w:iCs/>
          <w:color w:val="000000"/>
          <w:sz w:val="28"/>
          <w:szCs w:val="28"/>
        </w:rPr>
        <w:t xml:space="preserve"> (QĐ số 1909/QĐ-BNN-KH ngày 27/5/22)</w:t>
      </w:r>
      <w:r>
        <w:rPr>
          <w:bCs/>
          <w:iCs/>
          <w:color w:val="000000"/>
          <w:sz w:val="28"/>
          <w:szCs w:val="28"/>
          <w:lang w:val="sv-SE"/>
        </w:rPr>
        <w:t xml:space="preserve">; chuẩn bị báo cáo phục vụ tổng kết các Nghị quyết về phát triển vùng ĐBSH, Bắc trung Bộ và DHMT, Đông Nam Bộ. </w:t>
      </w:r>
    </w:p>
    <w:p>
      <w:pPr>
        <w:pStyle w:val="TextBody"/>
        <w:widowControl w:val="false"/>
        <w:spacing w:before="120" w:after="0"/>
        <w:ind w:firstLine="709"/>
        <w:rPr/>
      </w:pPr>
      <w:r>
        <w:rPr>
          <w:bCs/>
          <w:iCs/>
          <w:color w:val="000000"/>
          <w:sz w:val="28"/>
          <w:szCs w:val="28"/>
          <w:lang w:val="da-DK"/>
        </w:rPr>
        <w:t xml:space="preserve">b) Quy hoạch: </w:t>
      </w:r>
      <w:bookmarkStart w:id="17" w:name="_Hlk83738245"/>
      <w:r>
        <w:rPr>
          <w:sz w:val="28"/>
          <w:szCs w:val="28"/>
        </w:rPr>
        <w:t>Ban hành văn bản số 2902/BNN-KH chỉ đạo các nhiệm vụ và giải pháp cụ thể nhằm đẩy nhanh tiến độ và nâng cao chất lượng công tác quy hoạch ngành gồm (04 Quy hoạch ngành quốc gia, các hợp phần QH lĩnh vực NN và PTNT trong QH quốc gia, QH ngành, QH tỉnh; các QH có tính chất kỹ thuật chuyên ngành;…).</w:t>
      </w:r>
    </w:p>
    <w:p>
      <w:pPr>
        <w:pStyle w:val="TextBody"/>
        <w:widowControl w:val="false"/>
        <w:spacing w:before="120" w:after="0"/>
        <w:ind w:firstLine="709"/>
        <w:rPr/>
      </w:pPr>
      <w:bookmarkEnd w:id="17"/>
      <w:r>
        <w:rPr>
          <w:color w:val="000000"/>
          <w:sz w:val="28"/>
          <w:szCs w:val="28"/>
        </w:rPr>
        <w:t xml:space="preserve">c) </w:t>
      </w:r>
      <w:r>
        <w:rPr>
          <w:bCs/>
          <w:iCs/>
          <w:color w:val="000000"/>
          <w:sz w:val="28"/>
          <w:szCs w:val="28"/>
          <w:lang w:val="pt-BR"/>
        </w:rPr>
        <w:t xml:space="preserve">Tổ chức bộ máy: </w:t>
      </w:r>
      <w:r>
        <w:rPr>
          <w:sz w:val="28"/>
          <w:szCs w:val="28"/>
        </w:rPr>
        <w:t xml:space="preserve">Tiếp tục hoàn thiện, giải trình tiếp thu ý kiến thẩm định của Bộ Nội vụ và Bộ Tư pháp để trình Chính phủ về Dự thảo Nghị định quy định chức năng, nhiệm vụ, quyền hạn và cơ cấu tổ chức của Bộ NN và PTNT; Triển khai bổ nhiệm bổ sung, bổ nhiệm lại vị trí lãnh đạo một số đơn vị thuộc Bộ. Tiếp tục triển khai thi tuyển công chức vùng sâu vùng xa; tuyển dụng công chức trong trường hợp đặc biệt; Dự thảo văn bản hướng dẫn công tác quy hoạch cán bộ. </w:t>
      </w:r>
    </w:p>
    <w:p>
      <w:pPr>
        <w:pStyle w:val="TextBody"/>
        <w:widowControl w:val="false"/>
        <w:spacing w:before="120" w:after="0"/>
        <w:ind w:firstLine="709"/>
        <w:rPr>
          <w:sz w:val="28"/>
          <w:szCs w:val="28"/>
        </w:rPr>
      </w:pPr>
      <w:r>
        <w:rPr>
          <w:bCs/>
          <w:sz w:val="28"/>
          <w:szCs w:val="28"/>
          <w:lang w:val="pt-BR"/>
        </w:rPr>
        <w:t xml:space="preserve">d) </w:t>
      </w:r>
      <w:r>
        <w:rPr>
          <w:sz w:val="28"/>
          <w:szCs w:val="28"/>
        </w:rPr>
        <w:t xml:space="preserve">Khoa học công nghệ: Phê duyệt danh mục nhiệm vụ KHCN đưa vào tuyển chọn, giao trực tiếp thực hiện từ năm 2023 thuộc “Đề án Phát triển Công nghiệp sinh học ngành nông nghiệp đến năm 2030”; </w:t>
      </w:r>
      <w:r>
        <w:rPr>
          <w:spacing w:val="-4"/>
          <w:sz w:val="28"/>
          <w:szCs w:val="28"/>
        </w:rPr>
        <w:t>Tổ chức diễn đàn Lộ trình hướng tới phát triển nông nghiệp tuần hoàn tại Việt Nam.</w:t>
      </w:r>
      <w:r>
        <w:rPr>
          <w:sz w:val="28"/>
          <w:szCs w:val="28"/>
        </w:rPr>
        <w:t xml:space="preserve"> Tháng 5, đã </w:t>
      </w:r>
      <w:r>
        <w:rPr>
          <w:spacing w:val="-4"/>
          <w:sz w:val="28"/>
          <w:szCs w:val="28"/>
        </w:rPr>
        <w:t>thẩm định và cấp số hiệu 05 TC lĩnh vực BVTV; nghiệm thu và đề nghị thẩm định 09 TC lĩnh vực BVTV. Lũy kế 5 tháng, có 58</w:t>
      </w:r>
      <w:r>
        <w:rPr>
          <w:spacing w:val="-4"/>
          <w:sz w:val="28"/>
          <w:szCs w:val="28"/>
          <w:lang w:val="vi-VN"/>
        </w:rPr>
        <w:t xml:space="preserve"> TC </w:t>
      </w:r>
      <w:r>
        <w:rPr>
          <w:spacing w:val="-4"/>
          <w:sz w:val="28"/>
          <w:szCs w:val="28"/>
        </w:rPr>
        <w:t>và 02 QC đã được thẩm định và cấp số hiệu</w:t>
      </w:r>
      <w:r>
        <w:rPr>
          <w:rStyle w:val="FootnoteCharacters"/>
          <w:rStyle w:val="FootnoteAnchor"/>
          <w:sz w:val="28"/>
          <w:szCs w:val="28"/>
        </w:rPr>
        <w:footnoteReference w:id="14"/>
      </w:r>
      <w:r>
        <w:rPr>
          <w:sz w:val="28"/>
          <w:szCs w:val="28"/>
          <w:lang w:val="vi-VN"/>
        </w:rPr>
        <w:t>.</w:t>
      </w:r>
      <w:r>
        <w:rPr>
          <w:sz w:val="28"/>
          <w:szCs w:val="28"/>
        </w:rPr>
        <w:t xml:space="preserve"> </w:t>
      </w:r>
    </w:p>
    <w:p>
      <w:pPr>
        <w:pStyle w:val="TextBody"/>
        <w:widowControl w:val="false"/>
        <w:spacing w:before="120" w:after="0"/>
        <w:ind w:firstLine="709"/>
        <w:rPr>
          <w:sz w:val="28"/>
          <w:szCs w:val="28"/>
        </w:rPr>
      </w:pPr>
      <w:r>
        <w:rPr>
          <w:sz w:val="28"/>
          <w:szCs w:val="28"/>
        </w:rPr>
        <w:t xml:space="preserve">đ) Xây dựng văn bản: Tháng 5, không có văn bản QPPL được ban hành. Lũy kế 5 tháng, </w:t>
      </w:r>
      <w:r>
        <w:rPr>
          <w:bCs/>
          <w:sz w:val="28"/>
          <w:szCs w:val="30"/>
        </w:rPr>
        <w:t xml:space="preserve">Chính phủ đã ban hành 04 Nghị định (trình từ năm 2021, ngoài KH), Bộ trình Chính phủ 01 Nghị định (KH năm 2022), Thủ tướng Chính phủ ban hành 01 Quyết định, Bộ trưởng ban hành 02 Thông tư (ngoài KH). </w:t>
      </w:r>
      <w:r>
        <w:rPr>
          <w:bCs/>
          <w:szCs w:val="28"/>
        </w:rPr>
        <w:t xml:space="preserve">  </w:t>
      </w:r>
    </w:p>
    <w:p>
      <w:pPr>
        <w:pStyle w:val="Normal"/>
        <w:widowControl w:val="false"/>
        <w:spacing w:before="120" w:after="0"/>
        <w:rPr>
          <w:b/>
          <w:b/>
          <w:sz w:val="28"/>
          <w:szCs w:val="28"/>
          <w:lang w:val="sv-SE"/>
        </w:rPr>
      </w:pPr>
      <w:r>
        <w:rPr>
          <w:sz w:val="28"/>
          <w:szCs w:val="28"/>
          <w:lang w:val="nb-NO"/>
        </w:rPr>
        <w:tab/>
      </w:r>
      <w:r>
        <w:rPr>
          <w:b/>
          <w:iCs/>
          <w:sz w:val="28"/>
          <w:szCs w:val="28"/>
          <w:lang w:val="sv-SE"/>
        </w:rPr>
        <w:t xml:space="preserve">II. </w:t>
      </w:r>
      <w:r>
        <w:rPr>
          <w:b/>
          <w:sz w:val="28"/>
          <w:szCs w:val="28"/>
          <w:lang w:val="sv-SE"/>
        </w:rPr>
        <w:t>NHIỆM VỤ CÔNG TÁC THÁNG 6</w:t>
      </w:r>
    </w:p>
    <w:p>
      <w:pPr>
        <w:pStyle w:val="Normal"/>
        <w:widowControl w:val="false"/>
        <w:spacing w:before="120" w:after="120"/>
        <w:ind w:firstLine="720"/>
        <w:jc w:val="both"/>
        <w:rPr>
          <w:b/>
          <w:b/>
          <w:sz w:val="28"/>
          <w:szCs w:val="28"/>
          <w:lang w:val="sv-SE"/>
        </w:rPr>
      </w:pPr>
      <w:r>
        <w:rPr>
          <w:b/>
          <w:sz w:val="28"/>
          <w:szCs w:val="28"/>
          <w:lang w:val="sv-SE"/>
        </w:rPr>
        <w:t>1. Mục tiêu 6 tháng và cả năm</w:t>
      </w:r>
    </w:p>
    <w:tbl>
      <w:tblPr>
        <w:tblW w:w="9345" w:type="dxa"/>
        <w:jc w:val="left"/>
        <w:tblInd w:w="-113" w:type="dxa"/>
        <w:tblLayout w:type="fixed"/>
        <w:tblCellMar>
          <w:top w:w="0" w:type="dxa"/>
          <w:left w:w="108" w:type="dxa"/>
          <w:bottom w:w="0" w:type="dxa"/>
          <w:right w:w="108" w:type="dxa"/>
        </w:tblCellMar>
      </w:tblPr>
      <w:tblGrid>
        <w:gridCol w:w="4503"/>
        <w:gridCol w:w="2693"/>
        <w:gridCol w:w="2149"/>
      </w:tblGrid>
      <w:tr>
        <w:trPr/>
        <w:tc>
          <w:tcPr>
            <w:tcW w:w="45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center"/>
              <w:rPr>
                <w:b/>
                <w:b/>
                <w:sz w:val="28"/>
                <w:szCs w:val="28"/>
                <w:lang w:val="sv-SE"/>
              </w:rPr>
            </w:pPr>
            <w:r>
              <w:rPr>
                <w:b/>
                <w:sz w:val="28"/>
                <w:szCs w:val="28"/>
                <w:lang w:val="sv-SE"/>
              </w:rPr>
              <w:t>Mục tiêu</w:t>
            </w:r>
          </w:p>
        </w:tc>
        <w:tc>
          <w:tcPr>
            <w:tcW w:w="2693"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
                <w:sz w:val="28"/>
                <w:szCs w:val="28"/>
                <w:lang w:val="sv-SE"/>
              </w:rPr>
            </w:pPr>
            <w:r>
              <w:rPr>
                <w:b/>
                <w:sz w:val="28"/>
                <w:szCs w:val="28"/>
                <w:lang w:val="sv-SE"/>
              </w:rPr>
              <w:t xml:space="preserve">6 tháng </w:t>
            </w:r>
          </w:p>
          <w:p>
            <w:pPr>
              <w:pStyle w:val="Normal"/>
              <w:widowControl w:val="false"/>
              <w:jc w:val="center"/>
              <w:rPr>
                <w:i/>
                <w:i/>
                <w:sz w:val="20"/>
                <w:szCs w:val="20"/>
                <w:lang w:val="sv-SE"/>
              </w:rPr>
            </w:pPr>
            <w:r>
              <w:rPr>
                <w:i/>
                <w:sz w:val="20"/>
                <w:szCs w:val="20"/>
                <w:lang w:val="sv-SE"/>
              </w:rPr>
              <w:t>(QĐ 106/QĐ-BNN-KH)</w:t>
            </w:r>
          </w:p>
        </w:tc>
        <w:tc>
          <w:tcPr>
            <w:tcW w:w="214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
                <w:sz w:val="28"/>
                <w:szCs w:val="28"/>
                <w:lang w:val="sv-SE"/>
              </w:rPr>
            </w:pPr>
            <w:r>
              <w:rPr>
                <w:b/>
                <w:sz w:val="28"/>
                <w:szCs w:val="28"/>
                <w:lang w:val="sv-SE"/>
              </w:rPr>
              <w:t>Cả năm</w:t>
            </w:r>
          </w:p>
          <w:p>
            <w:pPr>
              <w:pStyle w:val="Normal"/>
              <w:widowControl w:val="false"/>
              <w:jc w:val="center"/>
              <w:rPr>
                <w:b/>
                <w:b/>
                <w:sz w:val="28"/>
                <w:szCs w:val="28"/>
                <w:lang w:val="sv-SE"/>
              </w:rPr>
            </w:pPr>
            <w:r>
              <w:rPr>
                <w:i/>
                <w:sz w:val="20"/>
                <w:szCs w:val="20"/>
                <w:lang w:val="sv-SE"/>
              </w:rPr>
              <w:t>(QĐ 106/QĐ-BNN-KH)</w:t>
            </w:r>
          </w:p>
        </w:tc>
      </w:tr>
      <w:tr>
        <w:trPr/>
        <w:tc>
          <w:tcPr>
            <w:tcW w:w="45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both"/>
              <w:rPr>
                <w:sz w:val="28"/>
                <w:szCs w:val="28"/>
                <w:lang w:val="sv-SE"/>
              </w:rPr>
            </w:pPr>
            <w:r>
              <w:rPr>
                <w:sz w:val="28"/>
                <w:szCs w:val="28"/>
                <w:lang w:val="sv-SE"/>
              </w:rPr>
              <w:t>1. Tốc độ tăng trưởng GTGT</w:t>
            </w:r>
          </w:p>
        </w:tc>
        <w:tc>
          <w:tcPr>
            <w:tcW w:w="269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center"/>
              <w:rPr>
                <w:sz w:val="28"/>
                <w:szCs w:val="28"/>
                <w:lang w:val="sv-SE"/>
              </w:rPr>
            </w:pPr>
            <w:r>
              <w:rPr>
                <w:sz w:val="28"/>
                <w:szCs w:val="28"/>
                <w:lang w:val="sv-SE"/>
              </w:rPr>
              <w:t>3,0%</w:t>
            </w:r>
          </w:p>
        </w:tc>
        <w:tc>
          <w:tcPr>
            <w:tcW w:w="214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center"/>
              <w:rPr>
                <w:sz w:val="28"/>
                <w:szCs w:val="28"/>
                <w:lang w:val="sv-SE"/>
              </w:rPr>
            </w:pPr>
            <w:r>
              <w:rPr>
                <w:sz w:val="28"/>
                <w:szCs w:val="28"/>
                <w:lang w:val="sv-SE"/>
              </w:rPr>
              <w:t>2,8%</w:t>
            </w:r>
          </w:p>
        </w:tc>
      </w:tr>
      <w:tr>
        <w:trPr/>
        <w:tc>
          <w:tcPr>
            <w:tcW w:w="45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both"/>
              <w:rPr>
                <w:sz w:val="28"/>
                <w:szCs w:val="28"/>
                <w:lang w:val="sv-SE"/>
              </w:rPr>
            </w:pPr>
            <w:r>
              <w:rPr>
                <w:sz w:val="28"/>
                <w:szCs w:val="28"/>
                <w:lang w:val="sv-SE"/>
              </w:rPr>
              <w:t>2. Kim ngạch xuất khẩu</w:t>
            </w:r>
          </w:p>
        </w:tc>
        <w:tc>
          <w:tcPr>
            <w:tcW w:w="269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center"/>
              <w:rPr>
                <w:sz w:val="28"/>
                <w:szCs w:val="28"/>
                <w:lang w:val="sv-SE"/>
              </w:rPr>
            </w:pPr>
            <w:r>
              <w:rPr>
                <w:sz w:val="28"/>
                <w:szCs w:val="28"/>
                <w:lang w:val="sv-SE"/>
              </w:rPr>
              <w:t>23,2 tỷ USD</w:t>
            </w:r>
          </w:p>
        </w:tc>
        <w:tc>
          <w:tcPr>
            <w:tcW w:w="214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center"/>
              <w:rPr>
                <w:sz w:val="28"/>
                <w:szCs w:val="28"/>
                <w:lang w:val="sv-SE"/>
              </w:rPr>
            </w:pPr>
            <w:r>
              <w:rPr>
                <w:sz w:val="28"/>
                <w:szCs w:val="28"/>
                <w:lang w:val="sv-SE"/>
              </w:rPr>
              <w:t>50 tỷ USD</w:t>
            </w:r>
          </w:p>
        </w:tc>
      </w:tr>
      <w:tr>
        <w:trPr/>
        <w:tc>
          <w:tcPr>
            <w:tcW w:w="45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both"/>
              <w:rPr>
                <w:sz w:val="28"/>
                <w:szCs w:val="28"/>
                <w:lang w:val="sv-SE"/>
              </w:rPr>
            </w:pPr>
            <w:r>
              <w:rPr>
                <w:sz w:val="28"/>
                <w:szCs w:val="28"/>
                <w:lang w:val="sv-SE"/>
              </w:rPr>
              <w:t>3. Tỷ lệ xã đạt chuẩn NTM</w:t>
            </w:r>
          </w:p>
        </w:tc>
        <w:tc>
          <w:tcPr>
            <w:tcW w:w="269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center"/>
              <w:rPr>
                <w:sz w:val="28"/>
                <w:szCs w:val="28"/>
                <w:lang w:val="sv-SE"/>
              </w:rPr>
            </w:pPr>
            <w:r>
              <w:rPr>
                <w:sz w:val="28"/>
                <w:szCs w:val="28"/>
                <w:lang w:val="sv-SE"/>
              </w:rPr>
              <w:t>&gt; 70,6%</w:t>
            </w:r>
          </w:p>
        </w:tc>
        <w:tc>
          <w:tcPr>
            <w:tcW w:w="214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0"/>
              <w:jc w:val="center"/>
              <w:rPr>
                <w:sz w:val="28"/>
                <w:szCs w:val="28"/>
                <w:lang w:val="sv-SE"/>
              </w:rPr>
            </w:pPr>
            <w:r>
              <w:rPr>
                <w:sz w:val="28"/>
                <w:szCs w:val="28"/>
                <w:lang w:val="sv-SE"/>
              </w:rPr>
              <w:t>&gt;73%</w:t>
            </w:r>
          </w:p>
        </w:tc>
      </w:tr>
    </w:tbl>
    <w:p>
      <w:pPr>
        <w:pStyle w:val="Normal"/>
        <w:widowControl w:val="false"/>
        <w:spacing w:before="120" w:after="0"/>
        <w:ind w:firstLine="720"/>
        <w:jc w:val="both"/>
        <w:rPr>
          <w:b/>
          <w:b/>
          <w:sz w:val="28"/>
          <w:szCs w:val="28"/>
          <w:lang w:val="it-IT"/>
        </w:rPr>
      </w:pPr>
      <w:r>
        <w:rPr>
          <w:b/>
          <w:sz w:val="28"/>
          <w:szCs w:val="28"/>
          <w:lang w:val="it-IT"/>
        </w:rPr>
        <w:t xml:space="preserve">2. </w:t>
      </w:r>
      <w:r>
        <w:rPr>
          <w:b/>
          <w:bCs/>
          <w:sz w:val="28"/>
          <w:szCs w:val="28"/>
          <w:lang w:val="it-IT"/>
        </w:rPr>
        <w:t>Nhiệm vụ trọng tâm</w:t>
      </w:r>
    </w:p>
    <w:p>
      <w:pPr>
        <w:pStyle w:val="Normal"/>
        <w:widowControl w:val="false"/>
        <w:spacing w:before="120" w:after="0"/>
        <w:ind w:firstLine="720"/>
        <w:jc w:val="both"/>
        <w:rPr>
          <w:sz w:val="28"/>
          <w:szCs w:val="28"/>
          <w:lang w:val="es-ES"/>
        </w:rPr>
      </w:pPr>
      <w:r>
        <w:rPr>
          <w:bCs/>
          <w:sz w:val="28"/>
          <w:szCs w:val="28"/>
        </w:rPr>
        <w:t>C</w:t>
      </w:r>
      <w:r>
        <w:rPr>
          <w:sz w:val="28"/>
          <w:szCs w:val="28"/>
          <w:lang w:val="es-ES"/>
        </w:rPr>
        <w:t xml:space="preserve">ác đơn vị tiếp tục triển khai các nhiệm vụ được giao tại </w:t>
      </w:r>
      <w:r>
        <w:rPr>
          <w:sz w:val="28"/>
          <w:szCs w:val="28"/>
        </w:rPr>
        <w:t>Quyết định số 106</w:t>
      </w:r>
      <w:r>
        <w:rPr>
          <w:bCs/>
          <w:sz w:val="28"/>
          <w:szCs w:val="28"/>
        </w:rPr>
        <w:t xml:space="preserve">/QĐ-BNN-KH ngày 12/01/2022 </w:t>
      </w:r>
      <w:r>
        <w:rPr>
          <w:sz w:val="28"/>
          <w:szCs w:val="28"/>
        </w:rPr>
        <w:t xml:space="preserve">về kế hoạch thực hiện Nghị quyết số 01/NQ-CP ngày 08/01/2022 của Chính phủ về nhiệm vụ, giải pháp chủ yếu thực hiện kế hoạch phát triển kinh tế - xã hội và dự toán ngân sách nhà nước năm </w:t>
      </w:r>
      <w:bookmarkStart w:id="18" w:name="_Hlk65160270"/>
      <w:r>
        <w:rPr>
          <w:sz w:val="28"/>
          <w:szCs w:val="28"/>
        </w:rPr>
        <w:t>2022</w:t>
      </w:r>
      <w:r>
        <w:rPr>
          <w:sz w:val="28"/>
          <w:szCs w:val="28"/>
          <w:lang w:val="es-ES"/>
        </w:rPr>
        <w:t>; nhiệm vụ được giao khác tại các thông báo kết luận của Bộ; tập trung xây dựng và ban hành văn bản quy phạm, đề án, chương trình theo đúng kế hoạch đã đề ra. Cụ thể từng lĩnh vực như sau:</w:t>
      </w:r>
    </w:p>
    <w:p>
      <w:pPr>
        <w:pStyle w:val="Normal"/>
        <w:widowControl w:val="false"/>
        <w:spacing w:before="120" w:after="0"/>
        <w:ind w:firstLine="720"/>
        <w:jc w:val="both"/>
        <w:rPr>
          <w:b/>
          <w:b/>
          <w:bCs/>
          <w:sz w:val="28"/>
          <w:szCs w:val="28"/>
          <w:lang w:val="it-IT"/>
        </w:rPr>
      </w:pPr>
      <w:bookmarkEnd w:id="18"/>
      <w:r>
        <w:rPr>
          <w:b/>
          <w:bCs/>
          <w:sz w:val="28"/>
          <w:szCs w:val="28"/>
          <w:lang w:val="it-IT"/>
        </w:rPr>
        <w:t>2.1. Trồng trọt, bảo vệ thực vật</w:t>
      </w:r>
    </w:p>
    <w:p>
      <w:pPr>
        <w:pStyle w:val="Normal"/>
        <w:widowControl w:val="false"/>
        <w:spacing w:before="120" w:after="0"/>
        <w:ind w:firstLine="720"/>
        <w:jc w:val="both"/>
        <w:rPr/>
      </w:pPr>
      <w:bookmarkStart w:id="19" w:name="_Hlk54711409"/>
      <w:r>
        <w:rPr>
          <w:sz w:val="28"/>
          <w:szCs w:val="28"/>
        </w:rPr>
        <w:t xml:space="preserve">Theo dõi sát tình hình thời tiết khí tượng, thủy văn để </w:t>
      </w:r>
      <w:r>
        <w:rPr>
          <w:sz w:val="28"/>
          <w:szCs w:val="28"/>
          <w:lang w:val="sv-SE"/>
        </w:rPr>
        <w:t>chỉ đạo thời vụ, cơ cấu cây trồng phù hợp</w:t>
      </w:r>
      <w:r>
        <w:rPr>
          <w:sz w:val="28"/>
          <w:szCs w:val="28"/>
        </w:rPr>
        <w:t>.</w:t>
      </w:r>
      <w:bookmarkEnd w:id="19"/>
      <w:r>
        <w:rPr>
          <w:sz w:val="28"/>
          <w:szCs w:val="28"/>
        </w:rPr>
        <w:t xml:space="preserve"> Trong đó: </w:t>
      </w:r>
    </w:p>
    <w:p>
      <w:pPr>
        <w:pStyle w:val="Normal"/>
        <w:spacing w:before="60" w:after="60"/>
        <w:ind w:firstLine="720"/>
        <w:jc w:val="both"/>
        <w:rPr/>
      </w:pPr>
      <w:r>
        <w:rPr>
          <w:i/>
          <w:sz w:val="28"/>
          <w:szCs w:val="28"/>
        </w:rPr>
        <w:t>- Lúa:</w:t>
      </w:r>
      <w:r>
        <w:rPr>
          <w:sz w:val="28"/>
          <w:szCs w:val="28"/>
        </w:rPr>
        <w:t xml:space="preserve"> </w:t>
      </w:r>
      <w:r>
        <w:rPr>
          <w:sz w:val="28"/>
          <w:szCs w:val="28"/>
          <w:lang w:val="vi-VN"/>
        </w:rPr>
        <w:t>Tiếp tục chỉ đạo thu hoạch lúa vụ Đông Xuân</w:t>
      </w:r>
      <w:r>
        <w:rPr>
          <w:sz w:val="28"/>
          <w:szCs w:val="28"/>
        </w:rPr>
        <w:t xml:space="preserve"> còn lại tại Tây Nguyên;</w:t>
      </w:r>
      <w:r>
        <w:rPr>
          <w:sz w:val="28"/>
          <w:szCs w:val="28"/>
          <w:lang w:val="vi-VN"/>
        </w:rPr>
        <w:t xml:space="preserve"> </w:t>
      </w:r>
      <w:r>
        <w:rPr>
          <w:sz w:val="28"/>
          <w:szCs w:val="28"/>
        </w:rPr>
        <w:t xml:space="preserve">xuống giống, chăm sóc, thu hoạch vụ Hè </w:t>
      </w:r>
      <w:r>
        <w:rPr>
          <w:sz w:val="28"/>
          <w:szCs w:val="28"/>
          <w:lang w:val="vi-VN"/>
        </w:rPr>
        <w:t>Thu</w:t>
      </w:r>
      <w:r>
        <w:rPr>
          <w:sz w:val="28"/>
          <w:szCs w:val="28"/>
        </w:rPr>
        <w:t>, xuống giống vụ Mùa</w:t>
      </w:r>
      <w:r>
        <w:rPr>
          <w:sz w:val="28"/>
          <w:szCs w:val="28"/>
          <w:lang w:val="vi-VN"/>
        </w:rPr>
        <w:t xml:space="preserve"> tại các tỉnh phía Nam và thu hoạch lúa Đông Xuân</w:t>
      </w:r>
      <w:r>
        <w:rPr>
          <w:sz w:val="28"/>
          <w:szCs w:val="28"/>
        </w:rPr>
        <w:t>, triển khai gieo cấy vụ Hè Thu, vụ Mùa</w:t>
      </w:r>
      <w:r>
        <w:rPr>
          <w:sz w:val="28"/>
          <w:szCs w:val="28"/>
          <w:lang w:val="vi-VN"/>
        </w:rPr>
        <w:t xml:space="preserve"> tại các tỉnh phía Bắc.</w:t>
      </w:r>
      <w:r>
        <w:rPr>
          <w:sz w:val="28"/>
          <w:szCs w:val="28"/>
        </w:rPr>
        <w:t xml:space="preserve"> </w:t>
      </w:r>
    </w:p>
    <w:p>
      <w:pPr>
        <w:pStyle w:val="Normal"/>
        <w:spacing w:before="60" w:after="60"/>
        <w:ind w:firstLine="720"/>
        <w:jc w:val="both"/>
        <w:rPr/>
      </w:pPr>
      <w:r>
        <w:rPr>
          <w:sz w:val="28"/>
          <w:szCs w:val="28"/>
        </w:rPr>
        <w:t>T</w:t>
      </w:r>
      <w:r>
        <w:rPr>
          <w:sz w:val="28"/>
          <w:szCs w:val="28"/>
          <w:lang w:val="vi-VN"/>
        </w:rPr>
        <w:t xml:space="preserve">ổ chức Hội </w:t>
      </w:r>
      <w:r>
        <w:rPr>
          <w:sz w:val="28"/>
          <w:szCs w:val="28"/>
        </w:rPr>
        <w:t>nghị về sử dụng phân bón hữu cơ cho lúa</w:t>
      </w:r>
      <w:r>
        <w:rPr>
          <w:sz w:val="28"/>
          <w:szCs w:val="28"/>
          <w:lang w:val="vi-VN"/>
        </w:rPr>
        <w:t xml:space="preserve"> tại các tỉnh ĐBSCL</w:t>
      </w:r>
      <w:r>
        <w:rPr>
          <w:sz w:val="28"/>
          <w:szCs w:val="28"/>
        </w:rPr>
        <w:t>; Tổ chức Hội thảo về sản xuất lúa Thu Đông tại các tỉnh ĐBSCL;</w:t>
      </w:r>
      <w:r>
        <w:rPr>
          <w:sz w:val="28"/>
          <w:szCs w:val="28"/>
          <w:lang w:val="vi-VN"/>
        </w:rPr>
        <w:t xml:space="preserve"> rà soát, đánh giá và hoàn chỉnh kế hoạch sản xuất lúa vụ Hè Thu, Mùa.</w:t>
      </w:r>
    </w:p>
    <w:p>
      <w:pPr>
        <w:pStyle w:val="Normal"/>
        <w:widowControl w:val="false"/>
        <w:spacing w:before="120" w:after="0"/>
        <w:ind w:firstLine="720"/>
        <w:jc w:val="both"/>
        <w:rPr>
          <w:sz w:val="28"/>
          <w:szCs w:val="28"/>
        </w:rPr>
      </w:pPr>
      <w:r>
        <w:rPr>
          <w:iCs/>
          <w:sz w:val="28"/>
          <w:szCs w:val="28"/>
        </w:rPr>
        <w:t>- Cây công nghiệp, cây ăn quả:</w:t>
      </w:r>
      <w:r>
        <w:rPr>
          <w:sz w:val="28"/>
          <w:szCs w:val="28"/>
          <w:lang w:val="vi-VN"/>
        </w:rPr>
        <w:t xml:space="preserve"> Tiếp tục </w:t>
      </w:r>
      <w:bookmarkStart w:id="20" w:name="_Hlk65160480"/>
      <w:r>
        <w:rPr>
          <w:sz w:val="28"/>
          <w:szCs w:val="28"/>
        </w:rPr>
        <w:t>theo dõi,</w:t>
      </w:r>
      <w:r>
        <w:rPr>
          <w:sz w:val="28"/>
          <w:szCs w:val="28"/>
          <w:lang w:val="vi-VN"/>
        </w:rPr>
        <w:t xml:space="preserve"> </w:t>
      </w:r>
      <w:r>
        <w:rPr>
          <w:sz w:val="28"/>
          <w:szCs w:val="28"/>
        </w:rPr>
        <w:t xml:space="preserve">chỉ đạo sản xuất các cây công nghiệp, cây ăn quả, đặc biệt đối với </w:t>
      </w:r>
      <w:r>
        <w:rPr>
          <w:sz w:val="28"/>
          <w:szCs w:val="28"/>
          <w:lang w:val="vi-VN"/>
        </w:rPr>
        <w:t>cây ăn quả chủ lực phục vụ xuất khẩu.</w:t>
      </w:r>
      <w:r>
        <w:rPr>
          <w:sz w:val="28"/>
          <w:szCs w:val="28"/>
        </w:rPr>
        <w:t xml:space="preserve"> kiểm tra tình hình sản xuất một số cây công nghiệp, cây ăn quả tại một số địa phương. </w:t>
      </w:r>
      <w:bookmarkStart w:id="21" w:name="_Hlk65160517"/>
      <w:bookmarkStart w:id="22" w:name="_Hlk49343697"/>
      <w:bookmarkEnd w:id="20"/>
      <w:r>
        <w:rPr>
          <w:sz w:val="28"/>
          <w:szCs w:val="28"/>
        </w:rPr>
        <w:t>Tổ chức hội nghị tổng kết kết quả Đề án tái canh cà phê giai đoạn 2015-2020; Chuẩn bị tổ chức hội nghị cây thanh long; hội nghị cây điều.</w:t>
      </w:r>
    </w:p>
    <w:p>
      <w:pPr>
        <w:pStyle w:val="Normal"/>
        <w:widowControl w:val="false"/>
        <w:spacing w:before="120" w:after="0"/>
        <w:ind w:firstLine="720"/>
        <w:jc w:val="both"/>
        <w:rPr>
          <w:spacing w:val="-2"/>
          <w:sz w:val="28"/>
          <w:szCs w:val="28"/>
          <w:lang w:val="af-ZA"/>
        </w:rPr>
      </w:pPr>
      <w:r>
        <w:rPr>
          <w:spacing w:val="-2"/>
          <w:sz w:val="28"/>
          <w:szCs w:val="28"/>
        </w:rPr>
        <w:t xml:space="preserve">- </w:t>
      </w:r>
      <w:r>
        <w:rPr>
          <w:spacing w:val="-2"/>
          <w:sz w:val="28"/>
          <w:szCs w:val="28"/>
          <w:lang w:val="es-ES"/>
        </w:rPr>
        <w:t xml:space="preserve">Tăng cường công tác bảo vệ thực vật, </w:t>
      </w:r>
      <w:r>
        <w:rPr>
          <w:spacing w:val="-2"/>
          <w:sz w:val="28"/>
          <w:szCs w:val="28"/>
          <w:lang w:val="sv-SE"/>
        </w:rPr>
        <w:t xml:space="preserve">tổ chức trực ban chỉ đạo công tác phòng chống dịch và kịp thời xử lý các vùng dịch phát sinh; </w:t>
      </w:r>
      <w:bookmarkEnd w:id="21"/>
      <w:r>
        <w:rPr>
          <w:spacing w:val="-2"/>
          <w:sz w:val="28"/>
          <w:szCs w:val="28"/>
          <w:lang w:val="sv-SE"/>
        </w:rPr>
        <w:t>đặc biệt lưu ý</w:t>
      </w:r>
      <w:r>
        <w:rPr>
          <w:spacing w:val="-2"/>
          <w:sz w:val="28"/>
          <w:szCs w:val="28"/>
          <w:lang w:val="af-ZA"/>
        </w:rPr>
        <w:t xml:space="preserve"> các sinh vật gây hại trên lúa và cây trồng khác (ngô, rau màu, sắn, điều, hồ tiêu, cà phê,... ).</w:t>
      </w:r>
    </w:p>
    <w:p>
      <w:pPr>
        <w:pStyle w:val="Normal"/>
        <w:widowControl w:val="false"/>
        <w:spacing w:before="120" w:after="0"/>
        <w:ind w:firstLine="720"/>
        <w:jc w:val="both"/>
        <w:rPr>
          <w:spacing w:val="-4"/>
          <w:sz w:val="28"/>
          <w:szCs w:val="28"/>
          <w:lang w:val="af-ZA"/>
        </w:rPr>
      </w:pPr>
      <w:r>
        <w:rPr>
          <w:spacing w:val="-4"/>
          <w:sz w:val="28"/>
          <w:szCs w:val="28"/>
          <w:lang w:val="af-ZA"/>
        </w:rPr>
        <w:t xml:space="preserve">- </w:t>
      </w:r>
      <w:r>
        <w:rPr>
          <w:spacing w:val="-4"/>
          <w:sz w:val="28"/>
          <w:szCs w:val="28"/>
          <w:lang w:val="nb-NO"/>
        </w:rPr>
        <w:t>Tăng cường kiểm tra, kiểm soát tốt ngăn chặn đối tượng KDTV, sinh vật gây hại lạ đi theo hàng hóa nhập khẩu, đồng thời đáp ứng yêu cầu KDTV đối với hàng hóa xuất khẩu; s</w:t>
      </w:r>
      <w:r>
        <w:rPr>
          <w:bCs/>
          <w:spacing w:val="-4"/>
          <w:sz w:val="28"/>
          <w:szCs w:val="28"/>
          <w:lang w:val="it-IT"/>
        </w:rPr>
        <w:t xml:space="preserve">iết chặt và tăng cường công tác quản lý </w:t>
      </w:r>
      <w:r>
        <w:rPr>
          <w:bCs/>
          <w:spacing w:val="-4"/>
          <w:sz w:val="28"/>
          <w:szCs w:val="28"/>
          <w:lang w:val="vi-VN"/>
        </w:rPr>
        <w:t>đăng ký</w:t>
      </w:r>
      <w:r>
        <w:rPr>
          <w:bCs/>
          <w:spacing w:val="-4"/>
          <w:sz w:val="28"/>
          <w:szCs w:val="28"/>
        </w:rPr>
        <w:t xml:space="preserve">, </w:t>
      </w:r>
      <w:r>
        <w:rPr>
          <w:bCs/>
          <w:spacing w:val="-4"/>
          <w:sz w:val="28"/>
          <w:szCs w:val="28"/>
          <w:lang w:val="vi-VN"/>
        </w:rPr>
        <w:t xml:space="preserve">khảo nghiệm </w:t>
      </w:r>
      <w:r>
        <w:rPr>
          <w:bCs/>
          <w:spacing w:val="-4"/>
          <w:sz w:val="28"/>
          <w:szCs w:val="28"/>
          <w:lang w:val="it-IT"/>
        </w:rPr>
        <w:t>thuốc BVTV</w:t>
      </w:r>
      <w:r>
        <w:rPr>
          <w:bCs/>
          <w:spacing w:val="-4"/>
          <w:sz w:val="28"/>
          <w:szCs w:val="28"/>
        </w:rPr>
        <w:t xml:space="preserve">; </w:t>
      </w:r>
      <w:r>
        <w:rPr>
          <w:spacing w:val="-2"/>
          <w:sz w:val="28"/>
          <w:szCs w:val="28"/>
          <w:lang w:val="pl-PL"/>
        </w:rPr>
        <w:t>Theo dõi, giám sát việc triển khai thực hiện mô hình phát triển phân bón hữu của doanh nghiệp theo tiến độ đã ký cam kết.</w:t>
      </w:r>
    </w:p>
    <w:p>
      <w:pPr>
        <w:pStyle w:val="Normal"/>
        <w:widowControl w:val="false"/>
        <w:spacing w:before="120" w:after="0"/>
        <w:ind w:firstLine="720"/>
        <w:jc w:val="both"/>
        <w:rPr>
          <w:b/>
          <w:b/>
          <w:sz w:val="28"/>
          <w:szCs w:val="28"/>
          <w:lang w:val="sv-SE"/>
        </w:rPr>
      </w:pPr>
      <w:bookmarkEnd w:id="22"/>
      <w:r>
        <w:rPr>
          <w:b/>
          <w:sz w:val="28"/>
          <w:szCs w:val="28"/>
          <w:lang w:val="sv-SE"/>
        </w:rPr>
        <w:t>2.2. Chăn nuôi, thú y</w:t>
      </w:r>
    </w:p>
    <w:p>
      <w:pPr>
        <w:pStyle w:val="Normal"/>
        <w:widowControl w:val="false"/>
        <w:shd w:fill="FFFFFF" w:val="clear"/>
        <w:spacing w:before="120" w:after="0"/>
        <w:ind w:firstLine="709"/>
        <w:jc w:val="both"/>
        <w:rPr>
          <w:sz w:val="28"/>
          <w:szCs w:val="28"/>
        </w:rPr>
      </w:pPr>
      <w:bookmarkStart w:id="23" w:name="_Hlk65160552"/>
      <w:bookmarkEnd w:id="23"/>
      <w:r>
        <w:rPr>
          <w:sz w:val="28"/>
          <w:szCs w:val="28"/>
          <w:lang w:val="sv-SE"/>
        </w:rPr>
        <w:t>- Tập trung chỉ đạo đồng bộ các giải pháp tháo gỡ khó khăn, thúc đẩy phát triển chăn nuôi, đảm bảo nguồn cung thực phẩm; hỗ trợ tiêu thụ, lưu thông sản phẩm chăn nuôi. Tăng cường chỉ đạo triển khai nhanh mô hình chăn nuôi ATSH, ATDB trên các đối tượng vật nuôi, nhất là đối với chăn nuôi lợn.</w:t>
      </w:r>
    </w:p>
    <w:p>
      <w:pPr>
        <w:pStyle w:val="Normal"/>
        <w:widowControl w:val="false"/>
        <w:shd w:fill="FFFFFF" w:val="clear"/>
        <w:spacing w:before="120" w:after="0"/>
        <w:ind w:firstLine="709"/>
        <w:jc w:val="both"/>
        <w:rPr/>
      </w:pPr>
      <w:bookmarkStart w:id="24" w:name="_Hlk65160541"/>
      <w:bookmarkEnd w:id="24"/>
      <w:r>
        <w:rPr>
          <w:sz w:val="28"/>
          <w:szCs w:val="28"/>
        </w:rPr>
        <w:t xml:space="preserve">- </w:t>
      </w:r>
      <w:r>
        <w:rPr>
          <w:color w:val="000000"/>
          <w:sz w:val="28"/>
          <w:szCs w:val="28"/>
          <w:lang w:val="af-ZA"/>
        </w:rPr>
        <w:t xml:space="preserve">Đánh giá điều kiện sản xuất thực tế của một số đơn vị đăng ký sản xuất, lưu hành TACN, chế phẩm xử lý môi trường, chăn nuôi an toàn sinh học,...; </w:t>
      </w:r>
      <w:r>
        <w:rPr>
          <w:sz w:val="28"/>
          <w:szCs w:val="28"/>
          <w:lang w:val="sv-SE"/>
        </w:rPr>
        <w:t>một số tổ chức đánh giá sự phù hợp TACN</w:t>
      </w:r>
      <w:r>
        <w:rPr>
          <w:bCs/>
          <w:color w:val="000000"/>
          <w:sz w:val="28"/>
          <w:szCs w:val="28"/>
          <w:lang w:val="sv-SE"/>
        </w:rPr>
        <w:t>.</w:t>
      </w:r>
      <w:r>
        <w:rPr>
          <w:color w:val="000000"/>
          <w:sz w:val="28"/>
          <w:szCs w:val="28"/>
          <w:lang w:val="af-ZA"/>
        </w:rPr>
        <w:t xml:space="preserve"> </w:t>
      </w:r>
      <w:r>
        <w:rPr>
          <w:sz w:val="28"/>
          <w:szCs w:val="28"/>
        </w:rPr>
        <w:t xml:space="preserve">Tăng cường giám sát quản lý chất lượng vật tư lĩnh vực chăn nuôi, kiểm soát an toàn thực phẩm; kịp thời xử lý các vụ việc vi phạm về chất lượng giống vật nuôi, thức ăn chăn nuôi… </w:t>
      </w:r>
    </w:p>
    <w:p>
      <w:pPr>
        <w:pStyle w:val="Normal"/>
        <w:widowControl w:val="false"/>
        <w:spacing w:before="120" w:after="0"/>
        <w:ind w:firstLine="720"/>
        <w:jc w:val="both"/>
        <w:rPr>
          <w:sz w:val="28"/>
          <w:szCs w:val="28"/>
          <w:lang w:val="es-ES"/>
        </w:rPr>
      </w:pPr>
      <w:bookmarkStart w:id="25" w:name="_Hlk65160552"/>
      <w:bookmarkStart w:id="26" w:name="_Hlk65160541"/>
      <w:bookmarkStart w:id="27" w:name="_Hlk65160582"/>
      <w:bookmarkEnd w:id="25"/>
      <w:bookmarkEnd w:id="26"/>
      <w:r>
        <w:rPr>
          <w:sz w:val="28"/>
          <w:szCs w:val="28"/>
          <w:lang w:val="es-ES"/>
        </w:rPr>
        <w:t>- Theo dõi tình hình dịch bệnh ở các địa phương đặc biệt đối với bệnh nguy hiểm như DTLCP, CGC, LMLM, Tai xanh, Viêm da nổi cục. Đôn đốc, hướng dẫn các địa phương thực hiện công tác phòng, chống dịch bệnh theo đúng quy định.</w:t>
      </w:r>
      <w:bookmarkEnd w:id="27"/>
      <w:r>
        <w:rPr>
          <w:sz w:val="28"/>
          <w:szCs w:val="28"/>
          <w:lang w:val="es-ES"/>
        </w:rPr>
        <w:t xml:space="preserve"> K</w:t>
      </w:r>
      <w:r>
        <w:rPr>
          <w:sz w:val="28"/>
          <w:szCs w:val="28"/>
          <w:lang w:val="pt-BR"/>
        </w:rPr>
        <w:t>iểm tra, cấp giấy chứng nhận đủ điều kiện sản xuất, nhập khẩu thuốc thú y cho các cơ sở sản xuất, kinh doanh, nhập khẩu thuốc thú y.</w:t>
      </w:r>
    </w:p>
    <w:p>
      <w:pPr>
        <w:pStyle w:val="Normal"/>
        <w:widowControl w:val="false"/>
        <w:tabs>
          <w:tab w:val="clear" w:pos="720"/>
          <w:tab w:val="left" w:pos="6837" w:leader="none"/>
        </w:tabs>
        <w:spacing w:before="120" w:after="0"/>
        <w:ind w:firstLine="720"/>
        <w:jc w:val="both"/>
        <w:rPr/>
      </w:pPr>
      <w:r>
        <w:rPr>
          <w:b/>
          <w:bCs/>
          <w:sz w:val="28"/>
          <w:szCs w:val="28"/>
        </w:rPr>
        <w:t>2.3.</w:t>
      </w:r>
      <w:r>
        <w:rPr>
          <w:b/>
          <w:bCs/>
          <w:sz w:val="28"/>
          <w:szCs w:val="28"/>
          <w:lang w:val="vi-VN"/>
        </w:rPr>
        <w:t xml:space="preserve"> Thuỷ sản </w:t>
        <w:tab/>
      </w:r>
    </w:p>
    <w:p>
      <w:pPr>
        <w:pStyle w:val="Normal"/>
        <w:widowControl w:val="false"/>
        <w:spacing w:before="120" w:after="0"/>
        <w:ind w:firstLine="720"/>
        <w:jc w:val="both"/>
        <w:rPr>
          <w:sz w:val="28"/>
          <w:szCs w:val="28"/>
        </w:rPr>
      </w:pPr>
      <w:r>
        <w:rPr>
          <w:sz w:val="28"/>
          <w:szCs w:val="28"/>
          <w:lang w:val="pt-BR"/>
        </w:rPr>
        <w:t>- Tiếp tục hướng dẫn các địa phương t</w:t>
      </w:r>
      <w:r>
        <w:rPr>
          <w:sz w:val="28"/>
          <w:szCs w:val="28"/>
        </w:rPr>
        <w:t xml:space="preserve">ập trung phát triển nuôi trồng các đối tượng nuôi chủ lực </w:t>
      </w:r>
      <w:r>
        <w:rPr>
          <w:sz w:val="28"/>
          <w:szCs w:val="28"/>
          <w:lang w:val="pt-BR"/>
        </w:rPr>
        <w:t xml:space="preserve">và các đối tượng nuôi </w:t>
      </w:r>
      <w:r>
        <w:rPr>
          <w:sz w:val="28"/>
          <w:szCs w:val="28"/>
        </w:rPr>
        <w:t>có giá trị kinh tế cao theo hướng nâng cao giá trị</w:t>
      </w:r>
      <w:r>
        <w:rPr>
          <w:sz w:val="28"/>
          <w:szCs w:val="28"/>
          <w:lang w:val="pt-BR"/>
        </w:rPr>
        <w:t xml:space="preserve"> thương mại và phát triển bền vững. </w:t>
      </w:r>
      <w:r>
        <w:rPr>
          <w:sz w:val="28"/>
          <w:szCs w:val="28"/>
          <w:lang w:val="vi-VN"/>
        </w:rPr>
        <w:t xml:space="preserve">Tiếp thu, giải trình </w:t>
      </w:r>
      <w:r>
        <w:rPr>
          <w:sz w:val="28"/>
          <w:szCs w:val="28"/>
        </w:rPr>
        <w:t>và hoàn thiện</w:t>
      </w:r>
      <w:r>
        <w:rPr>
          <w:sz w:val="28"/>
          <w:szCs w:val="28"/>
          <w:lang w:val="vi-VN"/>
        </w:rPr>
        <w:t xml:space="preserve"> </w:t>
      </w:r>
      <w:r>
        <w:rPr>
          <w:sz w:val="28"/>
          <w:szCs w:val="28"/>
        </w:rPr>
        <w:t>C</w:t>
      </w:r>
      <w:r>
        <w:rPr>
          <w:sz w:val="28"/>
          <w:szCs w:val="28"/>
          <w:lang w:val="vi-VN"/>
        </w:rPr>
        <w:t>hương trình phát triển nuôi trồng thủy sản giai đoạn 2021-2030; hướng dẫn thực hiện quan trắc môi trường năm 2022.</w:t>
      </w:r>
      <w:r>
        <w:rPr>
          <w:sz w:val="28"/>
          <w:szCs w:val="28"/>
        </w:rPr>
        <w:t xml:space="preserve"> T</w:t>
      </w:r>
      <w:r>
        <w:rPr>
          <w:sz w:val="28"/>
          <w:szCs w:val="28"/>
          <w:lang w:val="vi-VN"/>
        </w:rPr>
        <w:t>ổ chức Hội nghị phát triển nuôi biển bền vững năm 2022</w:t>
      </w:r>
      <w:r>
        <w:rPr>
          <w:sz w:val="28"/>
          <w:szCs w:val="28"/>
        </w:rPr>
        <w:t>.</w:t>
      </w:r>
    </w:p>
    <w:p>
      <w:pPr>
        <w:pStyle w:val="Normal"/>
        <w:widowControl w:val="false"/>
        <w:spacing w:before="120" w:after="0"/>
        <w:ind w:firstLine="720"/>
        <w:jc w:val="both"/>
        <w:rPr/>
      </w:pPr>
      <w:bookmarkStart w:id="28" w:name="_Hlk65160725"/>
      <w:r>
        <w:rPr>
          <w:sz w:val="28"/>
          <w:szCs w:val="28"/>
        </w:rPr>
        <w:t xml:space="preserve">- </w:t>
      </w:r>
      <w:r>
        <w:rPr>
          <w:sz w:val="28"/>
          <w:szCs w:val="28"/>
          <w:lang w:val="vi-VN"/>
        </w:rPr>
        <w:t>Theo dõi</w:t>
      </w:r>
      <w:r>
        <w:rPr>
          <w:sz w:val="28"/>
          <w:szCs w:val="28"/>
        </w:rPr>
        <w:t xml:space="preserve"> </w:t>
      </w:r>
      <w:r>
        <w:rPr>
          <w:sz w:val="28"/>
          <w:szCs w:val="28"/>
          <w:lang w:val="vi-VN"/>
        </w:rPr>
        <w:t xml:space="preserve">diễn biến thời tiết, dự báo ngư trường, tình hình khai thác hải sản của ngư dân trên các vùng biển để kịp thời hỗ trợ ngư dân yên tâm sản xuất an toàn, hiệu quả. </w:t>
      </w:r>
      <w:r>
        <w:rPr>
          <w:sz w:val="28"/>
          <w:szCs w:val="28"/>
        </w:rPr>
        <w:t xml:space="preserve">Tiếp tục </w:t>
      </w:r>
      <w:r>
        <w:rPr>
          <w:sz w:val="28"/>
          <w:szCs w:val="28"/>
          <w:lang w:val="vi-VN"/>
        </w:rPr>
        <w:t>hoàn thiện Chương trình quốc gia Phát triển khai thác thủy sản hiệu quả bền vững giai đoạn 2021-2030</w:t>
      </w:r>
      <w:r>
        <w:rPr>
          <w:sz w:val="28"/>
          <w:szCs w:val="28"/>
        </w:rPr>
        <w:t>;</w:t>
      </w:r>
      <w:r>
        <w:rPr>
          <w:sz w:val="27"/>
          <w:szCs w:val="27"/>
          <w:lang w:val="vi-VN"/>
        </w:rPr>
        <w:t xml:space="preserve"> Đề án chuyển đổi nghề khai thác thủy sản.</w:t>
      </w:r>
    </w:p>
    <w:p>
      <w:pPr>
        <w:pStyle w:val="Normal"/>
        <w:spacing w:before="60" w:after="60"/>
        <w:jc w:val="both"/>
        <w:rPr/>
      </w:pPr>
      <w:bookmarkStart w:id="29" w:name="_Hlk65160725"/>
      <w:r>
        <w:rPr>
          <w:sz w:val="28"/>
          <w:szCs w:val="28"/>
        </w:rPr>
        <w:tab/>
      </w:r>
      <w:bookmarkEnd w:id="29"/>
      <w:r>
        <w:rPr>
          <w:sz w:val="28"/>
          <w:szCs w:val="28"/>
          <w:lang w:val="vi-VN"/>
        </w:rPr>
        <w:t xml:space="preserve">- </w:t>
      </w:r>
      <w:r>
        <w:rPr>
          <w:sz w:val="27"/>
          <w:szCs w:val="27"/>
        </w:rPr>
        <w:t>B</w:t>
      </w:r>
      <w:r>
        <w:rPr>
          <w:sz w:val="27"/>
          <w:szCs w:val="27"/>
          <w:lang w:val="vi-VN"/>
        </w:rPr>
        <w:t>an hành kế hoạch tuần tra, kiểm tra, Chi cục Kiểm ngư Vùng I, Vùng V giai đoạn 2022-2025 để làm cơ sở phân giao ngân sách thực hiện nhiệm vụ tuần tra hàng năm.</w:t>
      </w:r>
      <w:r>
        <w:rPr>
          <w:sz w:val="27"/>
          <w:szCs w:val="27"/>
        </w:rPr>
        <w:t xml:space="preserve"> Chuẩn bị </w:t>
      </w:r>
      <w:r>
        <w:rPr>
          <w:sz w:val="27"/>
          <w:szCs w:val="27"/>
          <w:lang w:val="vi-VN"/>
        </w:rPr>
        <w:t xml:space="preserve">tổ chức Lễ tiếp nhận cơ sở huấn luyện Kiểm ngư. </w:t>
      </w:r>
      <w:r>
        <w:rPr>
          <w:sz w:val="27"/>
          <w:szCs w:val="27"/>
        </w:rPr>
        <w:t>C</w:t>
      </w:r>
      <w:r>
        <w:rPr>
          <w:sz w:val="27"/>
          <w:szCs w:val="27"/>
          <w:lang w:val="vi-VN"/>
        </w:rPr>
        <w:t>hỉ đạo Chi cục Kiểm ngư Vùng I, Vùng V rà soát danh mục thiết bị để tổng hợp gửi đề xuất Đại sứ quán Nhật Bản.</w:t>
      </w:r>
    </w:p>
    <w:p>
      <w:pPr>
        <w:pStyle w:val="Normal"/>
        <w:widowControl w:val="false"/>
        <w:spacing w:before="120" w:after="0"/>
        <w:ind w:firstLine="709"/>
        <w:jc w:val="both"/>
        <w:rPr/>
      </w:pPr>
      <w:r>
        <w:rPr>
          <w:b/>
          <w:sz w:val="28"/>
          <w:szCs w:val="32"/>
          <w:lang w:val="sv-SE"/>
        </w:rPr>
        <w:t xml:space="preserve">2.4. Lâm nghiệp </w:t>
      </w:r>
    </w:p>
    <w:p>
      <w:pPr>
        <w:pStyle w:val="ListParagraph"/>
        <w:widowControl w:val="false"/>
        <w:spacing w:lineRule="auto" w:line="240" w:before="120" w:after="0"/>
        <w:ind w:left="0" w:firstLine="709"/>
        <w:contextualSpacing w:val="false"/>
        <w:jc w:val="both"/>
        <w:rPr/>
      </w:pPr>
      <w:bookmarkStart w:id="30" w:name="_Hlk65160762"/>
      <w:bookmarkEnd w:id="30"/>
      <w:r>
        <w:rPr>
          <w:rFonts w:eastAsia="Times New Roman"/>
          <w:szCs w:val="28"/>
          <w:lang w:val="de-DE" w:eastAsia="de-DE"/>
        </w:rPr>
        <w:t>- Chỉ đạo, đôn đốc Chi cục Kiểm lâm các tỉnh thực hiện các biện pháp PCCCR, bố trí lực lượng thường trực tại các vùng rừng có nguy cơ cháy cao</w:t>
      </w:r>
      <w:r>
        <w:rPr>
          <w:rFonts w:eastAsia="Times New Roman"/>
          <w:bCs/>
          <w:szCs w:val="28"/>
          <w:lang w:val="de-DE" w:eastAsia="de-DE"/>
        </w:rPr>
        <w:t>; duy trì thường trực công tác phòng cháy, chữa cháy rừng, đảm bảo 24/24 giờ tại Cục Kiểm lâm và các Chi cục Kiểm lâm vùng.</w:t>
      </w:r>
      <w:r>
        <w:rPr>
          <w:rFonts w:eastAsia="Times New Roman"/>
          <w:szCs w:val="28"/>
          <w:lang w:val="de-DE" w:eastAsia="de-DE"/>
        </w:rPr>
        <w:t xml:space="preserve"> </w:t>
      </w:r>
    </w:p>
    <w:p>
      <w:pPr>
        <w:pStyle w:val="ListParagraph"/>
        <w:widowControl w:val="false"/>
        <w:spacing w:lineRule="auto" w:line="240" w:before="120" w:after="0"/>
        <w:ind w:left="0" w:firstLine="709"/>
        <w:contextualSpacing w:val="false"/>
        <w:jc w:val="both"/>
        <w:rPr/>
      </w:pPr>
      <w:r>
        <w:rPr>
          <w:rFonts w:eastAsia="Times New Roman"/>
          <w:szCs w:val="28"/>
          <w:lang w:val="de-DE" w:eastAsia="de-DE"/>
        </w:rPr>
        <w:t>- Phối hợp với các phương tiện thông tin đại chúng tuyên truyền, cảnh báo nguy cơ cháy rừng sâu rộng; Triển khai hệ thống thông tin liên lạc trong trực cháy, chỉ huy chữa cháy rừng đến các tỉnh, huyện vùng trọng điểm.</w:t>
      </w:r>
    </w:p>
    <w:p>
      <w:pPr>
        <w:pStyle w:val="Normal"/>
        <w:widowControl w:val="false"/>
        <w:shd w:fill="FFFFFF" w:val="clear"/>
        <w:tabs>
          <w:tab w:val="clear" w:pos="720"/>
          <w:tab w:val="left" w:pos="851" w:leader="none"/>
        </w:tabs>
        <w:spacing w:before="120" w:after="0"/>
        <w:ind w:firstLine="709"/>
        <w:jc w:val="both"/>
        <w:rPr>
          <w:sz w:val="28"/>
          <w:szCs w:val="28"/>
        </w:rPr>
      </w:pPr>
      <w:r>
        <w:rPr>
          <w:sz w:val="28"/>
          <w:szCs w:val="28"/>
        </w:rPr>
        <w:t xml:space="preserve">- Tiếp tục chỉ đạo, đôn đốc các địa phương chuẩn bị cây giống và hiện trường để trồng rừng. Phối hợp với Văn phòng Chính phủ, các bộ liên quan để trình TTCP phê duyệt </w:t>
      </w:r>
      <w:r>
        <w:rPr>
          <w:sz w:val="28"/>
          <w:szCs w:val="28"/>
          <w:lang w:val="vi-VN"/>
        </w:rPr>
        <w:t>Báo cáo nghiên cứu khả thi Chương trình phát triển Lâm nghiệp bền vững giai đoạn 2021-2025</w:t>
      </w:r>
      <w:r>
        <w:rPr>
          <w:sz w:val="28"/>
          <w:szCs w:val="28"/>
        </w:rPr>
        <w:t xml:space="preserve"> và Đề án thí điểm cho thuê môi trường rừng để nuôi trồng, phát triển cây dược liệu. Hoàn thiện hồ sơ trình Hội đồng thẩm định và trình TTCP phê duyệt Quy hoạch Lâm nghiệp quốc gia.</w:t>
      </w:r>
    </w:p>
    <w:p>
      <w:pPr>
        <w:pStyle w:val="Normal"/>
        <w:widowControl w:val="false"/>
        <w:spacing w:before="120" w:after="0"/>
        <w:ind w:firstLine="709"/>
        <w:jc w:val="both"/>
        <w:rPr/>
      </w:pPr>
      <w:bookmarkStart w:id="31" w:name="_Hlk65160762"/>
      <w:bookmarkEnd w:id="31"/>
      <w:r>
        <w:rPr>
          <w:b/>
          <w:bCs/>
          <w:sz w:val="28"/>
          <w:szCs w:val="28"/>
          <w:lang w:val="sv-SE"/>
        </w:rPr>
        <w:t>2.5. Thủy lợi, phòng chống thiên tai</w:t>
      </w:r>
    </w:p>
    <w:p>
      <w:pPr>
        <w:pStyle w:val="Normal"/>
        <w:widowControl w:val="false"/>
        <w:spacing w:before="120" w:after="0"/>
        <w:ind w:firstLine="720"/>
        <w:jc w:val="both"/>
        <w:rPr/>
      </w:pPr>
      <w:bookmarkStart w:id="32" w:name="_Hlk62819938"/>
      <w:bookmarkStart w:id="33" w:name="_Hlk57618114"/>
      <w:bookmarkStart w:id="34" w:name="_Hlk54712029"/>
      <w:bookmarkEnd w:id="32"/>
      <w:bookmarkEnd w:id="33"/>
      <w:bookmarkEnd w:id="34"/>
      <w:r>
        <w:rPr>
          <w:sz w:val="28"/>
          <w:szCs w:val="28"/>
        </w:rPr>
        <w:t>- Theo dõi chặt chẽ tình hình thời tiết, nguồn nước, xâm nhập mặn để chỉ đạo ứng phó kịp thời, hỗ trợ các cấp chính quyền và người dân chủ động phòng tránh thiên tai; Chỉ đạo các địa phương tăng cường công tác quản lý, vận hành đảm bảo an toàn đập, hồ chứa thủy lợi, tăng cường các giải pháp phòng, chống thiên tai</w:t>
      </w:r>
      <w:r>
        <w:rPr>
          <w:sz w:val="28"/>
          <w:szCs w:val="28"/>
          <w:shd w:fill="FFFFFF" w:val="clear"/>
        </w:rPr>
        <w:t xml:space="preserve"> hiệu quả, giảm thiểu thiệt hại đến mức thấp nhất cho kinh tế, sản xuất, đời sống người dân.</w:t>
      </w:r>
      <w:r>
        <w:rPr>
          <w:b/>
          <w:sz w:val="28"/>
          <w:szCs w:val="28"/>
          <w:shd w:fill="FFFFFF" w:val="clear"/>
        </w:rPr>
        <w:t xml:space="preserve"> </w:t>
      </w:r>
    </w:p>
    <w:p>
      <w:pPr>
        <w:pStyle w:val="Normal"/>
        <w:widowControl w:val="false"/>
        <w:spacing w:before="120" w:after="0"/>
        <w:ind w:firstLine="709"/>
        <w:jc w:val="both"/>
        <w:rPr>
          <w:sz w:val="28"/>
          <w:szCs w:val="28"/>
          <w:lang w:val="af-ZA"/>
        </w:rPr>
      </w:pPr>
      <w:r>
        <w:rPr>
          <w:rStyle w:val="Fontstyle01"/>
          <w:rFonts w:cs="Times New Roman"/>
          <w:color w:val="000000"/>
        </w:rPr>
        <w:t>- Tiếp tục hoàn thiện Nghị định sửa đổi, bổ sung một số điều của Nghị định số 02/2017/NĐ-CP ngày 09/01/2017 trên cơ sở tiếp thu ý kiến các bộ, ngành, địa phương</w:t>
      </w:r>
      <w:r>
        <w:rPr>
          <w:sz w:val="28"/>
          <w:szCs w:val="28"/>
          <w:lang w:val="af-ZA"/>
        </w:rPr>
        <w:t xml:space="preserve">. </w:t>
      </w:r>
      <w:r>
        <w:rPr>
          <w:sz w:val="28"/>
          <w:szCs w:val="28"/>
          <w:lang w:val="it-IT"/>
        </w:rPr>
        <w:t>Rà soát Quy hoạch phòng, chống lũ và quy hoạch đê điều hệ thống sông Hồng, sông Thái Bình</w:t>
      </w:r>
    </w:p>
    <w:p>
      <w:pPr>
        <w:pStyle w:val="Normal"/>
        <w:spacing w:before="120" w:after="0"/>
        <w:ind w:firstLine="709"/>
        <w:jc w:val="both"/>
        <w:rPr/>
      </w:pPr>
      <w:r>
        <w:rPr>
          <w:spacing w:val="-2"/>
          <w:sz w:val="28"/>
          <w:szCs w:val="28"/>
        </w:rPr>
        <w:t xml:space="preserve">- </w:t>
      </w:r>
      <w:r>
        <w:rPr>
          <w:color w:val="000000"/>
          <w:spacing w:val="-2"/>
          <w:sz w:val="28"/>
          <w:szCs w:val="28"/>
        </w:rPr>
        <w:t xml:space="preserve">Tổ chức họp Hội đồng thẩm định; sửa hồ sơ quy hoạch để trình TTCP phủ phê duyệt </w:t>
      </w:r>
      <w:r>
        <w:rPr>
          <w:spacing w:val="-2"/>
          <w:sz w:val="28"/>
          <w:szCs w:val="28"/>
        </w:rPr>
        <w:t xml:space="preserve">Quy hoạch phòng, chống thiên tai và Thủy lợi giai đoạn 2021-2030, tầm nhìn 2045. </w:t>
      </w:r>
      <w:r>
        <w:rPr>
          <w:color w:val="000000"/>
          <w:spacing w:val="-2"/>
          <w:sz w:val="28"/>
          <w:szCs w:val="28"/>
        </w:rPr>
        <w:t>Tiếp tục hoàn thiện Kế hoạch hành động phát triển thủy lợi thông minh.</w:t>
      </w:r>
    </w:p>
    <w:p>
      <w:pPr>
        <w:pStyle w:val="Normal"/>
        <w:spacing w:before="120" w:after="0"/>
        <w:ind w:firstLine="709"/>
        <w:jc w:val="both"/>
        <w:rPr>
          <w:b/>
          <w:b/>
          <w:sz w:val="28"/>
          <w:szCs w:val="28"/>
        </w:rPr>
      </w:pPr>
      <w:bookmarkStart w:id="35" w:name="_Hlk62819938"/>
      <w:bookmarkStart w:id="36" w:name="_Hlk57618114"/>
      <w:bookmarkStart w:id="37" w:name="_Hlk54712029"/>
      <w:bookmarkEnd w:id="35"/>
      <w:bookmarkEnd w:id="36"/>
      <w:bookmarkEnd w:id="37"/>
      <w:r>
        <w:rPr>
          <w:b/>
          <w:sz w:val="28"/>
          <w:szCs w:val="28"/>
          <w:lang w:val="nb-NO"/>
        </w:rPr>
        <w:t>2.6.</w:t>
      </w:r>
      <w:r>
        <w:rPr>
          <w:b/>
          <w:sz w:val="28"/>
          <w:szCs w:val="28"/>
          <w:lang w:val="vi-VN"/>
        </w:rPr>
        <w:t xml:space="preserve"> </w:t>
      </w:r>
      <w:bookmarkStart w:id="38" w:name="_Hlk83830014"/>
      <w:r>
        <w:rPr>
          <w:b/>
          <w:sz w:val="28"/>
          <w:szCs w:val="28"/>
          <w:lang w:val="vi-VN"/>
        </w:rPr>
        <w:t xml:space="preserve">Hợp tác quốc tế và </w:t>
      </w:r>
      <w:r>
        <w:rPr>
          <w:b/>
          <w:sz w:val="28"/>
          <w:szCs w:val="28"/>
          <w:lang w:val="nb-NO"/>
        </w:rPr>
        <w:t>phát triển thị trường</w:t>
      </w:r>
      <w:bookmarkEnd w:id="38"/>
      <w:r>
        <w:rPr>
          <w:b/>
          <w:sz w:val="28"/>
          <w:szCs w:val="28"/>
          <w:lang w:val="vi-VN"/>
        </w:rPr>
        <w:t xml:space="preserve"> </w:t>
      </w:r>
    </w:p>
    <w:p>
      <w:pPr>
        <w:pStyle w:val="Normal"/>
        <w:widowControl w:val="false"/>
        <w:tabs>
          <w:tab w:val="clear" w:pos="720"/>
          <w:tab w:val="left" w:pos="993" w:leader="none"/>
        </w:tabs>
        <w:spacing w:before="120" w:after="0"/>
        <w:ind w:firstLine="709"/>
        <w:jc w:val="both"/>
        <w:rPr>
          <w:sz w:val="28"/>
          <w:szCs w:val="28"/>
        </w:rPr>
      </w:pPr>
      <w:bookmarkStart w:id="39" w:name="_Hlk83738554"/>
      <w:bookmarkStart w:id="40" w:name="_Hlk62819997"/>
      <w:bookmarkEnd w:id="40"/>
      <w:r>
        <w:rPr>
          <w:rFonts w:eastAsia="Batang;바탕"/>
          <w:sz w:val="28"/>
          <w:szCs w:val="28"/>
          <w:lang w:val="es-ES" w:eastAsia="ko-KR"/>
        </w:rPr>
        <w:t xml:space="preserve">- Theo dõi, khảo sát nắm bắt và tổng hợp thông tin, số liệu về giá cả, tình hình sản xuất, nguồn cung các mặt hàng nông sản tại các địa phương và tăng cường hỗ trợ kết nối, thúc đẩy chế biến, tiêu thụ trong nước và xuất khẩu (đặc biệt tại các cửa khẩu). </w:t>
      </w:r>
      <w:bookmarkEnd w:id="39"/>
      <w:r>
        <w:rPr>
          <w:sz w:val="28"/>
          <w:szCs w:val="28"/>
          <w:lang w:val="es-ES"/>
        </w:rPr>
        <w:t>Phối hợp với các đơn vị thuộc Bộ Công Thương xây dựng và triển khai các biện pháp nhằm thúc đẩy XK nông sản qua cửa khẩu biên giới theo hình thức thương mại chính ngạch. Xem xét c</w:t>
      </w:r>
      <w:r>
        <w:rPr>
          <w:rFonts w:eastAsia="SimSun;宋体"/>
          <w:iCs/>
          <w:spacing w:val="-2"/>
          <w:sz w:val="28"/>
          <w:szCs w:val="28"/>
          <w:lang w:val="de-DE"/>
        </w:rPr>
        <w:t>ông nhận Quy trình sản xuất nông nghiệp hữu cơ cho một số đối tượng cây, con</w:t>
      </w:r>
      <w:r>
        <w:rPr>
          <w:rStyle w:val="FootnoteCharacters"/>
          <w:rStyle w:val="FootnoteAnchor"/>
          <w:rFonts w:eastAsia="SimSun;宋体"/>
          <w:iCs/>
          <w:spacing w:val="-2"/>
          <w:sz w:val="28"/>
          <w:szCs w:val="28"/>
          <w:lang w:val="de-DE"/>
        </w:rPr>
        <w:footnoteReference w:id="15"/>
      </w:r>
      <w:r>
        <w:rPr>
          <w:spacing w:val="-2"/>
          <w:sz w:val="28"/>
          <w:szCs w:val="28"/>
          <w:lang w:val="de-DE"/>
        </w:rPr>
        <w:t>.</w:t>
      </w:r>
    </w:p>
    <w:p>
      <w:pPr>
        <w:pStyle w:val="Normal"/>
        <w:widowControl w:val="false"/>
        <w:tabs>
          <w:tab w:val="clear" w:pos="720"/>
          <w:tab w:val="left" w:pos="709" w:leader="none"/>
        </w:tabs>
        <w:spacing w:before="120" w:after="0"/>
        <w:jc w:val="both"/>
        <w:rPr/>
      </w:pPr>
      <w:r>
        <w:rPr>
          <w:sz w:val="28"/>
          <w:szCs w:val="28"/>
          <w:lang w:val="es-ES"/>
        </w:rPr>
        <w:tab/>
      </w:r>
      <w:bookmarkStart w:id="41" w:name="_Hlk83738571"/>
      <w:bookmarkEnd w:id="41"/>
      <w:r>
        <w:rPr>
          <w:sz w:val="28"/>
          <w:szCs w:val="28"/>
          <w:lang w:val="es-ES"/>
        </w:rPr>
        <w:t xml:space="preserve">- Tiếp tục đẩy mạnh hoạt động hợp tác song phương, đa phương, mở cửa thị trường nông sản với các nước; kịp thời cung cấp các thông tin, các quy định thị trường, kiểm soát xuất nhập khẩu Việt Nam-Trung Quốc. </w:t>
      </w:r>
      <w:r>
        <w:rPr>
          <w:sz w:val="28"/>
          <w:szCs w:val="28"/>
          <w:lang w:val="pt-BR"/>
        </w:rPr>
        <w:t xml:space="preserve">Thống nhất phương án giám sát xử lý vải xuất khẩu của niên vụ 2022 trong điều kiện dịch Covid-19. </w:t>
      </w:r>
      <w:r>
        <w:rPr>
          <w:sz w:val="28"/>
          <w:szCs w:val="28"/>
          <w:lang w:val="es-ES"/>
        </w:rPr>
        <w:t xml:space="preserve">Chuẩn bị </w:t>
      </w:r>
      <w:r>
        <w:rPr>
          <w:sz w:val="28"/>
          <w:szCs w:val="28"/>
        </w:rPr>
        <w:t xml:space="preserve">tổ chức Đoàn giao thương, quảng bá chuỗi cung ứng trái cây, thủy sản tại Trung Quốc. </w:t>
      </w:r>
      <w:r>
        <w:rPr>
          <w:rFonts w:eastAsia="Batang;바탕"/>
          <w:sz w:val="28"/>
          <w:szCs w:val="28"/>
          <w:lang w:val="es-ES" w:eastAsia="ko-KR"/>
        </w:rPr>
        <w:t xml:space="preserve">Chuẩn bị nội dung làm việc song phương với </w:t>
      </w:r>
      <w:r>
        <w:rPr>
          <w:sz w:val="28"/>
          <w:szCs w:val="28"/>
        </w:rPr>
        <w:t>Ba Lan, Đức, Pháp, Tây Ban Nha, Mông Cổ, Nhật Bản, Hungary</w:t>
      </w:r>
      <w:r>
        <w:rPr>
          <w:rFonts w:eastAsia="Batang;바탕"/>
          <w:sz w:val="28"/>
          <w:szCs w:val="28"/>
          <w:lang w:val="es-ES" w:eastAsia="ko-KR"/>
        </w:rPr>
        <w:t>.</w:t>
      </w:r>
    </w:p>
    <w:p>
      <w:pPr>
        <w:pStyle w:val="Normal"/>
        <w:widowControl w:val="false"/>
        <w:tabs>
          <w:tab w:val="clear" w:pos="720"/>
          <w:tab w:val="left" w:pos="709" w:leader="none"/>
        </w:tabs>
        <w:spacing w:before="120" w:after="0"/>
        <w:jc w:val="both"/>
        <w:rPr>
          <w:sz w:val="28"/>
          <w:szCs w:val="28"/>
        </w:rPr>
      </w:pPr>
      <w:r>
        <w:rPr>
          <w:rFonts w:eastAsia="Batang;바탕"/>
          <w:sz w:val="28"/>
          <w:szCs w:val="28"/>
          <w:lang w:val="es-ES" w:eastAsia="ko-KR"/>
        </w:rPr>
        <w:tab/>
      </w:r>
      <w:bookmarkStart w:id="42" w:name="_Hlk83738571"/>
      <w:bookmarkEnd w:id="42"/>
      <w:r>
        <w:rPr>
          <w:sz w:val="28"/>
          <w:szCs w:val="28"/>
        </w:rPr>
        <w:t xml:space="preserve">- Tiếp tục tổng hợp các thông báo và cảnh báo từ các đối tác thương mại và các nước thành viên WTO, phản hồi các góp ý đối với dự thảo biện pháp SPS mới của Việt Nam đã thông báo với WTO; </w:t>
      </w:r>
      <w:r>
        <w:rPr>
          <w:sz w:val="28"/>
          <w:szCs w:val="28"/>
          <w:lang w:val="vi-VN"/>
        </w:rPr>
        <w:t>tháo gỡ vướng mắc với TCHQ</w:t>
      </w:r>
      <w:r>
        <w:rPr>
          <w:sz w:val="28"/>
          <w:szCs w:val="28"/>
        </w:rPr>
        <w:t xml:space="preserve"> Trung Quốc</w:t>
      </w:r>
      <w:r>
        <w:rPr>
          <w:sz w:val="28"/>
          <w:szCs w:val="28"/>
          <w:lang w:val="vi-VN"/>
        </w:rPr>
        <w:t xml:space="preserve"> </w:t>
      </w:r>
      <w:r>
        <w:rPr>
          <w:sz w:val="28"/>
          <w:szCs w:val="28"/>
        </w:rPr>
        <w:t xml:space="preserve">phù hợp quy định </w:t>
      </w:r>
      <w:r>
        <w:rPr>
          <w:sz w:val="28"/>
          <w:szCs w:val="28"/>
          <w:lang w:val="vi-VN"/>
        </w:rPr>
        <w:t>Lệnh 248, 249.</w:t>
      </w:r>
      <w:r>
        <w:rPr>
          <w:sz w:val="28"/>
          <w:szCs w:val="28"/>
        </w:rPr>
        <w:t xml:space="preserve"> Tổ chức các Hội nghị, họp phổ biến quy định liên quan kiểm dịch, nội dung SPS; Chương trình truyền thông "Nông sản Việt Nam thích ứng với thị trường quốc tế - đảm bảo an toàn thực phẩm, an toàn bệnh dịch động, thực vật. Chương trình số 1: Thị trường Trung Quốc".</w:t>
      </w:r>
    </w:p>
    <w:p>
      <w:pPr>
        <w:pStyle w:val="Normal"/>
        <w:widowControl w:val="false"/>
        <w:spacing w:before="120" w:after="0"/>
        <w:ind w:firstLine="700"/>
        <w:jc w:val="both"/>
        <w:rPr/>
      </w:pPr>
      <w:bookmarkStart w:id="43" w:name="_Hlk62819997"/>
      <w:bookmarkEnd w:id="43"/>
      <w:r>
        <w:rPr>
          <w:rStyle w:val="StrongEmphasis"/>
          <w:bCs w:val="false"/>
          <w:sz w:val="28"/>
          <w:szCs w:val="28"/>
        </w:rPr>
        <w:t>2.7. Quản lý chất lượng và an toàn vệ sinh thực phẩm</w:t>
        <w:tab/>
      </w:r>
    </w:p>
    <w:p>
      <w:pPr>
        <w:pStyle w:val="Linh11"/>
        <w:tabs>
          <w:tab w:val="clear" w:pos="720"/>
          <w:tab w:val="left" w:pos="709" w:leader="none"/>
        </w:tabs>
        <w:spacing w:lineRule="auto" w:line="240" w:before="120" w:after="0"/>
        <w:ind w:firstLine="709"/>
        <w:jc w:val="both"/>
        <w:rPr/>
      </w:pPr>
      <w:r>
        <w:rPr>
          <w:b w:val="false"/>
          <w:lang w:val="sv-SE"/>
        </w:rPr>
        <w:t>- Tổ chức Hội nghị phổ biến, triển khai Đề án “Đảm bảo an toàn thực phẩm, nâng cao chất lượng nông lâm thủy sản giai đoạn 2021-2030” và ký kết Chương trình phối hợp giữa Bộ Nông nghiệp và PTNT với UBND TP.Cần Thơ về đảm bảo an toàn thực phẩm, nâng cao chất lượng nông, lâm, thủy sản giai đoạn 2022-2025.</w:t>
      </w:r>
    </w:p>
    <w:p>
      <w:pPr>
        <w:pStyle w:val="Normal"/>
        <w:widowControl w:val="false"/>
        <w:spacing w:before="120" w:after="0"/>
        <w:ind w:firstLine="720"/>
        <w:jc w:val="both"/>
        <w:rPr/>
      </w:pPr>
      <w:r>
        <w:rPr>
          <w:sz w:val="28"/>
          <w:szCs w:val="28"/>
          <w:lang w:val="it-IT"/>
        </w:rPr>
        <w:t xml:space="preserve">- Đôn đốc các địa phương tiếp tục triển khai nghiêm công tác bảo đảm an toàn thực phẩm; </w:t>
      </w:r>
      <w:r>
        <w:rPr>
          <w:sz w:val="28"/>
          <w:szCs w:val="28"/>
          <w:lang w:val="sv-SE"/>
        </w:rPr>
        <w:t xml:space="preserve">hướng dẫn, hỗ trợ doanh nghiệp khôi phục sản xuất kinh doanh đảm bảo chất lượng, an toàn thực phẩm. </w:t>
      </w:r>
      <w:r>
        <w:rPr>
          <w:sz w:val="28"/>
          <w:szCs w:val="28"/>
          <w:lang w:val="pt-BR"/>
        </w:rPr>
        <w:t>H</w:t>
      </w:r>
      <w:r>
        <w:rPr>
          <w:sz w:val="28"/>
          <w:szCs w:val="28"/>
        </w:rPr>
        <w:t xml:space="preserve">ướng dẫn các địa phương </w:t>
      </w:r>
      <w:r>
        <w:rPr>
          <w:sz w:val="28"/>
          <w:szCs w:val="28"/>
          <w:lang w:val="sv-SE"/>
        </w:rPr>
        <w:t>tập trung nguồn lực t</w:t>
      </w:r>
      <w:r>
        <w:rPr>
          <w:bCs/>
          <w:sz w:val="28"/>
          <w:szCs w:val="28"/>
          <w:lang w:val="nl-NL"/>
        </w:rPr>
        <w:t xml:space="preserve">iếp tục nhân rộng số lượng, mở rộng quy mô chuỗi cung ứng nông lâm thủy sản an toàn; </w:t>
      </w:r>
      <w:r>
        <w:rPr>
          <w:sz w:val="28"/>
          <w:szCs w:val="28"/>
          <w:lang w:val="sv-SE"/>
        </w:rPr>
        <w:t>vận động cơ sở sản xuất, sơ chế, kinh doanh nhỏ lẻ ký cam kết và tuân thủ quy định ATTP</w:t>
      </w:r>
      <w:r>
        <w:rPr>
          <w:bCs/>
          <w:sz w:val="28"/>
          <w:szCs w:val="28"/>
          <w:lang w:val="nl-NL"/>
        </w:rPr>
        <w:t xml:space="preserve">. </w:t>
      </w:r>
    </w:p>
    <w:p>
      <w:pPr>
        <w:pStyle w:val="Normal"/>
        <w:widowControl w:val="false"/>
        <w:spacing w:before="120" w:after="0"/>
        <w:ind w:firstLine="720"/>
        <w:jc w:val="both"/>
        <w:rPr/>
      </w:pPr>
      <w:r>
        <w:rPr>
          <w:sz w:val="28"/>
          <w:szCs w:val="28"/>
          <w:lang w:val="nl-NL"/>
        </w:rPr>
        <w:t>- D</w:t>
      </w:r>
      <w:r>
        <w:rPr>
          <w:sz w:val="28"/>
          <w:szCs w:val="28"/>
          <w:lang w:val="sv-SE"/>
        </w:rPr>
        <w:t xml:space="preserve">uy trì triển khai các chương trình giám sát vệ sinh ATTP nông lâm thủy sản để kịp thời cảnh báo, xử lý vi phạm theo quy định. </w:t>
      </w:r>
      <w:r>
        <w:rPr>
          <w:bCs/>
          <w:sz w:val="28"/>
          <w:szCs w:val="28"/>
          <w:lang w:val="sv-SE"/>
        </w:rPr>
        <w:t xml:space="preserve">Chủ động tiếp nhận thông tin, </w:t>
      </w:r>
      <w:r>
        <w:rPr>
          <w:bCs/>
          <w:sz w:val="28"/>
          <w:szCs w:val="28"/>
          <w:lang w:val="nl-NL"/>
        </w:rPr>
        <w:t xml:space="preserve">thanh tra đột xuất, xử lý kịp thời, nghiêm túc các vi phạm về ATTP. </w:t>
      </w:r>
    </w:p>
    <w:p>
      <w:pPr>
        <w:pStyle w:val="Normal"/>
        <w:widowControl w:val="false"/>
        <w:spacing w:before="120" w:after="0"/>
        <w:ind w:firstLine="720"/>
        <w:jc w:val="both"/>
        <w:rPr>
          <w:sz w:val="28"/>
          <w:szCs w:val="28"/>
          <w:lang w:val="it-IT"/>
        </w:rPr>
      </w:pPr>
      <w:r>
        <w:rPr>
          <w:bCs/>
          <w:sz w:val="28"/>
          <w:szCs w:val="28"/>
          <w:lang w:val="nl-NL"/>
        </w:rPr>
        <w:t xml:space="preserve">- </w:t>
      </w:r>
      <w:r>
        <w:rPr>
          <w:bCs/>
          <w:iCs/>
          <w:sz w:val="28"/>
          <w:szCs w:val="28"/>
          <w:lang w:val="sv-SE"/>
        </w:rPr>
        <w:t>Cung cấp kịp thời, chính xác cho các Báo,</w:t>
      </w:r>
      <w:r>
        <w:rPr>
          <w:sz w:val="28"/>
          <w:szCs w:val="28"/>
          <w:lang w:val="nl-NL"/>
        </w:rPr>
        <w:t xml:space="preserve"> Đài thông tin quản lý chất lượng vật tư nông nghiệp, đảm bảo ATTP nông lâm thủy sản; </w:t>
      </w:r>
      <w:r>
        <w:rPr>
          <w:sz w:val="28"/>
          <w:szCs w:val="28"/>
          <w:lang w:val="sv-SE"/>
        </w:rPr>
        <w:t xml:space="preserve">phối hợp phổ biến pháp luật chất lượng, ATTP, truyền thông quảng bá sản xuất, kinh doanh nông lâm thủy sản đảm bảo chất lượng, an toàn. </w:t>
      </w:r>
    </w:p>
    <w:p>
      <w:pPr>
        <w:pStyle w:val="Normal"/>
        <w:widowControl w:val="false"/>
        <w:spacing w:before="120" w:after="0"/>
        <w:ind w:firstLine="720"/>
        <w:jc w:val="both"/>
        <w:rPr/>
      </w:pPr>
      <w:r>
        <w:rPr>
          <w:b/>
          <w:bCs/>
          <w:sz w:val="28"/>
          <w:szCs w:val="28"/>
          <w:lang w:val="nb-NO"/>
        </w:rPr>
        <w:t>2.8. Phát triển nông thôn và xây dựng nông thôn mới</w:t>
      </w:r>
    </w:p>
    <w:p>
      <w:pPr>
        <w:pStyle w:val="Normal"/>
        <w:widowControl w:val="false"/>
        <w:tabs>
          <w:tab w:val="clear" w:pos="720"/>
          <w:tab w:val="left" w:pos="709" w:leader="none"/>
        </w:tabs>
        <w:spacing w:before="120" w:after="0"/>
        <w:ind w:firstLine="720"/>
        <w:jc w:val="both"/>
        <w:rPr>
          <w:iCs/>
          <w:sz w:val="28"/>
          <w:szCs w:val="28"/>
        </w:rPr>
      </w:pPr>
      <w:r>
        <w:rPr>
          <w:sz w:val="28"/>
          <w:szCs w:val="28"/>
        </w:rPr>
        <w:t xml:space="preserve">- Tiếp tục hoàn thiện nội dung </w:t>
      </w:r>
      <w:r>
        <w:rPr>
          <w:iCs/>
          <w:sz w:val="28"/>
          <w:szCs w:val="28"/>
          <w:lang w:val="vi-VN"/>
        </w:rPr>
        <w:t xml:space="preserve">Đề án </w:t>
      </w:r>
      <w:r>
        <w:rPr>
          <w:iCs/>
          <w:sz w:val="28"/>
          <w:szCs w:val="28"/>
        </w:rPr>
        <w:t xml:space="preserve">“Nâng cao năng lực thích ứng với Biến đổi khí hậu cho </w:t>
      </w:r>
      <w:r>
        <w:rPr>
          <w:iCs/>
          <w:sz w:val="28"/>
          <w:szCs w:val="28"/>
          <w:lang w:val="vi-VN"/>
        </w:rPr>
        <w:t xml:space="preserve">hợp tác xã nông vùng </w:t>
      </w:r>
      <w:r>
        <w:rPr>
          <w:iCs/>
          <w:sz w:val="28"/>
          <w:szCs w:val="28"/>
        </w:rPr>
        <w:t>ĐBSCL</w:t>
      </w:r>
      <w:r>
        <w:rPr>
          <w:iCs/>
          <w:sz w:val="28"/>
          <w:szCs w:val="28"/>
          <w:lang w:val="vi-VN"/>
        </w:rPr>
        <w:t xml:space="preserve"> giai đoạn 2021-2025</w:t>
      </w:r>
      <w:r>
        <w:rPr>
          <w:iCs/>
          <w:sz w:val="28"/>
          <w:szCs w:val="28"/>
        </w:rPr>
        <w:t xml:space="preserve">” và </w:t>
      </w:r>
      <w:r>
        <w:rPr>
          <w:bCs/>
          <w:iCs/>
          <w:sz w:val="28"/>
          <w:szCs w:val="28"/>
        </w:rPr>
        <w:t xml:space="preserve">Nghị quyết của Chính phủ về phát triển HTX nông nghiệp phục vụ cơ cấu lại ngành nông nghiệp và xây dựng nông thôn </w:t>
      </w:r>
      <w:r>
        <w:rPr>
          <w:iCs/>
          <w:sz w:val="28"/>
          <w:szCs w:val="28"/>
        </w:rPr>
        <w:t xml:space="preserve">mới. Tiếp tục triển khai các </w:t>
      </w:r>
      <w:r>
        <w:rPr>
          <w:sz w:val="28"/>
          <w:szCs w:val="28"/>
        </w:rPr>
        <w:t>Chương trình: giảm nghèo, không còn nạn đói; bảo hiểm nông nghiệp;… Tổ chức Hội nghị triển khai Đề án thí điểm xây dựng vùng nguyên liệu cây ăn quả vùng miền núi phía Bắc đạt chuẩn phục vụ tiêu thụ trong nước và xuất khẩu giai đoạn 2022-2025 tại 02 tỉnh Hòa Bình và Sơn La.</w:t>
      </w:r>
    </w:p>
    <w:p>
      <w:pPr>
        <w:pStyle w:val="Normal"/>
        <w:tabs>
          <w:tab w:val="clear" w:pos="720"/>
          <w:tab w:val="left" w:pos="709" w:leader="none"/>
        </w:tabs>
        <w:spacing w:before="120" w:after="0"/>
        <w:jc w:val="both"/>
        <w:rPr>
          <w:sz w:val="28"/>
          <w:szCs w:val="28"/>
        </w:rPr>
      </w:pPr>
      <w:r>
        <w:rPr>
          <w:sz w:val="28"/>
          <w:szCs w:val="28"/>
          <w:lang w:val="de-DE" w:eastAsia="ja-JP"/>
        </w:rPr>
        <w:tab/>
        <w:t xml:space="preserve">- Tiếp tục </w:t>
      </w:r>
      <w:r>
        <w:rPr>
          <w:sz w:val="28"/>
          <w:szCs w:val="28"/>
          <w:shd w:fill="FFFFFF" w:val="clear"/>
        </w:rPr>
        <w:t xml:space="preserve">xây dựng khung pháp lý và cơ chế chính sách thực hiện Chương trình giai đoạn 2021-2025; </w:t>
      </w:r>
      <w:r>
        <w:rPr>
          <w:bCs/>
          <w:sz w:val="28"/>
          <w:szCs w:val="28"/>
          <w:lang w:val="de-DE"/>
        </w:rPr>
        <w:t>Tiếp tục</w:t>
      </w:r>
      <w:r>
        <w:rPr>
          <w:iCs/>
          <w:color w:val="000000"/>
          <w:spacing w:val="4"/>
          <w:sz w:val="28"/>
          <w:szCs w:val="28"/>
        </w:rPr>
        <w:t xml:space="preserve"> hoàn thiện phương án trình Thủ tướng Chính phủ xem xét, giao kế hoạch vốn ngân sách trung ương giai đoạn 2021-2025 và năm 2022</w:t>
      </w:r>
      <w:r>
        <w:rPr>
          <w:bCs/>
          <w:sz w:val="28"/>
          <w:szCs w:val="28"/>
          <w:lang w:val="de-DE"/>
        </w:rPr>
        <w:t xml:space="preserve">. </w:t>
      </w:r>
      <w:r>
        <w:rPr>
          <w:sz w:val="28"/>
          <w:szCs w:val="28"/>
        </w:rPr>
        <w:t>Tiếp tục hướng dẫn các địa phương triển khai Chương trình OCOP và tổ chức đánh giá, phân hạng sản phẩm OCOP cấp quốc gia năm 2022.</w:t>
      </w:r>
    </w:p>
    <w:p>
      <w:pPr>
        <w:pStyle w:val="Normal"/>
        <w:widowControl w:val="false"/>
        <w:spacing w:before="120" w:after="0"/>
        <w:ind w:firstLine="720"/>
        <w:jc w:val="both"/>
        <w:rPr/>
      </w:pPr>
      <w:r>
        <w:rPr>
          <w:b/>
          <w:sz w:val="28"/>
          <w:szCs w:val="28"/>
          <w:lang w:val="de-DE" w:eastAsia="ja-JP"/>
        </w:rPr>
        <w:t>2.9.</w:t>
      </w:r>
      <w:r>
        <w:rPr>
          <w:b/>
          <w:sz w:val="28"/>
          <w:szCs w:val="28"/>
          <w:lang w:val="nb-NO"/>
        </w:rPr>
        <w:t xml:space="preserve"> Đầu tư xây dựng cơ bản</w:t>
      </w:r>
    </w:p>
    <w:p>
      <w:pPr>
        <w:pStyle w:val="BodyText2"/>
        <w:widowControl w:val="false"/>
        <w:tabs>
          <w:tab w:val="clear" w:pos="720"/>
          <w:tab w:val="left" w:pos="709" w:leader="none"/>
          <w:tab w:val="left" w:pos="851" w:leader="none"/>
        </w:tabs>
        <w:spacing w:before="120" w:after="0"/>
        <w:ind w:firstLine="709"/>
        <w:rPr/>
      </w:pPr>
      <w:bookmarkStart w:id="44" w:name="_Hlk65160903"/>
      <w:bookmarkStart w:id="45" w:name="_Hlk62820197"/>
      <w:bookmarkEnd w:id="44"/>
      <w:bookmarkEnd w:id="45"/>
      <w:r>
        <w:rPr>
          <w:rFonts w:cs="Times New Roman" w:ascii="Times New Roman" w:hAnsi="Times New Roman"/>
          <w:color w:val="000000"/>
          <w:sz w:val="28"/>
          <w:szCs w:val="28"/>
        </w:rPr>
        <w:t xml:space="preserve">- Đôn đốc các Chủ đầu tư tổ chức thực hiện tốt khảo sát, lập báo cáo NCKT các dự án giai đoạn 2021-2025 đảm bảo tiến độ, tập trung vào các dự án dự định khởi công trong năm 2022; chủ động trong công tác phòng, chống thiên tai, đảm bảo an toàn cho các công trình đang triển khai thực hiện; tổ chức các đoàn đi thực tế hiện trường các dự án. </w:t>
      </w:r>
    </w:p>
    <w:p>
      <w:pPr>
        <w:pStyle w:val="BodyText2"/>
        <w:tabs>
          <w:tab w:val="clear" w:pos="720"/>
          <w:tab w:val="left" w:pos="709" w:leader="none"/>
          <w:tab w:val="left" w:pos="851" w:leader="none"/>
        </w:tabs>
        <w:spacing w:before="120" w:after="0"/>
        <w:rPr>
          <w:rFonts w:ascii="Times New Roman" w:hAnsi="Times New Roman" w:cs="Times New Roman"/>
          <w:color w:val="000000"/>
          <w:sz w:val="28"/>
          <w:szCs w:val="28"/>
        </w:rPr>
      </w:pPr>
      <w:r>
        <w:rPr>
          <w:rFonts w:cs="Times New Roman" w:ascii="Times New Roman" w:hAnsi="Times New Roman"/>
          <w:color w:val="000000"/>
          <w:sz w:val="28"/>
          <w:szCs w:val="28"/>
        </w:rPr>
        <w:tab/>
        <w:t>- Kiểm tra kiểm tra tiến độ thực hiện dự án, công tác nghiệm thu hoàn thành dự án của chủ đầu tư các dự án giai đoạn 2016-2020; Làm việc với Bộ Tài Nguyên Môi trường, Bộ Tài Chính để hướng dẫn các chủ đầu tư phương án xử lý đối với các khó khăn vướng mắc về GPMB, khung chính sách, xây dựng trụ sở. Xây dựng thử nghiệm hệ thống thông tin báo cáo trong quản lý đầu tư xây dựng của Bộ.</w:t>
      </w:r>
    </w:p>
    <w:p>
      <w:pPr>
        <w:pStyle w:val="BodyText2"/>
        <w:tabs>
          <w:tab w:val="clear" w:pos="720"/>
          <w:tab w:val="left" w:pos="709" w:leader="none"/>
          <w:tab w:val="left" w:pos="851" w:leader="none"/>
        </w:tabs>
        <w:spacing w:before="120" w:after="0"/>
        <w:rPr>
          <w:rFonts w:ascii="Times New Roman" w:hAnsi="Times New Roman" w:cs="Times New Roman"/>
          <w:color w:val="000000"/>
          <w:sz w:val="28"/>
          <w:szCs w:val="28"/>
        </w:rPr>
      </w:pPr>
      <w:r>
        <w:rPr>
          <w:rFonts w:cs="Times New Roman" w:ascii="Times New Roman" w:hAnsi="Times New Roman"/>
          <w:color w:val="000000"/>
          <w:sz w:val="28"/>
          <w:szCs w:val="28"/>
        </w:rPr>
        <w:tab/>
        <w:t>- Khẩn trương thẩm định chủ trương đầu tư 03 dự án đầu tư giao Bộ thuộc Chương trình Phục hồi và phát triển kinh tế - xã hội theo chỉ đạo của TTCP tại văn bản số 450/TTg-KTTH ngày 20/5/2022.</w:t>
      </w:r>
    </w:p>
    <w:p>
      <w:pPr>
        <w:pStyle w:val="Normal"/>
        <w:widowControl w:val="false"/>
        <w:spacing w:before="120" w:after="0"/>
        <w:ind w:firstLine="720"/>
        <w:jc w:val="both"/>
        <w:rPr/>
      </w:pPr>
      <w:bookmarkStart w:id="46" w:name="_Hlk65160903"/>
      <w:bookmarkStart w:id="47" w:name="_Hlk62820197"/>
      <w:bookmarkEnd w:id="46"/>
      <w:bookmarkEnd w:id="47"/>
      <w:r>
        <w:rPr>
          <w:b/>
          <w:sz w:val="28"/>
          <w:szCs w:val="28"/>
          <w:lang w:val="de-DE" w:eastAsia="ja-JP"/>
        </w:rPr>
        <w:t>2.10.</w:t>
      </w:r>
      <w:r>
        <w:rPr>
          <w:b/>
          <w:sz w:val="28"/>
          <w:szCs w:val="28"/>
          <w:lang w:val="da-DK"/>
        </w:rPr>
        <w:t xml:space="preserve"> Các nhiệm vụ khác</w:t>
      </w:r>
    </w:p>
    <w:p>
      <w:pPr>
        <w:pStyle w:val="Normal"/>
        <w:widowControl w:val="false"/>
        <w:spacing w:before="120" w:after="0"/>
        <w:ind w:firstLine="720"/>
        <w:jc w:val="both"/>
        <w:rPr>
          <w:bCs/>
          <w:iCs/>
          <w:sz w:val="28"/>
          <w:szCs w:val="28"/>
          <w:lang w:val="da-DK"/>
        </w:rPr>
      </w:pPr>
      <w:r>
        <w:rPr>
          <w:iCs/>
          <w:sz w:val="28"/>
          <w:szCs w:val="28"/>
          <w:lang w:val="da-DK"/>
        </w:rPr>
        <w:t>- K</w:t>
      </w:r>
      <w:r>
        <w:rPr>
          <w:iCs/>
          <w:sz w:val="28"/>
          <w:szCs w:val="28"/>
          <w:lang w:val="vi-VN"/>
        </w:rPr>
        <w:t>ế hoạch, tài chính</w:t>
      </w:r>
      <w:r>
        <w:rPr>
          <w:iCs/>
          <w:sz w:val="28"/>
          <w:szCs w:val="28"/>
          <w:lang w:val="da-DK"/>
        </w:rPr>
        <w:t xml:space="preserve">: </w:t>
      </w:r>
      <w:bookmarkStart w:id="48" w:name="_Hlk83738655"/>
      <w:r>
        <w:rPr>
          <w:iCs/>
          <w:sz w:val="28"/>
          <w:szCs w:val="28"/>
          <w:lang w:val="da-DK"/>
        </w:rPr>
        <w:t xml:space="preserve">Các đơn vị khẩn trương thực hiện </w:t>
      </w:r>
      <w:r>
        <w:rPr>
          <w:bCs/>
          <w:iCs/>
          <w:sz w:val="28"/>
          <w:szCs w:val="28"/>
          <w:lang w:val="da-DK"/>
        </w:rPr>
        <w:t xml:space="preserve">Chiến lược phát triển nông nghiệp, nông thôn bền vững giai đoạn 2021-2030 và tầm nhìn đến năm 2050 theo Kế hoạch đã phê duyệt. </w:t>
      </w:r>
      <w:bookmarkEnd w:id="48"/>
      <w:r>
        <w:rPr>
          <w:sz w:val="28"/>
          <w:szCs w:val="28"/>
          <w:lang w:val="sv-SE"/>
        </w:rPr>
        <w:t>Tiếp tục giao kinh phí ngân sách Nhà nước năm 2022 cho các đơn vị (Đợt 6).</w:t>
      </w:r>
    </w:p>
    <w:p>
      <w:pPr>
        <w:pStyle w:val="Normal"/>
        <w:widowControl w:val="false"/>
        <w:spacing w:before="120" w:after="0"/>
        <w:ind w:firstLine="720"/>
        <w:jc w:val="both"/>
        <w:rPr>
          <w:sz w:val="28"/>
          <w:szCs w:val="28"/>
        </w:rPr>
      </w:pPr>
      <w:r>
        <w:rPr>
          <w:sz w:val="28"/>
          <w:szCs w:val="28"/>
        </w:rPr>
        <w:t>- Quy hoạch: Các đơn vị tiếp tục khẩn trương thực hiện các nhiệm vụ Bộ trưởng giao tại văn bản số 2902/BNN-KH ngày 10/5/2022. Đặc biệt tập trung nguồn lực hoàn thành, trình phê duyệt 04 Quy hoạch ngành quốc gia trong năm 2022 theo tiến độ đã đăng ký.</w:t>
      </w:r>
    </w:p>
    <w:p>
      <w:pPr>
        <w:pStyle w:val="Normal"/>
        <w:widowControl w:val="false"/>
        <w:autoSpaceDE w:val="false"/>
        <w:spacing w:before="120" w:after="0"/>
        <w:ind w:right="85" w:firstLine="709"/>
        <w:jc w:val="both"/>
        <w:rPr>
          <w:sz w:val="28"/>
          <w:szCs w:val="28"/>
        </w:rPr>
      </w:pPr>
      <w:r>
        <w:rPr>
          <w:sz w:val="28"/>
          <w:szCs w:val="28"/>
          <w:lang w:val="es-ES"/>
        </w:rPr>
        <w:t>- Tổ chức cán bộ:</w:t>
      </w:r>
      <w:r>
        <w:rPr>
          <w:sz w:val="28"/>
          <w:szCs w:val="28"/>
        </w:rPr>
        <w:t xml:space="preserve"> Trình Ban cán sự Dự thảo Nghị định Quy định chức năng, nhiệm vụ, quyền hạn và cơ cấu tổ chức của Bộ xin ý kiến trình Chính phủ. Xây dựng Dự thảo Quyết định/Thông tư quy định danh mục vị trí công tác và thời hạn định kỳ chuyển đổi vị trí công tác đối với công chức, viên chức ngành NN và PTNT; Danh mục các vị trí trọng yếu cơ mật của ngành;</w:t>
      </w:r>
    </w:p>
    <w:p>
      <w:pPr>
        <w:pStyle w:val="Contents"/>
        <w:spacing w:before="120" w:after="0"/>
        <w:rPr>
          <w:spacing w:val="-4"/>
        </w:rPr>
      </w:pPr>
      <w:r>
        <w:rPr/>
        <w:t xml:space="preserve">- Khoa học công nghệ: </w:t>
      </w:r>
      <w:r>
        <w:rPr>
          <w:spacing w:val="-4"/>
        </w:rPr>
        <w:t>Hoàn thiện danh mục các nhiệm vụ thuộc Chương trình nâng cao NSCL sản phẩm hàng hóa ngành nông nghiệp năm 2023;</w:t>
      </w:r>
      <w:r>
        <w:rPr/>
        <w:t xml:space="preserve"> P</w:t>
      </w:r>
      <w:r>
        <w:rPr>
          <w:spacing w:val="-4"/>
        </w:rPr>
        <w:t xml:space="preserve">hê duyệt danh mục TCQC năm 2023; Hoàn thiện và xem xét ban hành Chiến lược phát triển khoa học, công nghệ và đổi mới sáng tạo ngành NN và PTNT giai đoạn 2021-2030. </w:t>
      </w:r>
    </w:p>
    <w:p>
      <w:pPr>
        <w:pStyle w:val="Contents"/>
        <w:spacing w:before="120" w:after="0"/>
        <w:rPr>
          <w:spacing w:val="-4"/>
        </w:rPr>
      </w:pPr>
      <w:r>
        <w:rPr>
          <w:spacing w:val="-4"/>
        </w:rPr>
        <w:t xml:space="preserve">- </w:t>
      </w:r>
      <w:r>
        <w:rPr>
          <w:bCs/>
        </w:rPr>
        <w:t xml:space="preserve">Xây dựng văn bản: Tập trung đẩy nhanh tiến độ xây dựng VB. Tháng 6, Bộ cần hoàn thành và trình 01 Nghị định của Chính phủ, 10 Thông tư phải ban hành (bao gồm cả các văn bản đã chậm tiến độ từ tháng 01- 5/2022 và văn bản phải trình, ban hành trong tháng 6/2022). </w:t>
      </w:r>
    </w:p>
    <w:p>
      <w:pPr>
        <w:pStyle w:val="Contents"/>
        <w:spacing w:before="120" w:after="0"/>
        <w:rPr>
          <w:lang w:val="es-ES"/>
        </w:rPr>
      </w:pPr>
      <w:r>
        <w:rPr/>
        <w:t xml:space="preserve">- </w:t>
      </w:r>
      <w:bookmarkStart w:id="49" w:name="_Hlk73028830"/>
      <w:r>
        <w:rPr>
          <w:iCs/>
          <w:lang w:val="sv-SE"/>
        </w:rPr>
        <w:t xml:space="preserve">Đẩy mạnh </w:t>
      </w:r>
      <w:r>
        <w:rPr>
          <w:lang w:val="vi-VN"/>
        </w:rPr>
        <w:t>hoạt động cải cách hành chính</w:t>
      </w:r>
      <w:r>
        <w:rPr>
          <w:lang w:val="sv-SE"/>
        </w:rPr>
        <w:t>, thực hiện các nhiệm vụ về cải thiện môi trường đầu tư kinh doanh, tháo gỡ khó khăn cho doanh nghiệp;</w:t>
      </w:r>
      <w:r>
        <w:rPr>
          <w:lang w:val="vi-VN"/>
        </w:rPr>
        <w:t xml:space="preserve"> tăng cường công tác thanh tra, kiểm tra, thực hiện nghiêm Luật Phòng, chống tham nhũng và Luật thực hành tiết kiệm, chống lãng phí./.   </w:t>
      </w:r>
      <w:bookmarkEnd w:id="49"/>
    </w:p>
    <w:p>
      <w:pPr>
        <w:pStyle w:val="Normal"/>
        <w:widowControl w:val="false"/>
        <w:spacing w:before="120" w:after="0"/>
        <w:ind w:firstLine="720"/>
        <w:jc w:val="both"/>
        <w:rPr>
          <w:b/>
          <w:b/>
          <w:sz w:val="28"/>
          <w:szCs w:val="28"/>
          <w:lang w:val="vi-VN"/>
        </w:rPr>
      </w:pPr>
      <w:r>
        <w:rPr>
          <w:sz w:val="28"/>
          <w:szCs w:val="28"/>
          <w:lang w:val="vi-VN"/>
        </w:rPr>
        <w:tab/>
        <w:tab/>
        <w:tab/>
        <w:tab/>
        <w:tab/>
      </w:r>
      <w:r>
        <w:rPr>
          <w:b/>
          <w:sz w:val="28"/>
          <w:szCs w:val="28"/>
          <w:lang w:val="vi-VN"/>
        </w:rPr>
        <w:tab/>
      </w:r>
    </w:p>
    <w:p>
      <w:pPr>
        <w:pStyle w:val="Normal"/>
        <w:widowControl w:val="false"/>
        <w:spacing w:before="120" w:after="0"/>
        <w:ind w:left="4320" w:firstLine="720"/>
        <w:jc w:val="both"/>
        <w:rPr>
          <w:b/>
          <w:b/>
          <w:sz w:val="28"/>
          <w:szCs w:val="28"/>
          <w:lang w:val="es-ES_tradnl"/>
        </w:rPr>
      </w:pPr>
      <w:r>
        <w:rPr>
          <w:b/>
          <w:sz w:val="28"/>
          <w:szCs w:val="28"/>
          <w:lang w:val="es-ES_tradnl"/>
        </w:rPr>
        <w:t>BỘ NÔNG NGHIỆP VÀ PTNT</w:t>
      </w:r>
    </w:p>
    <w:sectPr>
      <w:headerReference w:type="default" r:id="rId2"/>
      <w:headerReference w:type="first" r:id="rId3"/>
      <w:footerReference w:type="default" r:id="rId4"/>
      <w:footerReference w:type="first" r:id="rId5"/>
      <w:footnotePr>
        <w:numFmt w:val="decimal"/>
      </w:footnotePr>
      <w:type w:val="nextPage"/>
      <w:pgSz w:w="11906" w:h="16838"/>
      <w:pgMar w:left="1644" w:right="1077" w:gutter="0" w:header="720" w:top="907" w:footer="357"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VNI-Times">
    <w:altName w:val="Cambria"/>
    <w:charset w:val="00"/>
    <w:family w:val="auto"/>
    <w:pitch w:val="variable"/>
  </w:font>
  <w:font w:name="Tahoma">
    <w:charset w:val="00"/>
    <w:family w:val="swiss"/>
    <w:pitch w:val="variable"/>
  </w:font>
  <w:font w:name=".VnTime">
    <w:altName w:val="Courier New"/>
    <w:charset w:val="00"/>
    <w:family w:val="swiss"/>
    <w:pitch w:val="variable"/>
  </w:font>
  <w:font w:name=".VnArialH">
    <w:altName w:val="MV Boli"/>
    <w:charset w:val="00"/>
    <w:family w:val="swiss"/>
    <w:pitch w:val="variable"/>
  </w:font>
  <w:font w:name="Consolas">
    <w:charset w:val="00"/>
    <w:family w:val="modern"/>
    <w:pitch w:val="default"/>
  </w:font>
  <w:font w:name="Times-Roman">
    <w:altName w:val="Times New Roman"/>
    <w:charset w:val="00"/>
    <w:family w:val="auto"/>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 xml:space="preserve"> </w:t>
      </w:r>
      <w:r>
        <w:rPr/>
        <w:t xml:space="preserve">Diện tích và sản lượng thu hoạch gồm: </w:t>
      </w:r>
      <w:r>
        <w:rPr>
          <w:spacing w:val="-2"/>
        </w:rPr>
        <w:t xml:space="preserve">lúa </w:t>
      </w:r>
      <w:r>
        <w:rPr>
          <w:b/>
          <w:spacing w:val="-2"/>
        </w:rPr>
        <w:t>Thu Đông</w:t>
      </w:r>
      <w:r>
        <w:rPr>
          <w:spacing w:val="-2"/>
        </w:rPr>
        <w:t xml:space="preserve"> (114,5 nghìn ha và 642 nghìn tấn), lúa </w:t>
      </w:r>
      <w:r>
        <w:rPr>
          <w:b/>
          <w:spacing w:val="-2"/>
        </w:rPr>
        <w:t>Mùa</w:t>
      </w:r>
      <w:r>
        <w:rPr>
          <w:spacing w:val="-2"/>
        </w:rPr>
        <w:t xml:space="preserve"> (210 nghìn ha và 1,03 triệu tấn) và lúa </w:t>
      </w:r>
      <w:r>
        <w:rPr>
          <w:b/>
          <w:spacing w:val="-2"/>
        </w:rPr>
        <w:t>Đông Xuân</w:t>
      </w:r>
      <w:r>
        <w:rPr>
          <w:spacing w:val="-2"/>
        </w:rPr>
        <w:t xml:space="preserve"> (2,3 triệu ha và 15,6 triệu tấn).  </w:t>
      </w:r>
    </w:p>
  </w:footnote>
  <w:footnote w:id="3">
    <w:p>
      <w:pPr>
        <w:pStyle w:val="Footnote"/>
        <w:rPr/>
      </w:pPr>
      <w:r>
        <w:rPr>
          <w:rStyle w:val="FootnoteCharacters"/>
        </w:rPr>
        <w:footnoteRef/>
      </w:r>
      <w:r>
        <w:rPr/>
        <w:t xml:space="preserve"> </w:t>
      </w:r>
      <w:r>
        <w:rPr>
          <w:bCs/>
          <w:iCs/>
        </w:rPr>
        <w:t>do một số tỉnh xuống giống sớm và tập trung hơn cùng kỳ năm trước</w:t>
      </w:r>
    </w:p>
  </w:footnote>
  <w:footnote w:id="4">
    <w:p>
      <w:pPr>
        <w:pStyle w:val="Normal"/>
        <w:widowControl w:val="false"/>
        <w:spacing w:before="60" w:after="0"/>
        <w:jc w:val="both"/>
        <w:rPr>
          <w:color w:val="000000"/>
          <w:sz w:val="18"/>
          <w:szCs w:val="18"/>
          <w:lang w:val="sv-SE"/>
        </w:rPr>
      </w:pPr>
      <w:r>
        <w:rPr>
          <w:rStyle w:val="FootnoteCharacters"/>
        </w:rPr>
        <w:footnoteRef/>
      </w:r>
      <w:r>
        <w:rPr>
          <w:sz w:val="18"/>
          <w:szCs w:val="18"/>
        </w:rPr>
        <w:t xml:space="preserve"> </w:t>
      </w:r>
      <w:r>
        <w:rPr>
          <w:color w:val="000000"/>
          <w:sz w:val="18"/>
          <w:szCs w:val="18"/>
          <w:lang w:val="sv-SE"/>
        </w:rPr>
        <w:t xml:space="preserve">So với cùng kỳ (tháng 5/2021), giá nguyên liệu TACN trong tháng 5/2022 đều tăng: Ngô hạt 9.200 đ/kg (tăng 9,5%), khô dầu đậu tương 14.500 đ/kg (tăng 13,0%), DDGS (bã ngô) 11.300 đ/kg (tăng 24,2%), cám gạo chiết ly 6.000 đ/kg (tăng 24,7%). </w:t>
      </w:r>
      <w:r>
        <w:rPr>
          <w:b/>
          <w:i/>
          <w:color w:val="000000"/>
          <w:sz w:val="18"/>
          <w:szCs w:val="18"/>
          <w:lang w:val="sv-SE"/>
        </w:rPr>
        <w:t>Tuy nhiên, khi so với bình quân tháng 4/2022 giá nguyên liệu TACN hiện nay đã giảm nhẹ.</w:t>
      </w:r>
    </w:p>
    <w:p>
      <w:pPr>
        <w:pStyle w:val="Normal"/>
        <w:widowControl w:val="false"/>
        <w:spacing w:before="60" w:after="0"/>
        <w:jc w:val="both"/>
        <w:rPr>
          <w:color w:val="000000"/>
          <w:sz w:val="18"/>
          <w:szCs w:val="18"/>
          <w:lang w:val="sv-SE"/>
        </w:rPr>
      </w:pPr>
      <w:r>
        <w:rPr>
          <w:color w:val="000000"/>
          <w:sz w:val="18"/>
          <w:szCs w:val="18"/>
          <w:lang w:val="sv-SE"/>
        </w:rPr>
        <w:t>Do giá nguyên liệu TACN tăng mạnh nên giá TACN công nghiệp (TACN thành phẩm) trong nước cũng tăng theo. So với cùng kỳ năm 2021, giá thức ăn cho lợn thịt xuất chuồng 13.000 đ/kg (tăng 15,5%); thức ăn cho gà thịt lông màu 12.900 đ/kg (tăng 16,0%); thức ăn cho gà thịt lông trắng 13.600 đ/kg (tăng 14,5%).</w:t>
      </w:r>
    </w:p>
  </w:footnote>
  <w:footnote w:id="5">
    <w:p>
      <w:pPr>
        <w:pStyle w:val="Footnote"/>
        <w:jc w:val="both"/>
        <w:rPr/>
      </w:pPr>
      <w:r>
        <w:rPr>
          <w:rStyle w:val="FootnoteCharacters"/>
        </w:rPr>
        <w:footnoteRef/>
      </w:r>
      <w:r>
        <w:rPr/>
        <w:t xml:space="preserve"> </w:t>
      </w:r>
      <w:r>
        <w:rPr/>
        <w:t xml:space="preserve">Theo TCLN: Tháng 5,  trồng rừng </w:t>
      </w:r>
      <w:r>
        <w:rPr>
          <w:shd w:fill="FFFFFF" w:val="clear"/>
        </w:rPr>
        <w:t>đạt 23,9 nghìn ha, khai thác gỗ đạt 1,5 triệu m</w:t>
      </w:r>
      <w:r>
        <w:rPr>
          <w:shd w:fill="FFFFFF" w:val="clear"/>
          <w:vertAlign w:val="superscript"/>
        </w:rPr>
        <w:t>3</w:t>
      </w:r>
      <w:r>
        <w:rPr>
          <w:shd w:fill="FFFFFF" w:val="clear"/>
        </w:rPr>
        <w:t>. 5 tháng trồng rừng được 82,3 nghìn ha; sản lượng gỗ khai thác đạt 5,5 triệu m</w:t>
      </w:r>
      <w:r>
        <w:rPr>
          <w:shd w:fill="FFFFFF" w:val="clear"/>
          <w:vertAlign w:val="superscript"/>
        </w:rPr>
        <w:t>3</w:t>
      </w:r>
      <w:r>
        <w:rPr>
          <w:shd w:fill="FFFFFF" w:val="clear"/>
        </w:rPr>
        <w:t xml:space="preserve">, </w:t>
      </w:r>
      <w:r>
        <w:rPr/>
        <w:t>sản lượng củi đạt 1,3 nghìn ste (=860,5 nghìn m3).</w:t>
      </w:r>
      <w:r>
        <w:rPr>
          <w:sz w:val="28"/>
          <w:szCs w:val="28"/>
        </w:rPr>
        <w:t xml:space="preserve"> </w:t>
      </w:r>
    </w:p>
  </w:footnote>
  <w:footnote w:id="6">
    <w:p>
      <w:pPr>
        <w:pStyle w:val="Footnote"/>
        <w:rPr/>
      </w:pPr>
      <w:r>
        <w:rPr>
          <w:rStyle w:val="FootnoteCharacters"/>
        </w:rPr>
        <w:footnoteRef/>
      </w:r>
      <w:r>
        <w:rPr/>
        <w:t xml:space="preserve"> </w:t>
      </w:r>
      <w:r>
        <w:rPr/>
        <w:t xml:space="preserve">Số liệu thống kê theo khu vực Châu Á, Châu Âu, Châu Phi, Châu Mỹ và Châu Đại Dương chưa bao gồm một số thị trường nhỏ khác không được thống kê cụ thể bởi Tổng cục Hải quan. </w:t>
      </w:r>
    </w:p>
  </w:footnote>
  <w:footnote w:id="7">
    <w:p>
      <w:pPr>
        <w:pStyle w:val="Footnote"/>
        <w:jc w:val="both"/>
        <w:rPr/>
      </w:pPr>
      <w:r>
        <w:rPr>
          <w:rStyle w:val="FootnoteCharacters"/>
        </w:rPr>
        <w:footnoteRef/>
      </w:r>
      <w:r>
        <w:rPr/>
        <w:t xml:space="preserve"> </w:t>
      </w:r>
      <w:r>
        <w:rPr>
          <w:bCs/>
          <w:color w:val="000000"/>
          <w:szCs w:val="28"/>
          <w:lang w:val="it-IT"/>
        </w:rPr>
        <w:t>Hội nghị xúc tiến đầu tư vào lĩnh vực nông nghiệp tỉnh Đắk Lắk (28-29/4); Diễn đàn “Kết nối chuỗi giá trị sản xuất và tiêu thụ nông sản Tỉnh Tây Nguyên” và Hội nghị xúc tiến đầu tư tại tỉnh Gia Lai (21/5); Chuỗi sự kiện Hội nghị thủ tướng Chính phủ đối thoại với nông dân Việt Nam và lễ hội trái cây và sản phẩm OCOP Việt Nam năm 2022 tại Sơn La (21-31/5</w:t>
      </w:r>
      <w:r>
        <w:rPr>
          <w:bCs/>
          <w:szCs w:val="28"/>
          <w:lang w:val="it-IT"/>
        </w:rPr>
        <w:t xml:space="preserve">); </w:t>
      </w:r>
      <w:r>
        <w:rPr>
          <w:spacing w:val="-2"/>
          <w:szCs w:val="28"/>
          <w:lang w:val="sv-SE"/>
        </w:rPr>
        <w:t>Phối hợp với các địa phương xúc tiến kết nối tiêu thụ nông sản vào vụ thu hoạch (vải Thanh Hà, Lục Ngạn, xoài Sơn La...;</w:t>
      </w:r>
    </w:p>
  </w:footnote>
  <w:footnote w:id="8">
    <w:p>
      <w:pPr>
        <w:pStyle w:val="Footnote"/>
        <w:jc w:val="both"/>
        <w:rPr/>
      </w:pPr>
      <w:r>
        <w:rPr>
          <w:rStyle w:val="FootnoteCharacters"/>
        </w:rPr>
        <w:footnoteRef/>
      </w:r>
      <w:r>
        <w:rPr/>
        <w:t xml:space="preserve"> </w:t>
      </w:r>
      <w:r>
        <w:rPr>
          <w:sz w:val="18"/>
          <w:szCs w:val="28"/>
        </w:rPr>
        <w:t>(1)</w:t>
      </w:r>
      <w:r>
        <w:rPr>
          <w:sz w:val="28"/>
          <w:szCs w:val="28"/>
        </w:rPr>
        <w:t xml:space="preserve"> </w:t>
      </w:r>
      <w:r>
        <w:rPr>
          <w:sz w:val="18"/>
          <w:szCs w:val="18"/>
        </w:rPr>
        <w:t>Thỏa thuận hợp tác (MOU) giữa Đối tác phát triển Nông nghiệp bền vững với Pepsico và Care International về tăng cường hợp tác sản xuất lương thực tại Việt Nam; (2) MOU giữa tỉnh Bắc Giang và tập đoàn ERG về thúc đẩy thương mại các sản phẩm nông sản địa phương; (3) MOU giữa công ty cổ phần sản xuất nội thất Mộc Thịnh Phát và công ty Grasslands Farms về thúc đẩy thương mại nông sản; và (4) MOU giữa công ty XNK quốc tế Nevist Việt Nam và AGP về xúc tiến thương mại và đầu tư trong lĩnh vực nông nghiệp.</w:t>
      </w:r>
    </w:p>
  </w:footnote>
  <w:footnote w:id="9">
    <w:p>
      <w:pPr>
        <w:pStyle w:val="Footnote"/>
        <w:rPr/>
      </w:pPr>
      <w:r>
        <w:rPr>
          <w:rStyle w:val="FootnoteCharacters"/>
        </w:rPr>
        <w:footnoteRef/>
      </w:r>
      <w:r>
        <w:rPr/>
        <w:t xml:space="preserve"> </w:t>
      </w:r>
      <w:r>
        <w:rPr>
          <w:szCs w:val="28"/>
          <w:lang w:val="vi-VN"/>
        </w:rPr>
        <w:t>đ</w:t>
      </w:r>
      <w:r>
        <w:rPr>
          <w:szCs w:val="28"/>
        </w:rPr>
        <w:t xml:space="preserve">ã có </w:t>
      </w:r>
      <w:r>
        <w:rPr>
          <w:b/>
          <w:szCs w:val="28"/>
        </w:rPr>
        <w:t>2</w:t>
      </w:r>
      <w:r>
        <w:rPr>
          <w:b/>
          <w:szCs w:val="28"/>
          <w:lang w:val="vi-VN"/>
        </w:rPr>
        <w:t>.</w:t>
      </w:r>
      <w:r>
        <w:rPr>
          <w:b/>
          <w:szCs w:val="28"/>
        </w:rPr>
        <w:t>100</w:t>
      </w:r>
      <w:r>
        <w:rPr>
          <w:szCs w:val="28"/>
        </w:rPr>
        <w:t xml:space="preserve"> mã sản phẩm được TCHQ TQ cấp cho Việt Nam</w:t>
      </w:r>
      <w:r>
        <w:rPr>
          <w:szCs w:val="28"/>
          <w:lang w:val="vi-VN"/>
        </w:rPr>
        <w:t xml:space="preserve">; </w:t>
      </w:r>
      <w:r>
        <w:rPr>
          <w:szCs w:val="28"/>
        </w:rPr>
        <w:t>Tháo gỡ vướng mắc cho 21 doanh nghiệp liên quan đến Lệnh 248, 249; xuất nhập khẩu sắn; xuất nhập khẩu rau quả (ớt và thanh long); xuất khẩu điều.</w:t>
      </w:r>
    </w:p>
  </w:footnote>
  <w:footnote w:id="10">
    <w:p>
      <w:pPr>
        <w:pStyle w:val="NoSpacing"/>
        <w:tabs>
          <w:tab w:val="clear" w:pos="720"/>
          <w:tab w:val="left" w:pos="851" w:leader="none"/>
        </w:tabs>
        <w:jc w:val="both"/>
        <w:rPr/>
      </w:pPr>
      <w:r>
        <w:rPr>
          <w:rStyle w:val="FootnoteCharacters"/>
        </w:rPr>
        <w:footnoteRef/>
      </w:r>
      <w:r>
        <w:rPr>
          <w:sz w:val="20"/>
          <w:szCs w:val="20"/>
        </w:rPr>
        <w:t xml:space="preserve"> </w:t>
      </w:r>
      <w:r>
        <w:rPr>
          <w:iCs/>
          <w:sz w:val="18"/>
          <w:szCs w:val="18"/>
          <w:lang w:val="vi-VN"/>
        </w:rPr>
        <w:t>Dự án Tiểu úng vùng III huyện Nông Cống, tỉnh Thanh Hóa</w:t>
      </w:r>
      <w:r>
        <w:rPr>
          <w:iCs/>
          <w:sz w:val="18"/>
          <w:szCs w:val="18"/>
        </w:rPr>
        <w:t>; Dự án đầu tư xây dựng công trình Dự án Đập ngăn mặn Sông Hiếu, tỉnh Quảng Bình;  Dự án HTTL Tân Mỹ, tỉnh Ninh Thuận</w:t>
      </w:r>
      <w:r>
        <w:rPr>
          <w:sz w:val="18"/>
          <w:szCs w:val="18"/>
        </w:rPr>
        <w:t xml:space="preserve"> </w:t>
      </w:r>
    </w:p>
  </w:footnote>
  <w:footnote w:id="11">
    <w:p>
      <w:pPr>
        <w:pStyle w:val="NoSpacing"/>
        <w:tabs>
          <w:tab w:val="clear" w:pos="720"/>
          <w:tab w:val="left" w:pos="851" w:leader="none"/>
        </w:tabs>
        <w:jc w:val="both"/>
        <w:rPr/>
      </w:pPr>
      <w:r>
        <w:rPr>
          <w:rStyle w:val="FootnoteCharacters"/>
        </w:rPr>
        <w:footnoteRef/>
      </w:r>
      <w:r>
        <w:rPr>
          <w:sz w:val="18"/>
          <w:szCs w:val="18"/>
        </w:rPr>
        <w:t xml:space="preserve"> </w:t>
      </w:r>
      <w:r>
        <w:rPr>
          <w:iCs/>
          <w:sz w:val="18"/>
          <w:szCs w:val="18"/>
        </w:rPr>
        <w:t>Dự án Nâng cấp, cải tạo kênh Hồng Ngự - Vĩnh Hưng; Dự án xử lý sạt lở cấp bách bờ sông bờ biển khu vực Đồng bằng sông Cửu Long; Dự án Công trình kiểm soát nguồn nước bờ Nam sông Hậu</w:t>
      </w:r>
    </w:p>
  </w:footnote>
  <w:footnote w:id="12">
    <w:p>
      <w:pPr>
        <w:pStyle w:val="Footnote"/>
        <w:rPr/>
      </w:pPr>
      <w:r>
        <w:rPr>
          <w:rStyle w:val="FootnoteCharacters"/>
        </w:rPr>
        <w:footnoteRef/>
      </w:r>
      <w:r>
        <w:rPr/>
        <w:t xml:space="preserve"> </w:t>
      </w:r>
      <w:r>
        <w:rPr>
          <w:sz w:val="18"/>
        </w:rPr>
        <w:t xml:space="preserve">Hà Nội, </w:t>
      </w:r>
      <w:r>
        <w:rPr>
          <w:iCs/>
          <w:color w:val="000000"/>
          <w:sz w:val="18"/>
          <w:lang w:val="de-DE"/>
        </w:rPr>
        <w:t>Hải Phòng, Hưng Yên, Vĩnh Phúc, Bắc Ninh, Hà Nam, Nam Định, Thái Bình, Hải Dương, Đà Nẵng, Tp. Hồ Chí Minh, Bà Rịa-Vũng Tàu, Bình Dương, Đồng Nai, Cần Thơ, Bạc Liêu</w:t>
      </w:r>
    </w:p>
  </w:footnote>
  <w:footnote w:id="13">
    <w:p>
      <w:pPr>
        <w:pStyle w:val="Normal"/>
        <w:jc w:val="both"/>
        <w:rPr/>
      </w:pPr>
      <w:r>
        <w:rPr>
          <w:rStyle w:val="FootnoteCharacters"/>
        </w:rPr>
        <w:footnoteRef/>
      </w:r>
      <w:r>
        <w:rPr>
          <w:sz w:val="20"/>
          <w:szCs w:val="20"/>
        </w:rPr>
        <w:t xml:space="preserve"> </w:t>
      </w:r>
      <w:r>
        <w:rPr>
          <w:sz w:val="20"/>
          <w:szCs w:val="20"/>
        </w:rPr>
        <w:t xml:space="preserve">Chương trình Mỗi xã một sản phẩm giai đoạn 2021 - 2025; </w:t>
      </w:r>
      <w:r>
        <w:rPr>
          <w:bCs/>
          <w:iCs/>
          <w:spacing w:val="-2"/>
          <w:sz w:val="20"/>
          <w:szCs w:val="20"/>
        </w:rPr>
        <w:t xml:space="preserve">Chương trình chuyển đổi số trong xây dựng NTM, hướng tới NTM thông </w:t>
      </w:r>
      <w:r>
        <w:rPr>
          <w:bCs/>
          <w:iCs/>
          <w:spacing w:val="-4"/>
          <w:sz w:val="20"/>
          <w:szCs w:val="20"/>
        </w:rPr>
        <w:t xml:space="preserve">minh giai đoạn 2021-2025; </w:t>
      </w:r>
      <w:r>
        <w:rPr>
          <w:bCs/>
          <w:iCs/>
          <w:color w:val="000000"/>
          <w:spacing w:val="-2"/>
          <w:sz w:val="20"/>
          <w:szCs w:val="20"/>
        </w:rPr>
        <w:t xml:space="preserve">Chương trình KHCN phục vụ xây dựng NTM giai đoạn 2021-2025; </w:t>
      </w:r>
      <w:r>
        <w:rPr>
          <w:bCs/>
          <w:iCs/>
          <w:color w:val="000000"/>
          <w:sz w:val="20"/>
          <w:szCs w:val="20"/>
        </w:rPr>
        <w:t>Chương trình tăng cường bảo vệ môi trường, an toàn thực phẩm và cấp nước sạch nông thôn trong xây dựng NTM giai đoạn 2021-2025; Chương trình phát triển du lịch nông thôn gắn với xây dựng NTM giai đoạn 2021-2025.</w:t>
      </w:r>
    </w:p>
  </w:footnote>
  <w:footnote w:id="14">
    <w:p>
      <w:pPr>
        <w:pStyle w:val="Footnote"/>
        <w:jc w:val="both"/>
        <w:rPr/>
      </w:pPr>
      <w:r>
        <w:rPr>
          <w:rStyle w:val="FootnoteCharacters"/>
        </w:rPr>
        <w:footnoteRef/>
      </w:r>
      <w:r>
        <w:rPr/>
        <w:t xml:space="preserve"> </w:t>
      </w:r>
      <w:r>
        <w:rPr>
          <w:spacing w:val="-4"/>
          <w:sz w:val="18"/>
          <w:szCs w:val="18"/>
        </w:rPr>
        <w:t>Trồng trọt: 04 TC, BVTV: 10 TC và 01 QC, C</w:t>
      </w:r>
      <w:r>
        <w:rPr>
          <w:spacing w:val="-4"/>
          <w:sz w:val="18"/>
          <w:szCs w:val="18"/>
          <w:lang w:val="vi-VN"/>
        </w:rPr>
        <w:t>hăn nuôi</w:t>
      </w:r>
      <w:r>
        <w:rPr>
          <w:spacing w:val="-4"/>
          <w:sz w:val="18"/>
          <w:szCs w:val="18"/>
        </w:rPr>
        <w:t>: 14 TC; Thú y: 13 TC; T</w:t>
      </w:r>
      <w:r>
        <w:rPr>
          <w:spacing w:val="-4"/>
          <w:sz w:val="18"/>
          <w:szCs w:val="18"/>
          <w:lang w:val="vi-VN"/>
        </w:rPr>
        <w:t>hủy lợi</w:t>
      </w:r>
      <w:r>
        <w:rPr>
          <w:spacing w:val="-4"/>
          <w:sz w:val="18"/>
          <w:szCs w:val="18"/>
        </w:rPr>
        <w:t>: 06 TC;</w:t>
      </w:r>
      <w:r>
        <w:rPr>
          <w:spacing w:val="-4"/>
          <w:sz w:val="18"/>
          <w:szCs w:val="18"/>
          <w:lang w:val="vi-VN"/>
        </w:rPr>
        <w:t xml:space="preserve"> </w:t>
      </w:r>
      <w:r>
        <w:rPr>
          <w:spacing w:val="-4"/>
          <w:sz w:val="18"/>
          <w:szCs w:val="18"/>
        </w:rPr>
        <w:t>Lâm nghiệp: 10 TC và 01 QC, Nông sản: 01</w:t>
      </w:r>
    </w:p>
  </w:footnote>
  <w:footnote w:id="15">
    <w:p>
      <w:pPr>
        <w:pStyle w:val="Footnote"/>
        <w:rPr/>
      </w:pPr>
      <w:r>
        <w:rPr>
          <w:rStyle w:val="FootnoteCharacters"/>
        </w:rPr>
        <w:footnoteRef/>
      </w:r>
      <w:r>
        <w:rPr>
          <w:sz w:val="18"/>
          <w:szCs w:val="18"/>
        </w:rPr>
        <w:t xml:space="preserve"> </w:t>
      </w:r>
      <w:r>
        <w:rPr>
          <w:spacing w:val="-2"/>
          <w:sz w:val="18"/>
          <w:szCs w:val="18"/>
          <w:lang w:val="de-DE"/>
        </w:rPr>
        <w:t>Sản xuất, canh tác Dừa hữu cơ; Sản xuất, canh tác Cà phê hữu cơ; Chăn nuôi, sản xuất Sữa hữu cơ; Sản xuất, canh tác Tôm – lúa hữu cơ; Chăn nuôi, sản xuất Lợn an toàn sinh học theo hướng hữu cơ</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12</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72"/>
  <w:defaultTabStop w:val="720"/>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Normal"/>
    <w:qFormat/>
    <w:pPr>
      <w:keepNext w:val="true"/>
      <w:numPr>
        <w:ilvl w:val="1"/>
        <w:numId w:val="1"/>
      </w:numPr>
      <w:spacing w:lineRule="atLeast" w:line="240" w:before="160" w:after="160"/>
      <w:jc w:val="both"/>
      <w:outlineLvl w:val="1"/>
    </w:pPr>
    <w:rPr>
      <w:rFonts w:eastAsia="Calibri"/>
      <w:b/>
      <w:sz w:val="26"/>
      <w:szCs w:val="26"/>
    </w:rPr>
  </w:style>
  <w:style w:type="paragraph" w:styleId="Heading3">
    <w:name w:val="Heading 3"/>
    <w:basedOn w:val="Normal"/>
    <w:next w:val="Normal"/>
    <w:qFormat/>
    <w:pPr>
      <w:keepNext w:val="true"/>
      <w:numPr>
        <w:ilvl w:val="2"/>
        <w:numId w:val="1"/>
      </w:numPr>
      <w:jc w:val="center"/>
      <w:outlineLvl w:val="2"/>
    </w:pPr>
    <w:rPr>
      <w:b/>
      <w:sz w:val="26"/>
      <w:lang w:val="en-AU"/>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Calibri"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Times New Roman" w:hAnsi="Times New Roman" w:eastAsia="Calibri"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Times New Roman" w:hAnsi="Times New Roman" w:eastAsia="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b/>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eastAsia="Times New Roman" w:cs="Times New Roman"/>
      <w:b/>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DefaultParagraphFont">
    <w:name w:val="Default Paragraph Font"/>
    <w:qFormat/>
    <w:rPr/>
  </w:style>
  <w:style w:type="character" w:styleId="Heading3Char">
    <w:name w:val="Heading 3 Char"/>
    <w:qFormat/>
    <w:rPr>
      <w:b/>
      <w:sz w:val="26"/>
      <w:szCs w:val="24"/>
      <w:lang w:val="en-AU" w:bidi="ar-SA"/>
    </w:rPr>
  </w:style>
  <w:style w:type="character" w:styleId="PageNumber">
    <w:name w:val="Page Number"/>
    <w:basedOn w:val="DefaultParagraphFont"/>
    <w:rPr/>
  </w:style>
  <w:style w:type="character" w:styleId="BodyTextIndentChar">
    <w:name w:val="Body Text Indent Char"/>
    <w:qFormat/>
    <w:rPr>
      <w:rFonts w:ascii="VNI-Times;Cambria" w:hAnsi="VNI-Times;Cambria" w:cs="VNI-Times;Cambria"/>
      <w:sz w:val="26"/>
      <w:lang w:val="en-AU"/>
    </w:rPr>
  </w:style>
  <w:style w:type="character" w:styleId="HeaderChar">
    <w:name w:val="Header Char"/>
    <w:qFormat/>
    <w:rPr>
      <w:sz w:val="24"/>
      <w:szCs w:val="24"/>
    </w:rPr>
  </w:style>
  <w:style w:type="character" w:styleId="FooterChar">
    <w:name w:val="Footer Char"/>
    <w:qFormat/>
    <w:rPr>
      <w:rFonts w:eastAsia="Batang;바탕"/>
      <w:sz w:val="24"/>
      <w:szCs w:val="24"/>
      <w:lang w:eastAsia="ko-KR"/>
    </w:rPr>
  </w:style>
  <w:style w:type="character" w:styleId="Applestylespan">
    <w:name w:val="apple-style-span"/>
    <w:basedOn w:val="DefaultParagraphFont"/>
    <w:qFormat/>
    <w:rPr/>
  </w:style>
  <w:style w:type="character" w:styleId="Emphasis">
    <w:name w:val="Emphasis"/>
    <w:qFormat/>
    <w:rPr>
      <w:i/>
      <w:iCs/>
    </w:rPr>
  </w:style>
  <w:style w:type="character" w:styleId="CommentReference">
    <w:name w:val="Comment Reference"/>
    <w:qFormat/>
    <w:rPr>
      <w:sz w:val="16"/>
      <w:szCs w:val="16"/>
    </w:rPr>
  </w:style>
  <w:style w:type="character" w:styleId="CommentTextChar">
    <w:name w:val="Comment Text Char"/>
    <w:qFormat/>
    <w:rPr>
      <w:rFonts w:eastAsia="Batang;바탕"/>
      <w:lang w:eastAsia="ko-KR"/>
    </w:rPr>
  </w:style>
  <w:style w:type="character" w:styleId="BalloonTextChar">
    <w:name w:val="Balloon Text Char"/>
    <w:qFormat/>
    <w:rPr>
      <w:rFonts w:ascii="Tahoma" w:hAnsi="Tahoma" w:cs="Tahoma"/>
      <w:sz w:val="16"/>
      <w:szCs w:val="16"/>
    </w:rPr>
  </w:style>
  <w:style w:type="character" w:styleId="StrongEmphasis">
    <w:name w:val="Strong Emphasis"/>
    <w:qFormat/>
    <w:rPr>
      <w:b/>
      <w:bCs/>
    </w:rPr>
  </w:style>
  <w:style w:type="character" w:styleId="Html0020preformattedchar">
    <w:name w:val="html_0020preformatted__char"/>
    <w:basedOn w:val="DefaultParagraphFont"/>
    <w:qFormat/>
    <w:rPr/>
  </w:style>
  <w:style w:type="character" w:styleId="Normalchar">
    <w:name w:val="normal__char"/>
    <w:basedOn w:val="DefaultParagraphFont"/>
    <w:qFormat/>
    <w:rPr/>
  </w:style>
  <w:style w:type="character" w:styleId="BodyTextIndent3Char">
    <w:name w:val="Body Text Indent 3 Char"/>
    <w:qFormat/>
    <w:rPr>
      <w:rFonts w:ascii=".VnTime;Courier New" w:hAnsi=".VnTime;Courier New" w:cs=".VnTime;Courier New"/>
      <w:sz w:val="16"/>
      <w:szCs w:val="16"/>
    </w:rPr>
  </w:style>
  <w:style w:type="character" w:styleId="CommentSubjectChar">
    <w:name w:val="Comment Subject Char"/>
    <w:qFormat/>
    <w:rPr>
      <w:rFonts w:eastAsia="Batang;바탕"/>
      <w:b/>
      <w:bCs/>
      <w:lang w:eastAsia="ko-KR"/>
    </w:rPr>
  </w:style>
  <w:style w:type="character" w:styleId="FootnoteTextChar">
    <w:name w:val="Footnote Text Char"/>
    <w:basedOn w:val="DefaultParagraphFont"/>
    <w:qFormat/>
    <w:rPr/>
  </w:style>
  <w:style w:type="character" w:styleId="FootnoteCharacters">
    <w:name w:val="Footnote Characters"/>
    <w:qFormat/>
    <w:rPr>
      <w:vertAlign w:val="superscript"/>
    </w:rPr>
  </w:style>
  <w:style w:type="character" w:styleId="Muc5Char">
    <w:name w:val="Muc5 Char"/>
    <w:qFormat/>
    <w:rPr>
      <w:sz w:val="28"/>
      <w:szCs w:val="28"/>
      <w:lang w:val="vi-VN"/>
    </w:rPr>
  </w:style>
  <w:style w:type="character" w:styleId="Appleconvertedspace">
    <w:name w:val="apple-converted-space"/>
    <w:basedOn w:val="DefaultParagraphFont"/>
    <w:qFormat/>
    <w:rPr/>
  </w:style>
  <w:style w:type="character" w:styleId="InternetLink">
    <w:name w:val="Hyperlink"/>
    <w:rPr>
      <w:color w:val="0000FF"/>
      <w:u w:val="single"/>
    </w:rPr>
  </w:style>
  <w:style w:type="character" w:styleId="BodyTextChar">
    <w:name w:val="Body Text Char"/>
    <w:qFormat/>
    <w:rPr>
      <w:color w:val="000000"/>
      <w:sz w:val="26"/>
      <w:szCs w:val="26"/>
    </w:rPr>
  </w:style>
  <w:style w:type="character" w:styleId="TitleChar">
    <w:name w:val="Title Char"/>
    <w:qFormat/>
    <w:rPr>
      <w:rFonts w:ascii=".VnArialH;MV Boli" w:hAnsi=".VnArialH;MV Boli" w:cs=".VnArialH;MV Boli"/>
      <w:b/>
      <w:sz w:val="26"/>
      <w:szCs w:val="24"/>
      <w:u w:val="single"/>
    </w:rPr>
  </w:style>
  <w:style w:type="character" w:styleId="PlainTextChar">
    <w:name w:val="Plain Text Char"/>
    <w:qFormat/>
    <w:rPr>
      <w:rFonts w:ascii="Consolas" w:hAnsi="Consolas" w:eastAsia="Calibri" w:cs="Consolas"/>
      <w:sz w:val="21"/>
      <w:szCs w:val="21"/>
      <w:lang w:val="en-US"/>
    </w:rPr>
  </w:style>
  <w:style w:type="character" w:styleId="NormalWebChar">
    <w:name w:val="Normal (Web) Char"/>
    <w:qFormat/>
    <w:rPr>
      <w:sz w:val="24"/>
      <w:szCs w:val="24"/>
      <w:lang w:val="en-US"/>
    </w:rPr>
  </w:style>
  <w:style w:type="character" w:styleId="MediumGrid1Accent2Char">
    <w:name w:val="Medium Grid 1 - Accent 2 Char"/>
    <w:qFormat/>
    <w:rPr>
      <w:rFonts w:eastAsia="Calibri"/>
      <w:sz w:val="24"/>
      <w:szCs w:val="22"/>
    </w:rPr>
  </w:style>
  <w:style w:type="character" w:styleId="Pg1fc1">
    <w:name w:val="pg-1fc1"/>
    <w:basedOn w:val="DefaultParagraphFont"/>
    <w:qFormat/>
    <w:rPr/>
  </w:style>
  <w:style w:type="character" w:styleId="List0020paragraphchar">
    <w:name w:val="list_0020paragraph__char"/>
    <w:qFormat/>
    <w:rPr/>
  </w:style>
  <w:style w:type="character" w:styleId="ColorfulListAccent1Char">
    <w:name w:val="Colorful List - Accent 1 Char"/>
    <w:qFormat/>
    <w:rPr>
      <w:rFonts w:eastAsia="Calibri"/>
      <w:sz w:val="24"/>
      <w:szCs w:val="22"/>
    </w:rPr>
  </w:style>
  <w:style w:type="character" w:styleId="BodyTextIndent2Char">
    <w:name w:val="Body Text Indent 2 Char"/>
    <w:qFormat/>
    <w:rPr>
      <w:sz w:val="28"/>
      <w:szCs w:val="28"/>
    </w:rPr>
  </w:style>
  <w:style w:type="character" w:styleId="BodyText3Char">
    <w:name w:val="Body Text 3 Char"/>
    <w:qFormat/>
    <w:rPr>
      <w:sz w:val="16"/>
      <w:szCs w:val="16"/>
    </w:rPr>
  </w:style>
  <w:style w:type="character" w:styleId="ListParagraphChar">
    <w:name w:val="List Paragraph Char"/>
    <w:qFormat/>
    <w:rPr>
      <w:rFonts w:eastAsia="Calibri"/>
      <w:sz w:val="28"/>
      <w:szCs w:val="22"/>
    </w:rPr>
  </w:style>
  <w:style w:type="character" w:styleId="Fontstyle01">
    <w:name w:val="fontstyle01"/>
    <w:qFormat/>
    <w:rPr>
      <w:rFonts w:ascii="Times-Roman;Times New Roman" w:hAnsi="Times-Roman;Times New Roman" w:cs="Times-Roman;Times New Roman"/>
      <w:b w:val="false"/>
      <w:bCs w:val="false"/>
      <w:i w:val="false"/>
      <w:iCs w:val="false"/>
      <w:color w:val="000000"/>
      <w:sz w:val="28"/>
      <w:szCs w:val="28"/>
    </w:rPr>
  </w:style>
  <w:style w:type="character" w:styleId="BodyTextChar1">
    <w:name w:val="Body Text Char1"/>
    <w:qFormat/>
    <w:rPr>
      <w:shd w:fill="FFFFFF" w:val="clear"/>
    </w:rPr>
  </w:style>
  <w:style w:type="character" w:styleId="Text">
    <w:name w:val="text"/>
    <w:qFormat/>
    <w:rPr/>
  </w:style>
  <w:style w:type="character" w:styleId="NoSpacingChar">
    <w:name w:val="No Spacing Char"/>
    <w:qFormat/>
    <w:rPr>
      <w:rFonts w:eastAsia="Calibri"/>
      <w:sz w:val="27"/>
      <w:szCs w:val="22"/>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spacing w:lineRule="auto" w:line="360"/>
      <w:ind w:firstLine="720"/>
      <w:jc w:val="center"/>
    </w:pPr>
    <w:rPr>
      <w:rFonts w:ascii=".VnArialH;MV Boli" w:hAnsi=".VnArialH;MV Boli" w:cs=".VnArialH;MV Boli"/>
      <w:b/>
      <w:sz w:val="26"/>
      <w:u w:val="single"/>
    </w:rPr>
  </w:style>
  <w:style w:type="paragraph" w:styleId="TextBody">
    <w:name w:val="Body Text"/>
    <w:basedOn w:val="Normal"/>
    <w:pPr>
      <w:jc w:val="both"/>
    </w:pPr>
    <w:rPr>
      <w:color w:val="000000"/>
      <w:sz w:val="26"/>
      <w:szCs w:val="26"/>
    </w:rPr>
  </w:style>
  <w:style w:type="paragraph" w:styleId="List">
    <w:name w:val="List"/>
    <w:basedOn w:val="TextBody"/>
    <w:pPr/>
    <w:rPr>
      <w:rFonts w:cs="Lohit Devanagari"/>
    </w:rPr>
  </w:style>
  <w:style w:type="paragraph" w:styleId="Caption">
    <w:name w:val="Caption"/>
    <w:basedOn w:val="Normal"/>
    <w:next w:val="Normal"/>
    <w:qFormat/>
    <w:pPr>
      <w:jc w:val="center"/>
    </w:pPr>
    <w:rPr>
      <w:sz w:val="28"/>
    </w:rPr>
  </w:style>
  <w:style w:type="paragraph" w:styleId="Index">
    <w:name w:val="Index"/>
    <w:basedOn w:val="Normal"/>
    <w:qFormat/>
    <w:pPr>
      <w:suppressLineNumbers/>
    </w:pPr>
    <w:rPr>
      <w:rFonts w:cs="Lohit Devanagari"/>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rFonts w:eastAsia="Batang;바탕"/>
      <w:lang w:eastAsia="ko-KR"/>
    </w:rPr>
  </w:style>
  <w:style w:type="paragraph" w:styleId="BodyText2">
    <w:name w:val="Body Text 2"/>
    <w:basedOn w:val="Normal"/>
    <w:qFormat/>
    <w:pPr>
      <w:jc w:val="both"/>
    </w:pPr>
    <w:rPr>
      <w:rFonts w:ascii=".VnTime;Courier New" w:hAnsi=".VnTime;Courier New" w:cs=".VnTime;Courier New"/>
      <w:color w:val="000000"/>
      <w:sz w:val="26"/>
      <w:szCs w:val="20"/>
    </w:rPr>
  </w:style>
  <w:style w:type="paragraph" w:styleId="NormalWeb">
    <w:name w:val="Normal (Web)"/>
    <w:basedOn w:val="Normal"/>
    <w:qFormat/>
    <w:pPr>
      <w:spacing w:before="280" w:after="280"/>
    </w:pPr>
    <w:rPr/>
  </w:style>
  <w:style w:type="paragraph" w:styleId="CharCharCharCharCharCharCharCharCharCharCharCharChar2">
    <w:name w:val="Char Char Char Char Char Char Char Char Char Char Char Char Char2"/>
    <w:basedOn w:val="Normal"/>
    <w:qFormat/>
    <w:pPr>
      <w:spacing w:lineRule="exact" w:line="240" w:before="0" w:after="160"/>
    </w:pPr>
    <w:rPr>
      <w:rFonts w:ascii="Verdana" w:hAnsi="Verdana" w:cs="Verdana"/>
      <w:sz w:val="20"/>
      <w:szCs w:val="20"/>
    </w:rPr>
  </w:style>
  <w:style w:type="paragraph" w:styleId="CharCharCharChar">
    <w:name w:val="Char Char Char Char"/>
    <w:basedOn w:val="Normal"/>
    <w:qFormat/>
    <w:pPr/>
    <w:rPr>
      <w:rFonts w:ascii="Arial" w:hAnsi="Arial" w:cs="Arial"/>
      <w:sz w:val="22"/>
      <w:szCs w:val="20"/>
      <w:lang w:val="en-AU"/>
    </w:rPr>
  </w:style>
  <w:style w:type="paragraph" w:styleId="TextBodyIndent">
    <w:name w:val="Body Text Indent"/>
    <w:basedOn w:val="Normal"/>
    <w:pPr>
      <w:spacing w:before="120" w:after="0"/>
      <w:jc w:val="both"/>
    </w:pPr>
    <w:rPr>
      <w:rFonts w:ascii="VNI-Times;Cambria" w:hAnsi="VNI-Times;Cambria" w:cs="VNI-Times;Cambria"/>
      <w:sz w:val="26"/>
      <w:szCs w:val="20"/>
      <w:lang w:val="en-AU"/>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0"/>
      <w:lang w:val="en-US" w:bidi="ar-SA" w:eastAsia="zh-CN"/>
    </w:rPr>
  </w:style>
  <w:style w:type="paragraph" w:styleId="CharCharCharChar1">
    <w:name w:val="Char Char Char Char1"/>
    <w:basedOn w:val="Normal"/>
    <w:qFormat/>
    <w:pPr>
      <w:spacing w:lineRule="exact" w:line="240" w:before="0" w:after="160"/>
    </w:pPr>
    <w:rPr>
      <w:rFonts w:ascii="Tahoma" w:hAnsi="Tahoma" w:eastAsia="PMingLiU;新細明體" w:cs="Tahoma"/>
      <w:sz w:val="20"/>
      <w:szCs w:val="20"/>
    </w:rPr>
  </w:style>
  <w:style w:type="paragraph" w:styleId="Char">
    <w:name w:val="Char"/>
    <w:basedOn w:val="Normal"/>
    <w:qFormat/>
    <w:pPr/>
    <w:rPr>
      <w:rFonts w:ascii="Arial" w:hAnsi="Arial" w:cs="Arial"/>
      <w:sz w:val="22"/>
      <w:szCs w:val="20"/>
      <w:lang w:val="en-AU"/>
    </w:rPr>
  </w:style>
  <w:style w:type="paragraph" w:styleId="Header">
    <w:name w:val="Header"/>
    <w:basedOn w:val="Normal"/>
    <w:pPr/>
    <w:rPr/>
  </w:style>
  <w:style w:type="paragraph" w:styleId="Normal1">
    <w:name w:val="Normal1"/>
    <w:basedOn w:val="Normal"/>
    <w:next w:val="Normal"/>
    <w:qFormat/>
    <w:pPr>
      <w:spacing w:lineRule="exact" w:line="240" w:before="0" w:after="160"/>
    </w:pPr>
    <w:rPr>
      <w:sz w:val="28"/>
      <w:szCs w:val="22"/>
    </w:rPr>
  </w:style>
  <w:style w:type="paragraph" w:styleId="CommentText">
    <w:name w:val="Comment Text"/>
    <w:basedOn w:val="Normal"/>
    <w:qFormat/>
    <w:pPr/>
    <w:rPr>
      <w:rFonts w:eastAsia="Batang;바탕"/>
      <w:sz w:val="20"/>
      <w:szCs w:val="20"/>
      <w:lang w:eastAsia="ko-KR"/>
    </w:rPr>
  </w:style>
  <w:style w:type="paragraph" w:styleId="BalloonText">
    <w:name w:val="Balloon Text"/>
    <w:basedOn w:val="Normal"/>
    <w:qFormat/>
    <w:pPr/>
    <w:rPr>
      <w:rFonts w:ascii="Tahoma" w:hAnsi="Tahoma" w:cs="Tahoma"/>
      <w:sz w:val="16"/>
      <w:szCs w:val="16"/>
    </w:rPr>
  </w:style>
  <w:style w:type="paragraph" w:styleId="Html0020preformatted">
    <w:name w:val="html__0020preformatted"/>
    <w:basedOn w:val="Normal"/>
    <w:qFormat/>
    <w:pPr>
      <w:spacing w:before="280" w:after="280"/>
    </w:pPr>
    <w:rPr/>
  </w:style>
  <w:style w:type="paragraph" w:styleId="BodyTextIndent3">
    <w:name w:val="Body Text Indent 3"/>
    <w:basedOn w:val="Normal"/>
    <w:qFormat/>
    <w:pPr>
      <w:spacing w:before="0" w:after="120"/>
      <w:ind w:left="360" w:hanging="0"/>
    </w:pPr>
    <w:rPr>
      <w:rFonts w:ascii=".VnTime;Courier New" w:hAnsi=".VnTime;Courier New" w:cs=".VnTime;Courier New"/>
      <w:sz w:val="16"/>
      <w:szCs w:val="16"/>
    </w:rPr>
  </w:style>
  <w:style w:type="paragraph" w:styleId="CommentSubject">
    <w:name w:val="Comment Subject"/>
    <w:basedOn w:val="CommentText"/>
    <w:next w:val="CommentText"/>
    <w:qFormat/>
    <w:pPr/>
    <w:rPr>
      <w:b/>
      <w:bCs/>
    </w:rPr>
  </w:style>
  <w:style w:type="paragraph" w:styleId="MediumGrid1Accent21">
    <w:name w:val="Medium Grid 1 - Accent 21"/>
    <w:basedOn w:val="Normal"/>
    <w:qFormat/>
    <w:pPr>
      <w:spacing w:lineRule="auto" w:line="276" w:before="0" w:after="200"/>
      <w:ind w:left="720" w:hanging="0"/>
      <w:contextualSpacing/>
    </w:pPr>
    <w:rPr>
      <w:rFonts w:eastAsia="Calibri"/>
      <w:szCs w:val="22"/>
    </w:rPr>
  </w:style>
  <w:style w:type="paragraph" w:styleId="Footnote">
    <w:name w:val="Footnote Text"/>
    <w:basedOn w:val="Normal"/>
    <w:pPr/>
    <w:rPr>
      <w:sz w:val="20"/>
      <w:szCs w:val="20"/>
    </w:rPr>
  </w:style>
  <w:style w:type="paragraph" w:styleId="Muc5">
    <w:name w:val="Muc5"/>
    <w:basedOn w:val="Normal"/>
    <w:qFormat/>
    <w:pPr>
      <w:spacing w:before="0" w:after="120"/>
      <w:ind w:firstLine="720"/>
      <w:jc w:val="both"/>
    </w:pPr>
    <w:rPr>
      <w:sz w:val="28"/>
      <w:szCs w:val="28"/>
      <w:lang w:val="vi-VN"/>
    </w:rPr>
  </w:style>
  <w:style w:type="paragraph" w:styleId="DefaultParagraphFontParaCharChar">
    <w:name w:val="Default Paragraph Font Para Char Char"/>
    <w:basedOn w:val="Normal"/>
    <w:qFormat/>
    <w:pPr>
      <w:snapToGrid w:val="false"/>
      <w:spacing w:lineRule="exact" w:line="300" w:before="120" w:after="120"/>
      <w:jc w:val="both"/>
    </w:pPr>
    <w:rPr>
      <w:rFonts w:ascii="Arial" w:hAnsi="Arial" w:cs="Arial"/>
      <w:sz w:val="20"/>
      <w:szCs w:val="20"/>
      <w:lang w:val="en-GB"/>
    </w:rPr>
  </w:style>
  <w:style w:type="paragraph" w:styleId="PlainText">
    <w:name w:val="Plain Text"/>
    <w:basedOn w:val="Normal"/>
    <w:qFormat/>
    <w:pPr/>
    <w:rPr>
      <w:rFonts w:ascii="Consolas" w:hAnsi="Consolas" w:eastAsia="Calibri" w:cs="Consolas"/>
      <w:sz w:val="21"/>
      <w:szCs w:val="21"/>
    </w:rPr>
  </w:style>
  <w:style w:type="paragraph" w:styleId="CharCharChar1">
    <w:name w:val="Char Char Char1"/>
    <w:basedOn w:val="Normal"/>
    <w:qFormat/>
    <w:pPr>
      <w:pageBreakBefore/>
      <w:spacing w:before="280" w:after="280"/>
      <w:jc w:val="both"/>
    </w:pPr>
    <w:rPr>
      <w:rFonts w:ascii="Tahoma" w:hAnsi="Tahoma" w:cs="Tahoma"/>
      <w:sz w:val="20"/>
      <w:szCs w:val="20"/>
    </w:rPr>
  </w:style>
  <w:style w:type="paragraph" w:styleId="Normal2">
    <w:name w:val="Normal2"/>
    <w:qFormat/>
    <w:pPr>
      <w:widowControl/>
      <w:bidi w:val="0"/>
    </w:pPr>
    <w:rPr>
      <w:rFonts w:ascii="Times New Roman" w:hAnsi="Times New Roman" w:eastAsia="Times New Roman" w:cs="Times New Roman"/>
      <w:color w:val="000000"/>
      <w:sz w:val="24"/>
      <w:szCs w:val="20"/>
      <w:lang w:val="en-US" w:bidi="ar-SA" w:eastAsia="zh-CN"/>
    </w:rPr>
  </w:style>
  <w:style w:type="paragraph" w:styleId="Xmsonormal">
    <w:name w:val="x_msonormal"/>
    <w:basedOn w:val="Normal"/>
    <w:qFormat/>
    <w:pPr>
      <w:spacing w:before="280" w:after="280"/>
    </w:pPr>
    <w:rPr/>
  </w:style>
  <w:style w:type="paragraph" w:styleId="MediumShading1Accent11">
    <w:name w:val="Medium Shading 1 - Accent 11"/>
    <w:qFormat/>
    <w:pPr>
      <w:widowControl/>
      <w:bidi w:val="0"/>
    </w:pPr>
    <w:rPr>
      <w:rFonts w:ascii="Times New Roman" w:hAnsi="Times New Roman" w:eastAsia="Times New Roman" w:cs="Times New Roman"/>
      <w:color w:val="auto"/>
      <w:sz w:val="28"/>
      <w:szCs w:val="24"/>
      <w:lang w:val="en-US" w:bidi="ar-SA" w:eastAsia="zh-CN"/>
    </w:rPr>
  </w:style>
  <w:style w:type="paragraph" w:styleId="Char1">
    <w:name w:val="Char1"/>
    <w:basedOn w:val="Normal"/>
    <w:next w:val="Normal"/>
    <w:qFormat/>
    <w:pPr>
      <w:spacing w:lineRule="auto" w:line="312" w:before="120" w:after="120"/>
    </w:pPr>
    <w:rPr>
      <w:sz w:val="28"/>
      <w:szCs w:val="28"/>
    </w:rPr>
  </w:style>
  <w:style w:type="paragraph" w:styleId="CharChar2CharCharCharCharCharChar">
    <w:name w:val="Char Char2 Char Char Char Char Char Char"/>
    <w:basedOn w:val="Normal"/>
    <w:qFormat/>
    <w:pPr/>
    <w:rPr>
      <w:rFonts w:ascii="Tahoma" w:hAnsi="Tahoma" w:cs="Tahoma"/>
      <w:lang w:val="pl-PL"/>
    </w:rPr>
  </w:style>
  <w:style w:type="paragraph" w:styleId="List0020paragraph">
    <w:name w:val="list_0020paragraph"/>
    <w:basedOn w:val="Normal"/>
    <w:qFormat/>
    <w:pPr>
      <w:spacing w:before="280" w:after="280"/>
    </w:pPr>
    <w:rPr/>
  </w:style>
  <w:style w:type="paragraph" w:styleId="Yiv3519430896msonormal">
    <w:name w:val="yiv3519430896msonormal"/>
    <w:basedOn w:val="Normal"/>
    <w:qFormat/>
    <w:pPr>
      <w:spacing w:before="280" w:after="280"/>
    </w:pPr>
    <w:rPr/>
  </w:style>
  <w:style w:type="paragraph" w:styleId="BodyTextIndent2">
    <w:name w:val="Body Text Indent 2"/>
    <w:basedOn w:val="Normal"/>
    <w:qFormat/>
    <w:pPr>
      <w:spacing w:lineRule="auto" w:line="480" w:before="0" w:after="120"/>
      <w:ind w:left="360" w:hanging="0"/>
    </w:pPr>
    <w:rPr>
      <w:sz w:val="28"/>
      <w:szCs w:val="28"/>
    </w:rPr>
  </w:style>
  <w:style w:type="paragraph" w:styleId="ListParagraph">
    <w:name w:val="List Paragraph"/>
    <w:basedOn w:val="Normal"/>
    <w:qFormat/>
    <w:pPr>
      <w:spacing w:lineRule="auto" w:line="276" w:before="0" w:after="200"/>
      <w:ind w:left="720" w:hanging="0"/>
      <w:contextualSpacing/>
    </w:pPr>
    <w:rPr>
      <w:rFonts w:eastAsia="Calibri"/>
      <w:sz w:val="28"/>
      <w:szCs w:val="22"/>
    </w:rPr>
  </w:style>
  <w:style w:type="paragraph" w:styleId="BodyText3">
    <w:name w:val="Body Text 3"/>
    <w:basedOn w:val="Normal"/>
    <w:qFormat/>
    <w:pPr>
      <w:spacing w:before="0" w:after="120"/>
    </w:pPr>
    <w:rPr>
      <w:sz w:val="16"/>
      <w:szCs w:val="16"/>
    </w:rPr>
  </w:style>
  <w:style w:type="paragraph" w:styleId="Normal3">
    <w:name w:val="Normal3"/>
    <w:qFormat/>
    <w:pPr>
      <w:widowControl/>
      <w:bidi w:val="0"/>
    </w:pPr>
    <w:rPr>
      <w:rFonts w:ascii="Times New Roman" w:hAnsi="Times New Roman" w:eastAsia="Times New Roman" w:cs="Times New Roman"/>
      <w:color w:val="000000"/>
      <w:sz w:val="24"/>
      <w:szCs w:val="20"/>
      <w:lang w:val="en-US" w:bidi="ar-SA" w:eastAsia="zh-CN"/>
    </w:rPr>
  </w:style>
  <w:style w:type="paragraph" w:styleId="CarattereCarattereCharCharCharCharCharCharZchn">
    <w:name w:val="Carattere Carattere Char Char Char Char Char Char Zchn"/>
    <w:basedOn w:val="Normal"/>
    <w:next w:val="Normal"/>
    <w:qFormat/>
    <w:pPr>
      <w:spacing w:lineRule="exact" w:line="240" w:before="0" w:after="160"/>
    </w:pPr>
    <w:rPr>
      <w:sz w:val="20"/>
      <w:szCs w:val="20"/>
      <w:vertAlign w:val="superscript"/>
    </w:rPr>
  </w:style>
  <w:style w:type="paragraph" w:styleId="FtrefCharChar">
    <w:name w:val="ftref Char Char"/>
    <w:basedOn w:val="Normal"/>
    <w:qFormat/>
    <w:pPr>
      <w:spacing w:lineRule="exact" w:line="240" w:before="100" w:after="0"/>
    </w:pPr>
    <w:rPr>
      <w:rFonts w:eastAsia="Calibri"/>
      <w:sz w:val="20"/>
      <w:szCs w:val="20"/>
      <w:vertAlign w:val="superscript"/>
    </w:rPr>
  </w:style>
  <w:style w:type="paragraph" w:styleId="Content">
    <w:name w:val="Content"/>
    <w:basedOn w:val="Normal"/>
    <w:qFormat/>
    <w:pPr>
      <w:spacing w:lineRule="auto" w:line="264" w:before="120" w:after="0"/>
      <w:ind w:firstLine="720"/>
      <w:jc w:val="both"/>
    </w:pPr>
    <w:rPr>
      <w:rFonts w:eastAsia="Calibri" w:cs="Calibri"/>
      <w:sz w:val="28"/>
      <w:szCs w:val="22"/>
      <w:lang w:val="de-DE"/>
    </w:rPr>
  </w:style>
  <w:style w:type="paragraph" w:styleId="ColorfulListAccent11">
    <w:name w:val="Colorful List - Accent 11"/>
    <w:basedOn w:val="Normal"/>
    <w:qFormat/>
    <w:pPr>
      <w:spacing w:before="0" w:after="200"/>
      <w:ind w:left="720" w:hanging="0"/>
      <w:contextualSpacing/>
    </w:pPr>
    <w:rPr>
      <w:rFonts w:eastAsia="Cambria"/>
      <w:sz w:val="28"/>
    </w:rPr>
  </w:style>
  <w:style w:type="paragraph" w:styleId="M4699682942669953198msolistparagraph">
    <w:name w:val="m_4699682942669953198msolistparagraph"/>
    <w:basedOn w:val="Normal"/>
    <w:qFormat/>
    <w:pPr>
      <w:spacing w:before="280" w:after="280"/>
    </w:pPr>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Contents">
    <w:name w:val="Contents"/>
    <w:basedOn w:val="Normal"/>
    <w:qFormat/>
    <w:pPr>
      <w:spacing w:before="120" w:after="60"/>
      <w:ind w:firstLine="709"/>
      <w:jc w:val="both"/>
    </w:pPr>
    <w:rPr>
      <w:sz w:val="28"/>
      <w:szCs w:val="28"/>
      <w:lang w:val="de-DE"/>
    </w:rPr>
  </w:style>
  <w:style w:type="paragraph" w:styleId="Linh11">
    <w:name w:val="linh11"/>
    <w:basedOn w:val="Normal"/>
    <w:qFormat/>
    <w:pPr>
      <w:spacing w:lineRule="auto" w:line="336" w:before="60" w:after="60"/>
      <w:ind w:firstLine="720"/>
      <w:jc w:val="center"/>
    </w:pPr>
    <w:rPr>
      <w:b/>
      <w:sz w:val="28"/>
      <w:szCs w:val="28"/>
    </w:rPr>
  </w:style>
  <w:style w:type="paragraph" w:styleId="NoSpacing">
    <w:name w:val="No Spacing"/>
    <w:qFormat/>
    <w:pPr>
      <w:widowControl/>
      <w:bidi w:val="0"/>
    </w:pPr>
    <w:rPr>
      <w:rFonts w:ascii="Times New Roman" w:hAnsi="Times New Roman" w:eastAsia="Calibri" w:cs="Times New Roman"/>
      <w:color w:val="auto"/>
      <w:sz w:val="27"/>
      <w:szCs w:val="22"/>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314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2022-05-27T23:32:00Z</dcterms:created>
  <dc:creator>Le Anh Tuan</dc:creator>
  <dc:description/>
  <cp:keywords/>
  <dc:language>en-US</dc:language>
  <cp:lastModifiedBy>Dang Thi Tuyet Minh</cp:lastModifiedBy>
  <cp:lastPrinted>2022-05-30T12:30:00Z</cp:lastPrinted>
  <dcterms:modified xsi:type="dcterms:W3CDTF">2022-05-30T15:54:00Z</dcterms:modified>
  <cp:revision>22</cp:revision>
  <dc:subject/>
  <dc:title>BỘ NÔNG NGHIỆP VÀ</dc:title>
</cp:coreProperties>
</file>