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F0BE" w14:textId="2FDCC161" w:rsidR="00336692" w:rsidRPr="00DF0EC3" w:rsidRDefault="00336692" w:rsidP="003366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Peripheral parenteral nutrition (PPN) is limited by lower osmolarity (≤900 </w:t>
      </w:r>
      <w:proofErr w:type="spellStart"/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mOsm</w:t>
      </w:r>
      <w:proofErr w:type="spellEnd"/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/L), lower nutrient concentrations, and shorter duration (≤10–14 days), while central parenteral nutrition (CPN) allows higher osmolarity solutions, full nutritional support, and long-term use.</w:t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PPN is restricted by the tolerance of peripheral veins to osmolarity; the American Society for Parenteral and Enteral Nutrition (ASPEN) recommends a maximum of 900 </w:t>
      </w:r>
      <w:proofErr w:type="spellStart"/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mOsm</w:t>
      </w:r>
      <w:proofErr w:type="spellEnd"/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/L for peripheral infusions to minimize the risk of phlebitis and vascular complications.</w:t>
      </w:r>
      <w:hyperlink r:id="rId5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hyperlink r:id="rId6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necessitates </w:t>
      </w: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lower concentrations of dextrose and amino acids</w:t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often resulting in hypocaloric regimens and requiring larger fluid volumes to deliver adequate calories and protein. PPN is generally reserved for </w:t>
      </w: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short-term use (≤10–14 days)</w:t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as maintaining peripheral access becomes increasingly difficult and complications such as phlebitis and infiltration rise with longer durations.</w:t>
      </w:r>
      <w:hyperlink r:id="rId7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PPN is best suited for patients with mild or no malnutrition, stable fluid status, and no severe catabolic or hypermetabolic states.</w:t>
      </w:r>
      <w:hyperlink r:id="rId8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 contrast, </w:t>
      </w: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CPN is administered via a central venous catheter and can safely deliver solutions with much higher osmolarity (up to 2,000 </w:t>
      </w:r>
      <w:proofErr w:type="spellStart"/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mOsm</w:t>
      </w:r>
      <w:proofErr w:type="spellEnd"/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/L or more)</w:t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allowing for concentrated formulations that meet full energy, protein, and micronutrient requirements in smaller fluid volumes.</w:t>
      </w:r>
      <w:hyperlink r:id="rId9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[3]</w:t>
        </w:r>
      </w:hyperlink>
      <w:hyperlink r:id="rId10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[4]</w:t>
        </w:r>
      </w:hyperlink>
      <w:hyperlink r:id="rId11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CPN is appropriate for patients needing </w:t>
      </w: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long-term PN or those with high nutritional needs</w:t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cannot be met peripherally. However, central access carries higher risks of catheter-related bloodstream infection and thrombosis.</w:t>
      </w:r>
      <w:hyperlink r:id="rId12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[3]</w:t>
        </w:r>
      </w:hyperlink>
      <w:hyperlink r:id="rId13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 summary, </w:t>
      </w: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PPN is limited by osmolarity (≤900 </w:t>
      </w:r>
      <w:proofErr w:type="spellStart"/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mOsm</w:t>
      </w:r>
      <w:proofErr w:type="spellEnd"/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/L), nutrient concentration, and duration (≤10–14 days), while CPN is not</w:t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choice depends on patient needs, anticipated duration, and vascular access considerations.</w:t>
      </w:r>
      <w:hyperlink r:id="rId14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hyperlink r:id="rId15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[3]</w:t>
        </w:r>
      </w:hyperlink>
      <w:hyperlink r:id="rId16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98E7261" w14:textId="77777777" w:rsidR="00336692" w:rsidRPr="00336692" w:rsidRDefault="00336692" w:rsidP="00336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References</w:t>
      </w:r>
    </w:p>
    <w:p w14:paraId="48C6DD69" w14:textId="77777777" w:rsidR="00336692" w:rsidRPr="00336692" w:rsidRDefault="00000000" w:rsidP="0033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7" w:history="1"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When Is Parenteral Nutrition Appropriate?</w:t>
        </w:r>
      </w:hyperlink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Worthington P, Balint J, Bechtold M, et al. JPEN. Journal of Parenteral and Enteral Nutrition. 2017;41(3):324-377. doi:10.1177/0148607117695251.</w:t>
      </w:r>
    </w:p>
    <w:p w14:paraId="1028EDBF" w14:textId="77777777" w:rsidR="00336692" w:rsidRPr="00336692" w:rsidRDefault="00000000" w:rsidP="0033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8" w:history="1"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ACG Clinical Guideline: Nutrition Therapy in the Adult Hospitalized Patient</w:t>
        </w:r>
      </w:hyperlink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McClave</w:t>
      </w:r>
      <w:proofErr w:type="spellEnd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SA, </w:t>
      </w:r>
      <w:proofErr w:type="spellStart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DiBaise</w:t>
      </w:r>
      <w:proofErr w:type="spellEnd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JK, Mullin GE, Martindale RG. The American Journal of Gastroenterology. 2016;111(3):315-34; quiz 335. doi:10.1038/ajg.2016.28.</w:t>
      </w:r>
    </w:p>
    <w:p w14:paraId="0D3581BF" w14:textId="77777777" w:rsidR="00336692" w:rsidRPr="00336692" w:rsidRDefault="00000000" w:rsidP="0033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9" w:history="1"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Malnutrition in Adults</w:t>
        </w:r>
      </w:hyperlink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Cederholm T, </w:t>
      </w:r>
      <w:proofErr w:type="spellStart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Bosaeus</w:t>
      </w:r>
      <w:proofErr w:type="spellEnd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I. The New England Journal of Medicine. 2024;391(2):155-165. doi:10.1056/NEJMra2212159.</w:t>
      </w:r>
    </w:p>
    <w:p w14:paraId="58BF2931" w14:textId="77777777" w:rsidR="00336692" w:rsidRPr="00336692" w:rsidRDefault="00000000" w:rsidP="0033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0" w:history="1"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Parenteral Nutrition Overview</w:t>
        </w:r>
      </w:hyperlink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Berlana</w:t>
      </w:r>
      <w:proofErr w:type="spellEnd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D. Nutrients. 2022;14(21):4480. doi:10.3390/nu14214480.</w:t>
      </w:r>
    </w:p>
    <w:p w14:paraId="389C2E78" w14:textId="77777777" w:rsidR="00336692" w:rsidRPr="00336692" w:rsidRDefault="00000000" w:rsidP="0033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1" w:history="1"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Standards for Nutrition Support: Adult Hospitalized Patients</w:t>
        </w:r>
      </w:hyperlink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Ukleja</w:t>
      </w:r>
      <w:proofErr w:type="spellEnd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A, Gilbert K, </w:t>
      </w:r>
      <w:proofErr w:type="spellStart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Mogensen</w:t>
      </w:r>
      <w:proofErr w:type="spellEnd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KM, et al. Nutrition in Clinical </w:t>
      </w:r>
      <w:proofErr w:type="gramStart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Practice :</w:t>
      </w:r>
      <w:proofErr w:type="gramEnd"/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Official Publication of the American Society for Parenteral and Enteral Nutrition. 2018;33(6):906-920. doi:10.1002/ncp.10204.</w:t>
      </w:r>
    </w:p>
    <w:p w14:paraId="0B94F841" w14:textId="77777777" w:rsidR="00336692" w:rsidRPr="00336692" w:rsidRDefault="00336692">
      <w:pPr>
        <w:rPr>
          <w:rFonts w:ascii="Times New Roman" w:hAnsi="Times New Roman" w:cs="Times New Roman"/>
        </w:rPr>
      </w:pPr>
    </w:p>
    <w:p w14:paraId="4804B685" w14:textId="77777777" w:rsidR="00336692" w:rsidRPr="00336692" w:rsidRDefault="00336692">
      <w:pPr>
        <w:rPr>
          <w:rFonts w:ascii="Times New Roman" w:hAnsi="Times New Roman" w:cs="Times New Roman"/>
        </w:rPr>
      </w:pPr>
    </w:p>
    <w:p w14:paraId="211BBC78" w14:textId="77777777" w:rsidR="00336692" w:rsidRPr="00336692" w:rsidRDefault="00336692">
      <w:pPr>
        <w:rPr>
          <w:rFonts w:ascii="Times New Roman" w:hAnsi="Times New Roman" w:cs="Times New Roman"/>
        </w:rPr>
      </w:pPr>
    </w:p>
    <w:p w14:paraId="6424E4D7" w14:textId="1DDC6D93" w:rsidR="00336692" w:rsidRDefault="00336692" w:rsidP="003366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For peripheral parenteral nutrition (PPN) in adults, the maximum </w:t>
      </w: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allowable concentrations are typically 5% to 10% for amino acids and 5% to 10% for dextrose</w:t>
      </w: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These limits are set to keep the osmolarity below 900 </w:t>
      </w:r>
      <w:proofErr w:type="spellStart"/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mOsm</w:t>
      </w:r>
      <w:proofErr w:type="spellEnd"/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/L, which is necessary to minimize the risk of phlebitis and vascular complications associated with peripheral vein administration. Most commercial and FDA-labeled products, such as </w:t>
      </w:r>
      <w:proofErr w:type="spellStart"/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Aminosyn</w:t>
      </w:r>
      <w:proofErr w:type="spellEnd"/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II and </w:t>
      </w:r>
      <w:proofErr w:type="spellStart"/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Aminosyn</w:t>
      </w:r>
      <w:proofErr w:type="spellEnd"/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-PF, specify that admixtures for peripheral infusion should not exceed these concentrations for either component.</w:t>
      </w:r>
      <w:hyperlink r:id="rId22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hyperlink r:id="rId23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American Society for Parenteral and Enteral Nutrition also recommends keeping amino acid concentrations below 5% and dextrose below 10% for typical adult PPN solutions.</w:t>
      </w:r>
      <w:hyperlink r:id="rId24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[3]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 pediatric patients, peripheral admixtures may occasionally use dextrose concentrations up to 12.5% due to higher carbohydrate needs, but amino acid concentrations should still generally remain below 5% to avoid exceeding the osmolarity threshold.</w:t>
      </w:r>
      <w:hyperlink r:id="rId25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[3]</w:t>
        </w:r>
      </w:hyperlink>
      <w:hyperlink r:id="rId26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 summary, for adult PPN, the maximum concentrations are 5–10% amino acids and 5–10% dextrose, with the lower end preferred to stay within safe osmolarity limits.</w:t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pediatric PPN, dextrose may be increased to 12.5% in select cases, but amino acids should remain ≤5%.</w:t>
      </w:r>
      <w:hyperlink r:id="rId27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[3]</w:t>
        </w:r>
      </w:hyperlink>
      <w:hyperlink r:id="rId28" w:history="1">
        <w:r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8F999AB" w14:textId="77777777" w:rsidR="00336692" w:rsidRPr="00336692" w:rsidRDefault="00336692" w:rsidP="003366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dinh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dưỡng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ngoại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vi (PPN) ở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nồng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đa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5%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10%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axit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5%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10%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dextrose.</w:t>
      </w:r>
    </w:p>
    <w:p w14:paraId="4A89146E" w14:textId="77777777" w:rsidR="00336692" w:rsidRPr="00336692" w:rsidRDefault="00336692" w:rsidP="003366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E19B9A" w14:textId="77777777" w:rsidR="00336692" w:rsidRPr="00336692" w:rsidRDefault="00336692" w:rsidP="003366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thấu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900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mOsm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/L,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thiểu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nguy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viêm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tĩnh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mạch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mạch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máu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truyền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tĩnh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mạch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ngoại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vi.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Hầu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thương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mại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FDA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dán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nhãn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chẳng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Aminosyn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II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Aminosyn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-PF,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rằng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pha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trộn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truyền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ngoại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nồng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.[1][2]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Hiệp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hội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Dinh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dưỡng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Hoa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khuyến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nồng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axit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5%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dextrose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10%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PPN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.[3]</w:t>
      </w:r>
    </w:p>
    <w:p w14:paraId="751B1C0A" w14:textId="77777777" w:rsidR="00336692" w:rsidRPr="00336692" w:rsidRDefault="00336692" w:rsidP="003366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0F9535" w14:textId="77777777" w:rsidR="00336692" w:rsidRPr="00336692" w:rsidRDefault="00336692" w:rsidP="003366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Ở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bệnh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nhi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pha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trộn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ngoại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đôi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nồng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dextrose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12,5% do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nhu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carbohydrate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nồng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axit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trì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5%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ngưỡng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thấu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.[3][2]</w:t>
      </w:r>
    </w:p>
    <w:p w14:paraId="6CDBE98B" w14:textId="77777777" w:rsidR="00336692" w:rsidRPr="00336692" w:rsidRDefault="00336692" w:rsidP="003366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823757" w14:textId="4B9B6ACA" w:rsidR="00336692" w:rsidRPr="00336692" w:rsidRDefault="00336692" w:rsidP="003366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Tóm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PPN ở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nồng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đa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5–10%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axit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5–10% dextrose,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trì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thấu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PPN ở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trẻ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, dextrose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12,5%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axit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>trì</w:t>
      </w:r>
      <w:proofErr w:type="spellEnd"/>
      <w:r w:rsidRPr="00336692">
        <w:rPr>
          <w:rFonts w:ascii="Times New Roman" w:eastAsia="Times New Roman" w:hAnsi="Times New Roman" w:cs="Times New Roman"/>
          <w:kern w:val="0"/>
          <w14:ligatures w14:val="none"/>
        </w:rPr>
        <w:t xml:space="preserve"> ≤5%.[3][2]</w:t>
      </w:r>
    </w:p>
    <w:p w14:paraId="766C00D7" w14:textId="77777777" w:rsidR="00336692" w:rsidRPr="00336692" w:rsidRDefault="00336692" w:rsidP="00336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366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References</w:t>
      </w:r>
    </w:p>
    <w:p w14:paraId="28693829" w14:textId="77777777" w:rsidR="00336692" w:rsidRPr="00336692" w:rsidRDefault="00000000" w:rsidP="00336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9" w:history="1">
        <w:proofErr w:type="spellStart"/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Aminosyn</w:t>
        </w:r>
        <w:proofErr w:type="spellEnd"/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II</w:t>
        </w:r>
      </w:hyperlink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Food and Drug Administration. Updated date: 2025-10-17.</w:t>
      </w:r>
    </w:p>
    <w:p w14:paraId="679C40B4" w14:textId="77777777" w:rsidR="00336692" w:rsidRPr="00336692" w:rsidRDefault="00000000" w:rsidP="00336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0" w:history="1">
        <w:proofErr w:type="spellStart"/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Aminosyn</w:t>
        </w:r>
        <w:proofErr w:type="spellEnd"/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-PF</w:t>
        </w:r>
      </w:hyperlink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Food and Drug Administration. Updated date: 2025-10-10.</w:t>
      </w:r>
    </w:p>
    <w:p w14:paraId="706B21FD" w14:textId="77777777" w:rsidR="00336692" w:rsidRPr="00336692" w:rsidRDefault="00000000" w:rsidP="00336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1" w:history="1">
        <w:r w:rsidR="00336692" w:rsidRPr="003366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When Is Parenteral Nutrition Appropriate?</w:t>
        </w:r>
      </w:hyperlink>
      <w:r w:rsidR="00336692" w:rsidRPr="003366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Worthington P, Balint J, Bechtold M, et al. JPEN. Journal of Parenteral and Enteral Nutrition. 2017;41(3):324-377. doi:10.1177/0148607117695251.</w:t>
      </w:r>
    </w:p>
    <w:p w14:paraId="5987F75C" w14:textId="77777777" w:rsidR="00336692" w:rsidRPr="00336692" w:rsidRDefault="00336692">
      <w:pPr>
        <w:rPr>
          <w:rFonts w:ascii="Times New Roman" w:hAnsi="Times New Roman" w:cs="Times New Roman"/>
        </w:rPr>
      </w:pPr>
    </w:p>
    <w:sectPr w:rsidR="00336692" w:rsidRPr="00336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7959"/>
    <w:multiLevelType w:val="multilevel"/>
    <w:tmpl w:val="55F8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BD3466"/>
    <w:multiLevelType w:val="multilevel"/>
    <w:tmpl w:val="BB96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520192">
    <w:abstractNumId w:val="1"/>
  </w:num>
  <w:num w:numId="2" w16cid:durableId="22552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92"/>
    <w:rsid w:val="000011F1"/>
    <w:rsid w:val="00004E97"/>
    <w:rsid w:val="00007381"/>
    <w:rsid w:val="00020507"/>
    <w:rsid w:val="0002277E"/>
    <w:rsid w:val="000406E5"/>
    <w:rsid w:val="000409C0"/>
    <w:rsid w:val="00046F6F"/>
    <w:rsid w:val="0005201B"/>
    <w:rsid w:val="0005201E"/>
    <w:rsid w:val="0005253D"/>
    <w:rsid w:val="00057F4C"/>
    <w:rsid w:val="00060E21"/>
    <w:rsid w:val="00062163"/>
    <w:rsid w:val="00063091"/>
    <w:rsid w:val="00063F70"/>
    <w:rsid w:val="000658C9"/>
    <w:rsid w:val="000678B1"/>
    <w:rsid w:val="00072936"/>
    <w:rsid w:val="00081FD2"/>
    <w:rsid w:val="00084968"/>
    <w:rsid w:val="00085EA4"/>
    <w:rsid w:val="00086A6C"/>
    <w:rsid w:val="00086C1D"/>
    <w:rsid w:val="00087254"/>
    <w:rsid w:val="00091873"/>
    <w:rsid w:val="00091E65"/>
    <w:rsid w:val="00091F8B"/>
    <w:rsid w:val="000A3653"/>
    <w:rsid w:val="000A5D2D"/>
    <w:rsid w:val="000A6429"/>
    <w:rsid w:val="000B372F"/>
    <w:rsid w:val="000B45D6"/>
    <w:rsid w:val="000B4E2E"/>
    <w:rsid w:val="000B6526"/>
    <w:rsid w:val="000C137D"/>
    <w:rsid w:val="000C3421"/>
    <w:rsid w:val="000C4507"/>
    <w:rsid w:val="000C55B6"/>
    <w:rsid w:val="000C6642"/>
    <w:rsid w:val="000C7302"/>
    <w:rsid w:val="000D0795"/>
    <w:rsid w:val="000D2566"/>
    <w:rsid w:val="000D31C4"/>
    <w:rsid w:val="000D6665"/>
    <w:rsid w:val="000D7080"/>
    <w:rsid w:val="000D78C7"/>
    <w:rsid w:val="000E22E4"/>
    <w:rsid w:val="000E3920"/>
    <w:rsid w:val="000F1083"/>
    <w:rsid w:val="000F3FA9"/>
    <w:rsid w:val="001046A2"/>
    <w:rsid w:val="00104D9A"/>
    <w:rsid w:val="001050A5"/>
    <w:rsid w:val="001075F4"/>
    <w:rsid w:val="001106EC"/>
    <w:rsid w:val="00111CB0"/>
    <w:rsid w:val="00112CED"/>
    <w:rsid w:val="00114011"/>
    <w:rsid w:val="00115AD3"/>
    <w:rsid w:val="00116DB4"/>
    <w:rsid w:val="0012096F"/>
    <w:rsid w:val="00120AD4"/>
    <w:rsid w:val="00135AED"/>
    <w:rsid w:val="00135B19"/>
    <w:rsid w:val="00136A95"/>
    <w:rsid w:val="00137C35"/>
    <w:rsid w:val="00143203"/>
    <w:rsid w:val="001444E6"/>
    <w:rsid w:val="00147282"/>
    <w:rsid w:val="00164E8E"/>
    <w:rsid w:val="001659A3"/>
    <w:rsid w:val="00166E9A"/>
    <w:rsid w:val="00166F05"/>
    <w:rsid w:val="00167F7F"/>
    <w:rsid w:val="00173818"/>
    <w:rsid w:val="00175CD0"/>
    <w:rsid w:val="00176752"/>
    <w:rsid w:val="00182F30"/>
    <w:rsid w:val="00187E50"/>
    <w:rsid w:val="00195CFA"/>
    <w:rsid w:val="00196877"/>
    <w:rsid w:val="001A0617"/>
    <w:rsid w:val="001A4341"/>
    <w:rsid w:val="001A576F"/>
    <w:rsid w:val="001A6BC7"/>
    <w:rsid w:val="001B01EF"/>
    <w:rsid w:val="001B0288"/>
    <w:rsid w:val="001B485F"/>
    <w:rsid w:val="001B4D1F"/>
    <w:rsid w:val="001B61C1"/>
    <w:rsid w:val="001B72CB"/>
    <w:rsid w:val="001C0290"/>
    <w:rsid w:val="001C2CF2"/>
    <w:rsid w:val="001C5EA7"/>
    <w:rsid w:val="001D4214"/>
    <w:rsid w:val="001D5BA4"/>
    <w:rsid w:val="001D6259"/>
    <w:rsid w:val="001F1777"/>
    <w:rsid w:val="001F1A62"/>
    <w:rsid w:val="001F290F"/>
    <w:rsid w:val="001F35BD"/>
    <w:rsid w:val="001F5C69"/>
    <w:rsid w:val="0020241B"/>
    <w:rsid w:val="00203776"/>
    <w:rsid w:val="00205F9C"/>
    <w:rsid w:val="00207EDD"/>
    <w:rsid w:val="00210B22"/>
    <w:rsid w:val="002118C6"/>
    <w:rsid w:val="0021478A"/>
    <w:rsid w:val="002153CB"/>
    <w:rsid w:val="00216C67"/>
    <w:rsid w:val="00216ED5"/>
    <w:rsid w:val="00226CF3"/>
    <w:rsid w:val="0023431D"/>
    <w:rsid w:val="0023472A"/>
    <w:rsid w:val="002365E8"/>
    <w:rsid w:val="00240E9A"/>
    <w:rsid w:val="00241919"/>
    <w:rsid w:val="00242710"/>
    <w:rsid w:val="002450C6"/>
    <w:rsid w:val="0025067E"/>
    <w:rsid w:val="0025178A"/>
    <w:rsid w:val="002523C2"/>
    <w:rsid w:val="00254B3D"/>
    <w:rsid w:val="00256394"/>
    <w:rsid w:val="00256444"/>
    <w:rsid w:val="00256C10"/>
    <w:rsid w:val="00257764"/>
    <w:rsid w:val="00260D50"/>
    <w:rsid w:val="00270AA9"/>
    <w:rsid w:val="0027260E"/>
    <w:rsid w:val="002767B1"/>
    <w:rsid w:val="002774E3"/>
    <w:rsid w:val="002777B9"/>
    <w:rsid w:val="00280FFD"/>
    <w:rsid w:val="0028308B"/>
    <w:rsid w:val="002951B8"/>
    <w:rsid w:val="002956DD"/>
    <w:rsid w:val="00295CA8"/>
    <w:rsid w:val="0029692A"/>
    <w:rsid w:val="002969A1"/>
    <w:rsid w:val="002A50F2"/>
    <w:rsid w:val="002A7EC9"/>
    <w:rsid w:val="002B0133"/>
    <w:rsid w:val="002B0709"/>
    <w:rsid w:val="002B0C4E"/>
    <w:rsid w:val="002B18CE"/>
    <w:rsid w:val="002B29DA"/>
    <w:rsid w:val="002B68AA"/>
    <w:rsid w:val="002C0F17"/>
    <w:rsid w:val="002C28D6"/>
    <w:rsid w:val="002C4B87"/>
    <w:rsid w:val="002C5093"/>
    <w:rsid w:val="002D5607"/>
    <w:rsid w:val="002D7AAD"/>
    <w:rsid w:val="002E0496"/>
    <w:rsid w:val="002E643C"/>
    <w:rsid w:val="002F1260"/>
    <w:rsid w:val="002F12A4"/>
    <w:rsid w:val="002F272F"/>
    <w:rsid w:val="002F6B6F"/>
    <w:rsid w:val="002F7C1F"/>
    <w:rsid w:val="0030159C"/>
    <w:rsid w:val="00301DDF"/>
    <w:rsid w:val="00304C02"/>
    <w:rsid w:val="0031050F"/>
    <w:rsid w:val="00311010"/>
    <w:rsid w:val="00315618"/>
    <w:rsid w:val="00315789"/>
    <w:rsid w:val="00316911"/>
    <w:rsid w:val="003230FB"/>
    <w:rsid w:val="00325B64"/>
    <w:rsid w:val="00325F15"/>
    <w:rsid w:val="003269B9"/>
    <w:rsid w:val="003279E4"/>
    <w:rsid w:val="00334254"/>
    <w:rsid w:val="003348FE"/>
    <w:rsid w:val="00336126"/>
    <w:rsid w:val="00336692"/>
    <w:rsid w:val="00343C90"/>
    <w:rsid w:val="00345D28"/>
    <w:rsid w:val="00346F2E"/>
    <w:rsid w:val="00347A59"/>
    <w:rsid w:val="003502BA"/>
    <w:rsid w:val="00351974"/>
    <w:rsid w:val="00356B4B"/>
    <w:rsid w:val="003639CA"/>
    <w:rsid w:val="00364B3D"/>
    <w:rsid w:val="0036525C"/>
    <w:rsid w:val="00365961"/>
    <w:rsid w:val="00371B7A"/>
    <w:rsid w:val="003721D9"/>
    <w:rsid w:val="00384E2A"/>
    <w:rsid w:val="00395892"/>
    <w:rsid w:val="003A0980"/>
    <w:rsid w:val="003A5E30"/>
    <w:rsid w:val="003B37FD"/>
    <w:rsid w:val="003B545E"/>
    <w:rsid w:val="003B72C4"/>
    <w:rsid w:val="003B78C3"/>
    <w:rsid w:val="003C08E0"/>
    <w:rsid w:val="003C26D8"/>
    <w:rsid w:val="003C6B91"/>
    <w:rsid w:val="003D1356"/>
    <w:rsid w:val="003D1EE6"/>
    <w:rsid w:val="003D3A54"/>
    <w:rsid w:val="003D628C"/>
    <w:rsid w:val="003D6557"/>
    <w:rsid w:val="003D6841"/>
    <w:rsid w:val="003D7B90"/>
    <w:rsid w:val="003E0DA4"/>
    <w:rsid w:val="003E113C"/>
    <w:rsid w:val="003E1A57"/>
    <w:rsid w:val="003E2445"/>
    <w:rsid w:val="003E42C8"/>
    <w:rsid w:val="003F028A"/>
    <w:rsid w:val="003F0CB5"/>
    <w:rsid w:val="003F102E"/>
    <w:rsid w:val="003F14ED"/>
    <w:rsid w:val="003F292C"/>
    <w:rsid w:val="004015C2"/>
    <w:rsid w:val="00404F31"/>
    <w:rsid w:val="00411847"/>
    <w:rsid w:val="00411A5D"/>
    <w:rsid w:val="00414492"/>
    <w:rsid w:val="00420891"/>
    <w:rsid w:val="004212D1"/>
    <w:rsid w:val="00423689"/>
    <w:rsid w:val="0042490D"/>
    <w:rsid w:val="00424D22"/>
    <w:rsid w:val="00424FBD"/>
    <w:rsid w:val="0042540A"/>
    <w:rsid w:val="00426AB0"/>
    <w:rsid w:val="00426E40"/>
    <w:rsid w:val="00431197"/>
    <w:rsid w:val="004317DA"/>
    <w:rsid w:val="00431860"/>
    <w:rsid w:val="00432E12"/>
    <w:rsid w:val="00436153"/>
    <w:rsid w:val="0044076A"/>
    <w:rsid w:val="00442AC7"/>
    <w:rsid w:val="00450BFA"/>
    <w:rsid w:val="00451C90"/>
    <w:rsid w:val="00452781"/>
    <w:rsid w:val="00452ED5"/>
    <w:rsid w:val="004541B2"/>
    <w:rsid w:val="004548AF"/>
    <w:rsid w:val="00454D07"/>
    <w:rsid w:val="00455F3A"/>
    <w:rsid w:val="004610EF"/>
    <w:rsid w:val="0046125B"/>
    <w:rsid w:val="0046141D"/>
    <w:rsid w:val="00461E4E"/>
    <w:rsid w:val="00463318"/>
    <w:rsid w:val="00463F81"/>
    <w:rsid w:val="00464302"/>
    <w:rsid w:val="00470749"/>
    <w:rsid w:val="004756ED"/>
    <w:rsid w:val="00477DF0"/>
    <w:rsid w:val="0048324A"/>
    <w:rsid w:val="00483435"/>
    <w:rsid w:val="004863AE"/>
    <w:rsid w:val="004961FE"/>
    <w:rsid w:val="0049713B"/>
    <w:rsid w:val="004A6399"/>
    <w:rsid w:val="004A6862"/>
    <w:rsid w:val="004B0E7F"/>
    <w:rsid w:val="004B1820"/>
    <w:rsid w:val="004B1FE9"/>
    <w:rsid w:val="004B3CD3"/>
    <w:rsid w:val="004C2EC6"/>
    <w:rsid w:val="004C5113"/>
    <w:rsid w:val="004C6F64"/>
    <w:rsid w:val="004C71E9"/>
    <w:rsid w:val="004D0C32"/>
    <w:rsid w:val="004D5F6C"/>
    <w:rsid w:val="004D71C7"/>
    <w:rsid w:val="004E0C9F"/>
    <w:rsid w:val="004E2E42"/>
    <w:rsid w:val="004E47DC"/>
    <w:rsid w:val="004E5F95"/>
    <w:rsid w:val="004E7F0F"/>
    <w:rsid w:val="004F1C4D"/>
    <w:rsid w:val="004F50A0"/>
    <w:rsid w:val="004F6A29"/>
    <w:rsid w:val="00506AA6"/>
    <w:rsid w:val="005148BB"/>
    <w:rsid w:val="005163B7"/>
    <w:rsid w:val="0052053E"/>
    <w:rsid w:val="005214E9"/>
    <w:rsid w:val="00525D01"/>
    <w:rsid w:val="00526E91"/>
    <w:rsid w:val="00531560"/>
    <w:rsid w:val="00532894"/>
    <w:rsid w:val="00534D12"/>
    <w:rsid w:val="00536A58"/>
    <w:rsid w:val="00536E0F"/>
    <w:rsid w:val="00537596"/>
    <w:rsid w:val="00542450"/>
    <w:rsid w:val="00544158"/>
    <w:rsid w:val="0054481F"/>
    <w:rsid w:val="005449F8"/>
    <w:rsid w:val="00545C94"/>
    <w:rsid w:val="00547F3C"/>
    <w:rsid w:val="00550A12"/>
    <w:rsid w:val="00551BA6"/>
    <w:rsid w:val="00552EF3"/>
    <w:rsid w:val="00555DF5"/>
    <w:rsid w:val="005606CD"/>
    <w:rsid w:val="0056095E"/>
    <w:rsid w:val="005610F6"/>
    <w:rsid w:val="005639C4"/>
    <w:rsid w:val="00565762"/>
    <w:rsid w:val="00566CAF"/>
    <w:rsid w:val="00566E02"/>
    <w:rsid w:val="00573912"/>
    <w:rsid w:val="00573C69"/>
    <w:rsid w:val="00574E4B"/>
    <w:rsid w:val="00575F0F"/>
    <w:rsid w:val="00577787"/>
    <w:rsid w:val="00583185"/>
    <w:rsid w:val="005849D4"/>
    <w:rsid w:val="0058508E"/>
    <w:rsid w:val="00585629"/>
    <w:rsid w:val="005918D9"/>
    <w:rsid w:val="00591A77"/>
    <w:rsid w:val="00592701"/>
    <w:rsid w:val="0059369A"/>
    <w:rsid w:val="00593FB8"/>
    <w:rsid w:val="0059566B"/>
    <w:rsid w:val="00595676"/>
    <w:rsid w:val="005A09B0"/>
    <w:rsid w:val="005A526E"/>
    <w:rsid w:val="005A7C29"/>
    <w:rsid w:val="005B0214"/>
    <w:rsid w:val="005B46E0"/>
    <w:rsid w:val="005B7549"/>
    <w:rsid w:val="005B77C9"/>
    <w:rsid w:val="005D552B"/>
    <w:rsid w:val="005D6508"/>
    <w:rsid w:val="005D6964"/>
    <w:rsid w:val="005D7119"/>
    <w:rsid w:val="005D7560"/>
    <w:rsid w:val="005E0D20"/>
    <w:rsid w:val="005E5572"/>
    <w:rsid w:val="005E713D"/>
    <w:rsid w:val="005E78BB"/>
    <w:rsid w:val="005E7A75"/>
    <w:rsid w:val="005F216E"/>
    <w:rsid w:val="005F5C97"/>
    <w:rsid w:val="005F7EE8"/>
    <w:rsid w:val="00601353"/>
    <w:rsid w:val="00601A9F"/>
    <w:rsid w:val="00606CA2"/>
    <w:rsid w:val="00607970"/>
    <w:rsid w:val="00612D85"/>
    <w:rsid w:val="006137F3"/>
    <w:rsid w:val="006169D8"/>
    <w:rsid w:val="00617431"/>
    <w:rsid w:val="006200F5"/>
    <w:rsid w:val="006212A2"/>
    <w:rsid w:val="00622A6D"/>
    <w:rsid w:val="00626CF2"/>
    <w:rsid w:val="00627D38"/>
    <w:rsid w:val="00627F5D"/>
    <w:rsid w:val="00630405"/>
    <w:rsid w:val="00631F75"/>
    <w:rsid w:val="00633FF3"/>
    <w:rsid w:val="00634467"/>
    <w:rsid w:val="00636B55"/>
    <w:rsid w:val="006373CC"/>
    <w:rsid w:val="00640E4F"/>
    <w:rsid w:val="00643252"/>
    <w:rsid w:val="00644E4E"/>
    <w:rsid w:val="00645744"/>
    <w:rsid w:val="006461D6"/>
    <w:rsid w:val="00646237"/>
    <w:rsid w:val="0065044D"/>
    <w:rsid w:val="00651DAA"/>
    <w:rsid w:val="00654A56"/>
    <w:rsid w:val="00654A68"/>
    <w:rsid w:val="00664F13"/>
    <w:rsid w:val="0067031F"/>
    <w:rsid w:val="006732E6"/>
    <w:rsid w:val="006734CA"/>
    <w:rsid w:val="00681C2F"/>
    <w:rsid w:val="0068422B"/>
    <w:rsid w:val="00686EFE"/>
    <w:rsid w:val="00691202"/>
    <w:rsid w:val="0069125A"/>
    <w:rsid w:val="006922F5"/>
    <w:rsid w:val="00692FF8"/>
    <w:rsid w:val="00696361"/>
    <w:rsid w:val="0069763B"/>
    <w:rsid w:val="006A3DF8"/>
    <w:rsid w:val="006A65A9"/>
    <w:rsid w:val="006B0F85"/>
    <w:rsid w:val="006C7479"/>
    <w:rsid w:val="006D60AC"/>
    <w:rsid w:val="006E09A0"/>
    <w:rsid w:val="006E2F23"/>
    <w:rsid w:val="006F2058"/>
    <w:rsid w:val="006F40A9"/>
    <w:rsid w:val="006F4DEB"/>
    <w:rsid w:val="006F6278"/>
    <w:rsid w:val="006F7B56"/>
    <w:rsid w:val="00701AA1"/>
    <w:rsid w:val="007035FE"/>
    <w:rsid w:val="00705A57"/>
    <w:rsid w:val="00706E07"/>
    <w:rsid w:val="007078C4"/>
    <w:rsid w:val="00725B99"/>
    <w:rsid w:val="00727278"/>
    <w:rsid w:val="00727BDB"/>
    <w:rsid w:val="007316E0"/>
    <w:rsid w:val="007323FF"/>
    <w:rsid w:val="007343CB"/>
    <w:rsid w:val="007348F0"/>
    <w:rsid w:val="0073518E"/>
    <w:rsid w:val="00737BC8"/>
    <w:rsid w:val="00742545"/>
    <w:rsid w:val="0075018A"/>
    <w:rsid w:val="00752AD6"/>
    <w:rsid w:val="00754C17"/>
    <w:rsid w:val="00761BDD"/>
    <w:rsid w:val="007628DA"/>
    <w:rsid w:val="007631A9"/>
    <w:rsid w:val="0076355F"/>
    <w:rsid w:val="007667CA"/>
    <w:rsid w:val="00782444"/>
    <w:rsid w:val="0078503D"/>
    <w:rsid w:val="0078583F"/>
    <w:rsid w:val="007859BE"/>
    <w:rsid w:val="007872FA"/>
    <w:rsid w:val="007901BE"/>
    <w:rsid w:val="007911D2"/>
    <w:rsid w:val="0079230C"/>
    <w:rsid w:val="0079434D"/>
    <w:rsid w:val="007946B6"/>
    <w:rsid w:val="007952E5"/>
    <w:rsid w:val="00796F4F"/>
    <w:rsid w:val="00797251"/>
    <w:rsid w:val="007A163C"/>
    <w:rsid w:val="007A3378"/>
    <w:rsid w:val="007A3904"/>
    <w:rsid w:val="007A690D"/>
    <w:rsid w:val="007B37D8"/>
    <w:rsid w:val="007B3A21"/>
    <w:rsid w:val="007B4551"/>
    <w:rsid w:val="007B4657"/>
    <w:rsid w:val="007B5533"/>
    <w:rsid w:val="007B5677"/>
    <w:rsid w:val="007C1181"/>
    <w:rsid w:val="007C1718"/>
    <w:rsid w:val="007C19F2"/>
    <w:rsid w:val="007C1EDE"/>
    <w:rsid w:val="007C4B8D"/>
    <w:rsid w:val="007C6A5F"/>
    <w:rsid w:val="007D076D"/>
    <w:rsid w:val="007D13BD"/>
    <w:rsid w:val="007D20DE"/>
    <w:rsid w:val="007D4355"/>
    <w:rsid w:val="007D7CB4"/>
    <w:rsid w:val="007E090A"/>
    <w:rsid w:val="007E5FE7"/>
    <w:rsid w:val="007F1B6F"/>
    <w:rsid w:val="007F2FB3"/>
    <w:rsid w:val="007F53D4"/>
    <w:rsid w:val="00801B1A"/>
    <w:rsid w:val="00802282"/>
    <w:rsid w:val="008025C7"/>
    <w:rsid w:val="00802E43"/>
    <w:rsid w:val="00803E23"/>
    <w:rsid w:val="008114F0"/>
    <w:rsid w:val="008121F1"/>
    <w:rsid w:val="00812986"/>
    <w:rsid w:val="008153AD"/>
    <w:rsid w:val="00815C7F"/>
    <w:rsid w:val="00816226"/>
    <w:rsid w:val="00817C05"/>
    <w:rsid w:val="00817C71"/>
    <w:rsid w:val="008224A9"/>
    <w:rsid w:val="0082307C"/>
    <w:rsid w:val="00830497"/>
    <w:rsid w:val="00830854"/>
    <w:rsid w:val="0083551C"/>
    <w:rsid w:val="008428E3"/>
    <w:rsid w:val="00844613"/>
    <w:rsid w:val="00845390"/>
    <w:rsid w:val="008500A5"/>
    <w:rsid w:val="00850A4B"/>
    <w:rsid w:val="00850A6C"/>
    <w:rsid w:val="00856105"/>
    <w:rsid w:val="008562CF"/>
    <w:rsid w:val="008579E0"/>
    <w:rsid w:val="00860E57"/>
    <w:rsid w:val="00861B51"/>
    <w:rsid w:val="00861FE4"/>
    <w:rsid w:val="00862D3C"/>
    <w:rsid w:val="00871784"/>
    <w:rsid w:val="00872E8D"/>
    <w:rsid w:val="00881770"/>
    <w:rsid w:val="00881DE6"/>
    <w:rsid w:val="00882663"/>
    <w:rsid w:val="00882DD5"/>
    <w:rsid w:val="008834A0"/>
    <w:rsid w:val="008867A4"/>
    <w:rsid w:val="0089307F"/>
    <w:rsid w:val="008931A6"/>
    <w:rsid w:val="00895BB8"/>
    <w:rsid w:val="008A21AF"/>
    <w:rsid w:val="008A39AB"/>
    <w:rsid w:val="008A6D2A"/>
    <w:rsid w:val="008A6E50"/>
    <w:rsid w:val="008A73BF"/>
    <w:rsid w:val="008B1EDF"/>
    <w:rsid w:val="008B4A37"/>
    <w:rsid w:val="008B7277"/>
    <w:rsid w:val="008C23CB"/>
    <w:rsid w:val="008C4ADA"/>
    <w:rsid w:val="008D52D1"/>
    <w:rsid w:val="008E1B96"/>
    <w:rsid w:val="008E38AB"/>
    <w:rsid w:val="008E7FDA"/>
    <w:rsid w:val="008F0B29"/>
    <w:rsid w:val="008F14EA"/>
    <w:rsid w:val="008F190B"/>
    <w:rsid w:val="008F2713"/>
    <w:rsid w:val="008F3F82"/>
    <w:rsid w:val="00900B61"/>
    <w:rsid w:val="009013A2"/>
    <w:rsid w:val="009069C2"/>
    <w:rsid w:val="00906BCD"/>
    <w:rsid w:val="00910209"/>
    <w:rsid w:val="00911717"/>
    <w:rsid w:val="00915476"/>
    <w:rsid w:val="009154DE"/>
    <w:rsid w:val="00921C24"/>
    <w:rsid w:val="009251F9"/>
    <w:rsid w:val="00925B88"/>
    <w:rsid w:val="009327AB"/>
    <w:rsid w:val="00932C5D"/>
    <w:rsid w:val="00933873"/>
    <w:rsid w:val="00934308"/>
    <w:rsid w:val="00940B73"/>
    <w:rsid w:val="00941721"/>
    <w:rsid w:val="00942D07"/>
    <w:rsid w:val="00956427"/>
    <w:rsid w:val="00956910"/>
    <w:rsid w:val="0095785B"/>
    <w:rsid w:val="00960252"/>
    <w:rsid w:val="009636AA"/>
    <w:rsid w:val="00965095"/>
    <w:rsid w:val="0096571B"/>
    <w:rsid w:val="00965968"/>
    <w:rsid w:val="00967954"/>
    <w:rsid w:val="009702DB"/>
    <w:rsid w:val="009708F2"/>
    <w:rsid w:val="00972217"/>
    <w:rsid w:val="00982236"/>
    <w:rsid w:val="009874D2"/>
    <w:rsid w:val="0099151B"/>
    <w:rsid w:val="00991962"/>
    <w:rsid w:val="00991970"/>
    <w:rsid w:val="00994F14"/>
    <w:rsid w:val="009A0A73"/>
    <w:rsid w:val="009A108B"/>
    <w:rsid w:val="009A17A3"/>
    <w:rsid w:val="009A7447"/>
    <w:rsid w:val="009B06DF"/>
    <w:rsid w:val="009B0F4C"/>
    <w:rsid w:val="009B1746"/>
    <w:rsid w:val="009B3BB9"/>
    <w:rsid w:val="009B7BC3"/>
    <w:rsid w:val="009C12CA"/>
    <w:rsid w:val="009C1BB5"/>
    <w:rsid w:val="009C2035"/>
    <w:rsid w:val="009C46AC"/>
    <w:rsid w:val="009C46CC"/>
    <w:rsid w:val="009C7627"/>
    <w:rsid w:val="009D252E"/>
    <w:rsid w:val="009D57A1"/>
    <w:rsid w:val="009E2558"/>
    <w:rsid w:val="009E563F"/>
    <w:rsid w:val="009F287C"/>
    <w:rsid w:val="009F68E6"/>
    <w:rsid w:val="009F7725"/>
    <w:rsid w:val="00A00BD6"/>
    <w:rsid w:val="00A00DB9"/>
    <w:rsid w:val="00A01F09"/>
    <w:rsid w:val="00A03263"/>
    <w:rsid w:val="00A059E0"/>
    <w:rsid w:val="00A10B82"/>
    <w:rsid w:val="00A10E48"/>
    <w:rsid w:val="00A20B5A"/>
    <w:rsid w:val="00A21DF4"/>
    <w:rsid w:val="00A231D7"/>
    <w:rsid w:val="00A25AF8"/>
    <w:rsid w:val="00A31215"/>
    <w:rsid w:val="00A368CD"/>
    <w:rsid w:val="00A36A3B"/>
    <w:rsid w:val="00A37323"/>
    <w:rsid w:val="00A37C4F"/>
    <w:rsid w:val="00A44BA4"/>
    <w:rsid w:val="00A453A5"/>
    <w:rsid w:val="00A453A8"/>
    <w:rsid w:val="00A45646"/>
    <w:rsid w:val="00A503DB"/>
    <w:rsid w:val="00A54B9B"/>
    <w:rsid w:val="00A574D8"/>
    <w:rsid w:val="00A57E43"/>
    <w:rsid w:val="00A601AA"/>
    <w:rsid w:val="00A64F6A"/>
    <w:rsid w:val="00A65204"/>
    <w:rsid w:val="00A6629F"/>
    <w:rsid w:val="00A66DFC"/>
    <w:rsid w:val="00A66FB5"/>
    <w:rsid w:val="00A7272F"/>
    <w:rsid w:val="00A73652"/>
    <w:rsid w:val="00A76150"/>
    <w:rsid w:val="00A762FE"/>
    <w:rsid w:val="00A82505"/>
    <w:rsid w:val="00A8353E"/>
    <w:rsid w:val="00A85300"/>
    <w:rsid w:val="00A90604"/>
    <w:rsid w:val="00A9347B"/>
    <w:rsid w:val="00A9664A"/>
    <w:rsid w:val="00AA1E8C"/>
    <w:rsid w:val="00AA2C2E"/>
    <w:rsid w:val="00AA3515"/>
    <w:rsid w:val="00AA4894"/>
    <w:rsid w:val="00AA73D8"/>
    <w:rsid w:val="00AB2F13"/>
    <w:rsid w:val="00AB77C7"/>
    <w:rsid w:val="00AB78C5"/>
    <w:rsid w:val="00AC0704"/>
    <w:rsid w:val="00AC2EBC"/>
    <w:rsid w:val="00AC3936"/>
    <w:rsid w:val="00AC604A"/>
    <w:rsid w:val="00AC61E8"/>
    <w:rsid w:val="00AD1547"/>
    <w:rsid w:val="00AD3401"/>
    <w:rsid w:val="00AD41D7"/>
    <w:rsid w:val="00AD6E23"/>
    <w:rsid w:val="00AD71AE"/>
    <w:rsid w:val="00AE0D29"/>
    <w:rsid w:val="00AE1392"/>
    <w:rsid w:val="00AE1870"/>
    <w:rsid w:val="00AE276F"/>
    <w:rsid w:val="00AE2DE6"/>
    <w:rsid w:val="00AE5522"/>
    <w:rsid w:val="00AE5F94"/>
    <w:rsid w:val="00AF0DD0"/>
    <w:rsid w:val="00AF3908"/>
    <w:rsid w:val="00AF7456"/>
    <w:rsid w:val="00AF7A5E"/>
    <w:rsid w:val="00B0279F"/>
    <w:rsid w:val="00B050E0"/>
    <w:rsid w:val="00B0732F"/>
    <w:rsid w:val="00B14A2B"/>
    <w:rsid w:val="00B14BF6"/>
    <w:rsid w:val="00B236A4"/>
    <w:rsid w:val="00B27175"/>
    <w:rsid w:val="00B279C5"/>
    <w:rsid w:val="00B27C8D"/>
    <w:rsid w:val="00B32EF0"/>
    <w:rsid w:val="00B3700F"/>
    <w:rsid w:val="00B422B8"/>
    <w:rsid w:val="00B45028"/>
    <w:rsid w:val="00B50DE2"/>
    <w:rsid w:val="00B51243"/>
    <w:rsid w:val="00B51B95"/>
    <w:rsid w:val="00B52C65"/>
    <w:rsid w:val="00B53FA4"/>
    <w:rsid w:val="00B56A90"/>
    <w:rsid w:val="00B57724"/>
    <w:rsid w:val="00B61DC5"/>
    <w:rsid w:val="00B61ED5"/>
    <w:rsid w:val="00B623C6"/>
    <w:rsid w:val="00B631E6"/>
    <w:rsid w:val="00B65554"/>
    <w:rsid w:val="00B70E60"/>
    <w:rsid w:val="00B7346B"/>
    <w:rsid w:val="00B73950"/>
    <w:rsid w:val="00B76743"/>
    <w:rsid w:val="00B80377"/>
    <w:rsid w:val="00B822CD"/>
    <w:rsid w:val="00B8236D"/>
    <w:rsid w:val="00B83066"/>
    <w:rsid w:val="00B8329F"/>
    <w:rsid w:val="00B848CD"/>
    <w:rsid w:val="00B84F74"/>
    <w:rsid w:val="00B9000C"/>
    <w:rsid w:val="00B900F1"/>
    <w:rsid w:val="00B903FE"/>
    <w:rsid w:val="00B97C38"/>
    <w:rsid w:val="00BA12D6"/>
    <w:rsid w:val="00BA5F38"/>
    <w:rsid w:val="00BC5A0C"/>
    <w:rsid w:val="00BD1234"/>
    <w:rsid w:val="00BD2706"/>
    <w:rsid w:val="00BD2C34"/>
    <w:rsid w:val="00BD2F6C"/>
    <w:rsid w:val="00BD3E34"/>
    <w:rsid w:val="00BD4291"/>
    <w:rsid w:val="00BD445D"/>
    <w:rsid w:val="00BD57D3"/>
    <w:rsid w:val="00BE20BE"/>
    <w:rsid w:val="00BE3BB3"/>
    <w:rsid w:val="00BE60D0"/>
    <w:rsid w:val="00BF2590"/>
    <w:rsid w:val="00BF2AC1"/>
    <w:rsid w:val="00BF41A8"/>
    <w:rsid w:val="00C021C0"/>
    <w:rsid w:val="00C02445"/>
    <w:rsid w:val="00C12FEE"/>
    <w:rsid w:val="00C155FA"/>
    <w:rsid w:val="00C20E70"/>
    <w:rsid w:val="00C2142C"/>
    <w:rsid w:val="00C2355F"/>
    <w:rsid w:val="00C25680"/>
    <w:rsid w:val="00C257B0"/>
    <w:rsid w:val="00C26B00"/>
    <w:rsid w:val="00C323AC"/>
    <w:rsid w:val="00C335EF"/>
    <w:rsid w:val="00C34A15"/>
    <w:rsid w:val="00C34ADF"/>
    <w:rsid w:val="00C40FC7"/>
    <w:rsid w:val="00C414EF"/>
    <w:rsid w:val="00C41AB3"/>
    <w:rsid w:val="00C46D5B"/>
    <w:rsid w:val="00C4740A"/>
    <w:rsid w:val="00C51380"/>
    <w:rsid w:val="00C51C6B"/>
    <w:rsid w:val="00C5331A"/>
    <w:rsid w:val="00C5443C"/>
    <w:rsid w:val="00C54491"/>
    <w:rsid w:val="00C55B73"/>
    <w:rsid w:val="00C56259"/>
    <w:rsid w:val="00C60A0D"/>
    <w:rsid w:val="00C62577"/>
    <w:rsid w:val="00C62ED2"/>
    <w:rsid w:val="00C6425F"/>
    <w:rsid w:val="00C6651C"/>
    <w:rsid w:val="00C722D0"/>
    <w:rsid w:val="00C72306"/>
    <w:rsid w:val="00C75394"/>
    <w:rsid w:val="00C83832"/>
    <w:rsid w:val="00C85CC6"/>
    <w:rsid w:val="00C906C1"/>
    <w:rsid w:val="00C90D25"/>
    <w:rsid w:val="00C94096"/>
    <w:rsid w:val="00C95113"/>
    <w:rsid w:val="00CA00EE"/>
    <w:rsid w:val="00CA0B90"/>
    <w:rsid w:val="00CA0E9E"/>
    <w:rsid w:val="00CA2080"/>
    <w:rsid w:val="00CA28B3"/>
    <w:rsid w:val="00CA375E"/>
    <w:rsid w:val="00CA6E00"/>
    <w:rsid w:val="00CB2322"/>
    <w:rsid w:val="00CB3CF6"/>
    <w:rsid w:val="00CB4261"/>
    <w:rsid w:val="00CB4FC1"/>
    <w:rsid w:val="00CB5ED9"/>
    <w:rsid w:val="00CC0069"/>
    <w:rsid w:val="00CC0574"/>
    <w:rsid w:val="00CD1814"/>
    <w:rsid w:val="00CD2273"/>
    <w:rsid w:val="00CD524E"/>
    <w:rsid w:val="00CD5792"/>
    <w:rsid w:val="00CE3B77"/>
    <w:rsid w:val="00CE51E2"/>
    <w:rsid w:val="00CE5F9B"/>
    <w:rsid w:val="00CE6710"/>
    <w:rsid w:val="00CF2760"/>
    <w:rsid w:val="00CF5697"/>
    <w:rsid w:val="00CF7A6A"/>
    <w:rsid w:val="00D0192B"/>
    <w:rsid w:val="00D03189"/>
    <w:rsid w:val="00D04C34"/>
    <w:rsid w:val="00D053F5"/>
    <w:rsid w:val="00D0542E"/>
    <w:rsid w:val="00D05998"/>
    <w:rsid w:val="00D059C6"/>
    <w:rsid w:val="00D14324"/>
    <w:rsid w:val="00D149E9"/>
    <w:rsid w:val="00D233F1"/>
    <w:rsid w:val="00D25711"/>
    <w:rsid w:val="00D2655B"/>
    <w:rsid w:val="00D31AC2"/>
    <w:rsid w:val="00D32DF7"/>
    <w:rsid w:val="00D35967"/>
    <w:rsid w:val="00D36648"/>
    <w:rsid w:val="00D43048"/>
    <w:rsid w:val="00D53F8D"/>
    <w:rsid w:val="00D579BE"/>
    <w:rsid w:val="00D6013D"/>
    <w:rsid w:val="00D670CB"/>
    <w:rsid w:val="00D73CA2"/>
    <w:rsid w:val="00D7559E"/>
    <w:rsid w:val="00D901F9"/>
    <w:rsid w:val="00D92A06"/>
    <w:rsid w:val="00DA1302"/>
    <w:rsid w:val="00DA451C"/>
    <w:rsid w:val="00DA7502"/>
    <w:rsid w:val="00DB1551"/>
    <w:rsid w:val="00DB36B6"/>
    <w:rsid w:val="00DB484B"/>
    <w:rsid w:val="00DD7EA1"/>
    <w:rsid w:val="00DE099A"/>
    <w:rsid w:val="00DF09BB"/>
    <w:rsid w:val="00DF0EC3"/>
    <w:rsid w:val="00DF2B19"/>
    <w:rsid w:val="00DF3B97"/>
    <w:rsid w:val="00DF46E2"/>
    <w:rsid w:val="00DF49CE"/>
    <w:rsid w:val="00DF6E29"/>
    <w:rsid w:val="00E00AB3"/>
    <w:rsid w:val="00E055E1"/>
    <w:rsid w:val="00E05C9E"/>
    <w:rsid w:val="00E07E16"/>
    <w:rsid w:val="00E13706"/>
    <w:rsid w:val="00E13A88"/>
    <w:rsid w:val="00E178AC"/>
    <w:rsid w:val="00E17F74"/>
    <w:rsid w:val="00E2012F"/>
    <w:rsid w:val="00E23EEC"/>
    <w:rsid w:val="00E24B2B"/>
    <w:rsid w:val="00E24C87"/>
    <w:rsid w:val="00E2619A"/>
    <w:rsid w:val="00E30A60"/>
    <w:rsid w:val="00E31509"/>
    <w:rsid w:val="00E326C2"/>
    <w:rsid w:val="00E34A7F"/>
    <w:rsid w:val="00E34C06"/>
    <w:rsid w:val="00E3594C"/>
    <w:rsid w:val="00E37DBE"/>
    <w:rsid w:val="00E37F1C"/>
    <w:rsid w:val="00E41F0C"/>
    <w:rsid w:val="00E45115"/>
    <w:rsid w:val="00E45504"/>
    <w:rsid w:val="00E47FAC"/>
    <w:rsid w:val="00E541DF"/>
    <w:rsid w:val="00E546F8"/>
    <w:rsid w:val="00E576E9"/>
    <w:rsid w:val="00E627D5"/>
    <w:rsid w:val="00E70121"/>
    <w:rsid w:val="00E70C5B"/>
    <w:rsid w:val="00E72C95"/>
    <w:rsid w:val="00E741B9"/>
    <w:rsid w:val="00E755BC"/>
    <w:rsid w:val="00E75905"/>
    <w:rsid w:val="00E82949"/>
    <w:rsid w:val="00E86D2A"/>
    <w:rsid w:val="00E9030D"/>
    <w:rsid w:val="00E90AC4"/>
    <w:rsid w:val="00E93210"/>
    <w:rsid w:val="00E94AB9"/>
    <w:rsid w:val="00E95C0F"/>
    <w:rsid w:val="00EA2CF3"/>
    <w:rsid w:val="00EA4B7B"/>
    <w:rsid w:val="00EA5096"/>
    <w:rsid w:val="00EA631B"/>
    <w:rsid w:val="00EA6F2E"/>
    <w:rsid w:val="00EB02BB"/>
    <w:rsid w:val="00EB3BD1"/>
    <w:rsid w:val="00EB7F03"/>
    <w:rsid w:val="00EC1E96"/>
    <w:rsid w:val="00EC2084"/>
    <w:rsid w:val="00EC31FC"/>
    <w:rsid w:val="00EC3446"/>
    <w:rsid w:val="00EC5152"/>
    <w:rsid w:val="00EC6ADE"/>
    <w:rsid w:val="00ED1426"/>
    <w:rsid w:val="00ED1DE6"/>
    <w:rsid w:val="00ED5355"/>
    <w:rsid w:val="00ED6C4C"/>
    <w:rsid w:val="00EE1FF2"/>
    <w:rsid w:val="00EF2590"/>
    <w:rsid w:val="00F013AE"/>
    <w:rsid w:val="00F02C91"/>
    <w:rsid w:val="00F04AD9"/>
    <w:rsid w:val="00F12634"/>
    <w:rsid w:val="00F12E42"/>
    <w:rsid w:val="00F233DF"/>
    <w:rsid w:val="00F23776"/>
    <w:rsid w:val="00F26447"/>
    <w:rsid w:val="00F26D13"/>
    <w:rsid w:val="00F32A82"/>
    <w:rsid w:val="00F33771"/>
    <w:rsid w:val="00F3673E"/>
    <w:rsid w:val="00F37BB8"/>
    <w:rsid w:val="00F42236"/>
    <w:rsid w:val="00F53E4C"/>
    <w:rsid w:val="00F55916"/>
    <w:rsid w:val="00F559B0"/>
    <w:rsid w:val="00F602A5"/>
    <w:rsid w:val="00F612A1"/>
    <w:rsid w:val="00F6247E"/>
    <w:rsid w:val="00F62CA4"/>
    <w:rsid w:val="00F652A3"/>
    <w:rsid w:val="00F66AE6"/>
    <w:rsid w:val="00F7697D"/>
    <w:rsid w:val="00F802FD"/>
    <w:rsid w:val="00F83F2C"/>
    <w:rsid w:val="00F84195"/>
    <w:rsid w:val="00F86973"/>
    <w:rsid w:val="00F87DA4"/>
    <w:rsid w:val="00F902B2"/>
    <w:rsid w:val="00F95662"/>
    <w:rsid w:val="00F956F5"/>
    <w:rsid w:val="00F95F79"/>
    <w:rsid w:val="00F9710E"/>
    <w:rsid w:val="00F97A93"/>
    <w:rsid w:val="00FA1F42"/>
    <w:rsid w:val="00FA230D"/>
    <w:rsid w:val="00FB0D9E"/>
    <w:rsid w:val="00FB2687"/>
    <w:rsid w:val="00FB6406"/>
    <w:rsid w:val="00FC3214"/>
    <w:rsid w:val="00FC4378"/>
    <w:rsid w:val="00FC6964"/>
    <w:rsid w:val="00FD0E2A"/>
    <w:rsid w:val="00FD1742"/>
    <w:rsid w:val="00FE0AAE"/>
    <w:rsid w:val="00FE370F"/>
    <w:rsid w:val="00FE5168"/>
    <w:rsid w:val="00FE5B25"/>
    <w:rsid w:val="00FF23C2"/>
    <w:rsid w:val="00F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114D"/>
  <w15:chartTrackingRefBased/>
  <w15:docId w15:val="{60D12FBB-B58B-FE4E-A73E-76FBE4F3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66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3669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336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2/ncp.10204" TargetMode="External"/><Relationship Id="rId18" Type="http://schemas.openxmlformats.org/officeDocument/2006/relationships/hyperlink" Target="https://doi.org/10.1038/ajg.2016.28" TargetMode="External"/><Relationship Id="rId26" Type="http://schemas.openxmlformats.org/officeDocument/2006/relationships/hyperlink" Target="https://dailymed.nlm.nih.gov/dailymed/drugInfo.cfm?setid=46e74ce4-cd7e-437f-bf54-ca9b98eb266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2/ncp.10204" TargetMode="External"/><Relationship Id="rId7" Type="http://schemas.openxmlformats.org/officeDocument/2006/relationships/hyperlink" Target="https://doi.org/10.1177/0148607117695251" TargetMode="External"/><Relationship Id="rId12" Type="http://schemas.openxmlformats.org/officeDocument/2006/relationships/hyperlink" Target="https://www.nejm.org/doi/full/10.1056/NEJMra2212159" TargetMode="External"/><Relationship Id="rId17" Type="http://schemas.openxmlformats.org/officeDocument/2006/relationships/hyperlink" Target="https://doi.org/10.1177/0148607117695251" TargetMode="External"/><Relationship Id="rId25" Type="http://schemas.openxmlformats.org/officeDocument/2006/relationships/hyperlink" Target="https://doi.org/10.1177/0148607117695251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038/ajg.2016.28" TargetMode="External"/><Relationship Id="rId20" Type="http://schemas.openxmlformats.org/officeDocument/2006/relationships/hyperlink" Target="https://pubmed.ncbi.nlm.nih.gov/36364743" TargetMode="External"/><Relationship Id="rId29" Type="http://schemas.openxmlformats.org/officeDocument/2006/relationships/hyperlink" Target="https://dailymed.nlm.nih.gov/dailymed/drugInfo.cfm?setid=5b426208-f090-4650-86c3-89040ba45c2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38/ajg.2016.28" TargetMode="External"/><Relationship Id="rId11" Type="http://schemas.openxmlformats.org/officeDocument/2006/relationships/hyperlink" Target="https://doi.org/10.1038/ajg.2016.28" TargetMode="External"/><Relationship Id="rId24" Type="http://schemas.openxmlformats.org/officeDocument/2006/relationships/hyperlink" Target="https://doi.org/10.1177/0148607117695251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doi.org/10.1177/0148607117695251" TargetMode="External"/><Relationship Id="rId15" Type="http://schemas.openxmlformats.org/officeDocument/2006/relationships/hyperlink" Target="https://www.nejm.org/doi/full/10.1056/NEJMra2212159" TargetMode="External"/><Relationship Id="rId23" Type="http://schemas.openxmlformats.org/officeDocument/2006/relationships/hyperlink" Target="https://dailymed.nlm.nih.gov/dailymed/drugInfo.cfm?setid=46e74ce4-cd7e-437f-bf54-ca9b98eb2663" TargetMode="External"/><Relationship Id="rId28" Type="http://schemas.openxmlformats.org/officeDocument/2006/relationships/hyperlink" Target="https://dailymed.nlm.nih.gov/dailymed/drugInfo.cfm?setid=46e74ce4-cd7e-437f-bf54-ca9b98eb2663" TargetMode="External"/><Relationship Id="rId10" Type="http://schemas.openxmlformats.org/officeDocument/2006/relationships/hyperlink" Target="https://pubmed.ncbi.nlm.nih.gov/36364743" TargetMode="External"/><Relationship Id="rId19" Type="http://schemas.openxmlformats.org/officeDocument/2006/relationships/hyperlink" Target="https://www.nejm.org/doi/full/10.1056/NEJMra2212159" TargetMode="External"/><Relationship Id="rId31" Type="http://schemas.openxmlformats.org/officeDocument/2006/relationships/hyperlink" Target="https://doi.org/10.1177/014860711769525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jm.org/doi/full/10.1056/NEJMra2212159" TargetMode="External"/><Relationship Id="rId14" Type="http://schemas.openxmlformats.org/officeDocument/2006/relationships/hyperlink" Target="https://doi.org/10.1177/0148607117695251" TargetMode="External"/><Relationship Id="rId22" Type="http://schemas.openxmlformats.org/officeDocument/2006/relationships/hyperlink" Target="https://dailymed.nlm.nih.gov/dailymed/drugInfo.cfm?setid=5b426208-f090-4650-86c3-89040ba45c2d" TargetMode="External"/><Relationship Id="rId27" Type="http://schemas.openxmlformats.org/officeDocument/2006/relationships/hyperlink" Target="https://doi.org/10.1177/0148607117695251" TargetMode="External"/><Relationship Id="rId30" Type="http://schemas.openxmlformats.org/officeDocument/2006/relationships/hyperlink" Target="https://dailymed.nlm.nih.gov/dailymed/drugInfo.cfm?setid=46e74ce4-cd7e-437f-bf54-ca9b98eb2663" TargetMode="External"/><Relationship Id="rId8" Type="http://schemas.openxmlformats.org/officeDocument/2006/relationships/hyperlink" Target="https://doi.org/10.1177/01486071176952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1113</Words>
  <Characters>6349</Characters>
  <Application>Microsoft Office Word</Application>
  <DocSecurity>0</DocSecurity>
  <Lines>52</Lines>
  <Paragraphs>14</Paragraphs>
  <ScaleCrop>false</ScaleCrop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Le, Jennifer</dc:creator>
  <cp:keywords/>
  <dc:description/>
  <cp:lastModifiedBy>Duong Ng</cp:lastModifiedBy>
  <cp:revision>2</cp:revision>
  <dcterms:created xsi:type="dcterms:W3CDTF">2025-10-21T14:51:00Z</dcterms:created>
  <dcterms:modified xsi:type="dcterms:W3CDTF">2025-11-10T07:15:00Z</dcterms:modified>
</cp:coreProperties>
</file>