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2"/>
          <w:szCs w:val="52"/>
        </w:rPr>
        <w:t xml:space="preserve">SEPLAT ENERGY PLC</w:t>
      </w:r>
    </w:p>
    <w:p>
      <w:pPr>
        <w:spacing w:before="0" w:after="200"/>
        <w:jc w:val="center"/>
      </w:pPr>
      <w:r>
        <w:rPr>
          <w:rFonts w:ascii="Arial" w:cs="Arial" w:eastAsia="Arial" w:hAnsi="Arial"/>
          <w:color w:val="2E75B6"/>
          <w:sz w:val="28"/>
          <w:szCs w:val="28"/>
        </w:rPr>
        <w:t xml:space="preserve">Information Security Division</w:t>
      </w:r>
    </w:p>
    <w:p>
      <w:pPr>
        <w:pBdr>
          <w:bottom w:val="single" w:color="2E75B6" w:sz="6" w:space="1"/>
        </w:pBdr>
        <w:spacing w:before="0" w:after="200"/>
      </w:pPr>
    </w:p>
    <w:p>
      <w:pPr>
        <w:spacing w:before="480" w:after="200"/>
        <w:jc w:val="center"/>
      </w:pPr>
      <w:r>
        <w:rPr>
          <w:rFonts w:ascii="Arial" w:cs="Arial" w:eastAsia="Arial" w:hAnsi="Arial"/>
          <w:b/>
          <w:bCs/>
          <w:color w:val="888888"/>
          <w:sz w:val="24"/>
          <w:szCs w:val="24"/>
        </w:rPr>
        <w:t xml:space="preserve">REPORT 1 OF 10</w:t>
      </w:r>
    </w:p>
    <w:p>
      <w:pPr>
        <w:spacing w:before="0" w:after="240"/>
        <w:jc w:val="center"/>
      </w:pPr>
      <w:r>
        <w:rPr>
          <w:rFonts w:ascii="Arial" w:cs="Arial" w:eastAsia="Arial" w:hAnsi="Arial"/>
          <w:b/>
          <w:bCs/>
          <w:color w:val="1F4E79"/>
          <w:sz w:val="36"/>
          <w:szCs w:val="36"/>
        </w:rPr>
        <w:t xml:space="preserve">PhishMe Security Analytics Pipeline</w:t>
      </w:r>
    </w:p>
    <w:p>
      <w:pPr>
        <w:spacing w:before="0" w:after="120"/>
        <w:jc w:val="center"/>
      </w:pPr>
      <w:r>
        <w:rPr>
          <w:rFonts w:ascii="Arial" w:cs="Arial" w:eastAsia="Arial" w:hAnsi="Arial"/>
          <w:b/>
          <w:bCs/>
          <w:color w:val="1F4E79"/>
          <w:sz w:val="44"/>
          <w:szCs w:val="44"/>
        </w:rPr>
        <w:t xml:space="preserve">Project Overview</w:t>
      </w:r>
    </w:p>
    <w:p>
      <w:pPr>
        <w:spacing w:before="0" w:after="480"/>
        <w:jc w:val="center"/>
      </w:pPr>
      <w:r>
        <w:rPr>
          <w:rFonts w:ascii="Arial" w:cs="Arial" w:eastAsia="Arial" w:hAnsi="Arial"/>
          <w:b/>
          <w:bCs/>
          <w:color w:val="2E75B6"/>
          <w:sz w:val="28"/>
          <w:szCs w:val="28"/>
        </w:rPr>
        <w:t xml:space="preserve">&amp; SCOPE</w:t>
      </w:r>
    </w:p>
    <w:p>
      <w:pPr>
        <w:spacing w:before="0" w:after="100"/>
        <w:jc w:val="center"/>
      </w:pPr>
      <w:r>
        <w:rPr>
          <w:rFonts w:ascii="Arial" w:cs="Arial" w:eastAsia="Arial" w:hAnsi="Arial"/>
          <w:color w:val="444444"/>
          <w:sz w:val="22"/>
          <w:szCs w:val="22"/>
        </w:rPr>
        <w:t xml:space="preserve">Prepared by: Data Engineering Team  |  March 2026</w:t>
      </w:r>
    </w:p>
    <w:p>
      <w:pPr>
        <w:spacing w:before="0" w:after="100"/>
        <w:jc w:val="center"/>
      </w:pPr>
      <w:r>
        <w:rPr>
          <w:rFonts w:ascii="Arial" w:cs="Arial" w:eastAsia="Arial" w:hAnsi="Arial"/>
          <w:b/>
          <w:bCs/>
          <w:color w:val="CC0000"/>
          <w:sz w:val="22"/>
          <w:szCs w:val="22"/>
        </w:rPr>
        <w:t xml:space="preserve">Classification: CONFIDENTIAL</w:t>
      </w:r>
    </w:p>
    <w:p>
      <w:r>
        <w:br w:type="page"/>
      </w:r>
    </w:p>
    <w:p>
      <w:pPr>
        <w:pStyle w:val="Heading1"/>
        <w:spacing w:before="360" w:after="160"/>
      </w:pPr>
      <w:r>
        <w:rPr>
          <w:rFonts w:ascii="Arial" w:cs="Arial" w:eastAsia="Arial" w:hAnsi="Arial"/>
          <w:b/>
          <w:bCs/>
          <w:color w:val="1F4E79"/>
          <w:sz w:val="30"/>
          <w:szCs w:val="30"/>
        </w:rPr>
        <w:t xml:space="preserve">1. Executive Summary</w:t>
      </w:r>
    </w:p>
    <w:p>
      <w:pPr>
        <w:pBdr>
          <w:bottom w:val="single" w:color="2E75B6" w:sz="6" w:space="1"/>
        </w:pBdr>
        <w:spacing w:before="0" w:after="200"/>
      </w:pPr>
    </w:p>
    <w:p>
      <w:pPr>
        <w:spacing w:before="80" w:after="100"/>
      </w:pPr>
      <w:r>
        <w:rPr>
          <w:rFonts w:ascii="Arial" w:cs="Arial" w:eastAsia="Arial" w:hAnsi="Arial"/>
          <w:sz w:val="22"/>
          <w:szCs w:val="22"/>
        </w:rPr>
        <w:t xml:space="preserve">Seplat Energy Plc has commissioned a full end-to-end data engineering pipeline to ingest, transform, store, and visualise phishing simulation data from the Cofense PhishMe platform (UK instance). This initiative directly supports the organisation's cyber security awareness programme by providing real-time, data-driven insights into employee phishing susceptibility, training effectiveness, and departmental risk posture.</w:t>
      </w:r>
    </w:p>
    <w:p>
      <w:pPr>
        <w:spacing w:before="80" w:after="100"/>
      </w:pPr>
      <w:r>
        <w:rPr>
          <w:rFonts w:ascii="Arial" w:cs="Arial" w:eastAsia="Arial" w:hAnsi="Arial"/>
          <w:sz w:val="22"/>
          <w:szCs w:val="22"/>
        </w:rPr>
        <w:t xml:space="preserve">The pipeline spans raw API extraction through to interactive Power BI dashboards, with all data persisted in Azure Data Lake Storage Gen2 and served via Azure Synapse Analytics. The project encompasses 8 active API endpoints, 10 gold-layer analytical tables, a full CDC staging layer, and a Power BI report suite with 50+ DAX measures across 6 dashboard pages.</w:t>
      </w:r>
    </w:p>
    <w:p>
      <w:pPr>
        <w:spacing w:before="0" w:after="160"/>
      </w:pPr>
    </w:p>
    <w:p>
      <w:pPr>
        <w:pStyle w:val="Heading1"/>
        <w:spacing w:before="360" w:after="160"/>
      </w:pPr>
      <w:r>
        <w:rPr>
          <w:rFonts w:ascii="Arial" w:cs="Arial" w:eastAsia="Arial" w:hAnsi="Arial"/>
          <w:b/>
          <w:bCs/>
          <w:color w:val="1F4E79"/>
          <w:sz w:val="30"/>
          <w:szCs w:val="30"/>
        </w:rPr>
        <w:t xml:space="preserve">2. Project Vitals</w:t>
      </w:r>
    </w:p>
    <w:p>
      <w:pPr>
        <w:pBdr>
          <w:bottom w:val="single" w:color="2E75B6" w:sz="6" w:space="1"/>
        </w:pBd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Project Name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Cofense PhishMe Security Analytics Pipeline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Client Organisation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Seplat Energy Plc</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Data Source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Cofense PhishMe API V2 (UK Instance)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API Base URL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https://login.phishme.co.uk/api/v2</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Authentication</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Token token="{API_KEY}" (header)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Azure Storage Account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seplatedwstorage</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Container</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seplat-security-phishme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Mount Point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/mnt/PhishMe</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Secret Scope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CorpAvailScope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Target Database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seplat_edw</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Target Schema</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phishme_security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Staging Schema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zzSTG_phishme_security</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Platform</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Azure Databricks + Azure Synapse Analytics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Visualisation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Microsoft Power BI (DirectQuery)</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Pipeline Schedule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Daily at 01:00 UTC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Report 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March 2026</w:t>
            </w:r>
          </w:p>
        </w:tc>
      </w:tr>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Overall Status</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Implementation Phase — Active</w:t>
            </w:r>
          </w:p>
        </w:tc>
      </w:tr>
    </w:tbl>
    <w:p>
      <w:pPr>
        <w:spacing w:before="0" w:after="160"/>
      </w:pPr>
    </w:p>
    <w:p>
      <w:pPr>
        <w:pStyle w:val="Heading1"/>
        <w:spacing w:before="360" w:after="160"/>
      </w:pPr>
      <w:r>
        <w:rPr>
          <w:rFonts w:ascii="Arial" w:cs="Arial" w:eastAsia="Arial" w:hAnsi="Arial"/>
          <w:b/>
          <w:bCs/>
          <w:color w:val="1F4E79"/>
          <w:sz w:val="30"/>
          <w:szCs w:val="30"/>
        </w:rPr>
        <w:t xml:space="preserve">3. Project Objectives</w:t>
      </w:r>
    </w:p>
    <w:p>
      <w:pPr>
        <w:pBdr>
          <w:bottom w:val="single" w:color="2E75B6" w:sz="6" w:space="1"/>
        </w:pBdr>
        <w:spacing w:before="0" w:after="200"/>
      </w:pPr>
    </w:p>
    <w:p>
      <w:pPr>
        <w:spacing w:before="80" w:after="100"/>
      </w:pPr>
      <w:r>
        <w:rPr>
          <w:rFonts w:ascii="Arial" w:cs="Arial" w:eastAsia="Arial" w:hAnsi="Arial"/>
          <w:sz w:val="22"/>
          <w:szCs w:val="22"/>
        </w:rPr>
        <w:t xml:space="preserve">The project was initiated with the following primary objectives:</w:t>
      </w:r>
    </w:p>
    <w:p>
      <w:pPr>
        <w:pStyle w:val="ListParagraph"/>
        <w:numPr>
          <w:ilvl w:val="0"/>
          <w:numId w:val="2"/>
        </w:numPr>
        <w:spacing w:before="60" w:after="60"/>
      </w:pPr>
      <w:r>
        <w:rPr>
          <w:rFonts w:ascii="Arial" w:cs="Arial" w:eastAsia="Arial" w:hAnsi="Arial"/>
          <w:sz w:val="22"/>
          <w:szCs w:val="22"/>
        </w:rPr>
        <w:t xml:space="preserve">Establish a reliable, automated daily pipeline to extract phishing simulation data from Cofense PhishMe API V2</w:t>
      </w:r>
    </w:p>
    <w:p>
      <w:pPr>
        <w:pStyle w:val="ListParagraph"/>
        <w:numPr>
          <w:ilvl w:val="0"/>
          <w:numId w:val="2"/>
        </w:numPr>
        <w:spacing w:before="60" w:after="60"/>
      </w:pPr>
      <w:r>
        <w:rPr>
          <w:rFonts w:ascii="Arial" w:cs="Arial" w:eastAsia="Arial" w:hAnsi="Arial"/>
          <w:sz w:val="22"/>
          <w:szCs w:val="22"/>
        </w:rPr>
        <w:t xml:space="preserve">Build a structured lakehouse architecture (Raw → Silver/Processed → Gold) in ADLS Gen2</w:t>
      </w:r>
    </w:p>
    <w:p>
      <w:pPr>
        <w:pStyle w:val="ListParagraph"/>
        <w:numPr>
          <w:ilvl w:val="0"/>
          <w:numId w:val="2"/>
        </w:numPr>
        <w:spacing w:before="60" w:after="60"/>
      </w:pPr>
      <w:r>
        <w:rPr>
          <w:rFonts w:ascii="Arial" w:cs="Arial" w:eastAsia="Arial" w:hAnsi="Arial"/>
          <w:sz w:val="22"/>
          <w:szCs w:val="22"/>
        </w:rPr>
        <w:t xml:space="preserve">Implement a star-schema analytical model in Azure Synapse Analytics for Power BI consumption</w:t>
      </w:r>
    </w:p>
    <w:p>
      <w:pPr>
        <w:pStyle w:val="ListParagraph"/>
        <w:numPr>
          <w:ilvl w:val="0"/>
          <w:numId w:val="2"/>
        </w:numPr>
        <w:spacing w:before="60" w:after="60"/>
      </w:pPr>
      <w:r>
        <w:rPr>
          <w:rFonts w:ascii="Arial" w:cs="Arial" w:eastAsia="Arial" w:hAnsi="Arial"/>
          <w:sz w:val="22"/>
          <w:szCs w:val="22"/>
        </w:rPr>
        <w:t xml:space="preserve">Create a full CDC staging layer to manage incremental loads and detect data changes efficiently</w:t>
      </w:r>
    </w:p>
    <w:p>
      <w:pPr>
        <w:pStyle w:val="ListParagraph"/>
        <w:numPr>
          <w:ilvl w:val="0"/>
          <w:numId w:val="2"/>
        </w:numPr>
        <w:spacing w:before="60" w:after="60"/>
      </w:pPr>
      <w:r>
        <w:rPr>
          <w:rFonts w:ascii="Arial" w:cs="Arial" w:eastAsia="Arial" w:hAnsi="Arial"/>
          <w:sz w:val="22"/>
          <w:szCs w:val="22"/>
        </w:rPr>
        <w:t xml:space="preserve">Deliver a multi-page Power BI dashboard enabling CISO, Security Analysts, and Department Heads to monitor security awareness metrics</w:t>
      </w:r>
    </w:p>
    <w:p>
      <w:pPr>
        <w:pStyle w:val="ListParagraph"/>
        <w:numPr>
          <w:ilvl w:val="0"/>
          <w:numId w:val="2"/>
        </w:numPr>
        <w:spacing w:before="60" w:after="60"/>
      </w:pPr>
      <w:r>
        <w:rPr>
          <w:rFonts w:ascii="Arial" w:cs="Arial" w:eastAsia="Arial" w:hAnsi="Arial"/>
          <w:sz w:val="22"/>
          <w:szCs w:val="22"/>
        </w:rPr>
        <w:t xml:space="preserve">Enforce data quality gates at every layer to prevent corrupt or incomplete data reaching the gold tier</w:t>
      </w:r>
    </w:p>
    <w:p>
      <w:pPr>
        <w:pStyle w:val="ListParagraph"/>
        <w:numPr>
          <w:ilvl w:val="0"/>
          <w:numId w:val="2"/>
        </w:numPr>
        <w:spacing w:before="60" w:after="60"/>
      </w:pPr>
      <w:r>
        <w:rPr>
          <w:rFonts w:ascii="Arial" w:cs="Arial" w:eastAsia="Arial" w:hAnsi="Arial"/>
          <w:sz w:val="22"/>
          <w:szCs w:val="22"/>
        </w:rPr>
        <w:t xml:space="preserve">Implement a watermark-based pipeline tracking system for auditability and reprocessing support</w:t>
      </w:r>
    </w:p>
    <w:p>
      <w:pPr>
        <w:spacing w:before="0" w:after="160"/>
      </w:pPr>
    </w:p>
    <w:p>
      <w:pPr>
        <w:pStyle w:val="Heading1"/>
        <w:spacing w:before="360" w:after="160"/>
      </w:pPr>
      <w:r>
        <w:rPr>
          <w:rFonts w:ascii="Arial" w:cs="Arial" w:eastAsia="Arial" w:hAnsi="Arial"/>
          <w:b/>
          <w:bCs/>
          <w:color w:val="1F4E79"/>
          <w:sz w:val="30"/>
          <w:szCs w:val="30"/>
        </w:rPr>
        <w:t xml:space="preserve">4. Scope Summary</w:t>
      </w:r>
    </w:p>
    <w:p>
      <w:pPr>
        <w:pBdr>
          <w:bottom w:val="single" w:color="2E75B6" w:sz="6" w:space="1"/>
        </w:pBd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00"/>
        <w:gridCol w:w="20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API Extraction Layer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8 active PhishMe endpoints, 202-pattern handling</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Complete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Raw Landing Layer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ADLS Gen2 partitioned by YYYY/MM/DD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Silver/Processed Layer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PySpark Delta transformations, 8 notebooks</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Complete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Gold Layer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10-table star schema in Delta format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Synapse Target Tables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10 production tables with CCI indexes</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Complete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Synapse Staging Tables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staging tables with CDC columns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CDC Stored Procedures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10 procs, DQ gates, watermark integration</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Complete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Watermark System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Pipeline audit table + get/set procs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Power BI Dashboard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6 pages, 50+ DAX measures, RLS roles</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Complete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Databricks Workflow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Daily orchestration JSON definition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 Deploy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/enrollments Endpoint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Blocked — requires Cofense account permission</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Pending Vendor</w:t>
            </w:r>
          </w:p>
        </w:tc>
      </w:tr>
    </w:tbl>
    <w:p>
      <w:pPr>
        <w:spacing w:before="0" w:after="160"/>
      </w:pPr>
    </w:p>
    <w:p>
      <w:pPr>
        <w:pStyle w:val="Heading1"/>
        <w:spacing w:before="360" w:after="160"/>
      </w:pPr>
      <w:r>
        <w:rPr>
          <w:rFonts w:ascii="Arial" w:cs="Arial" w:eastAsia="Arial" w:hAnsi="Arial"/>
          <w:b/>
          <w:bCs/>
          <w:color w:val="1F4E79"/>
          <w:sz w:val="30"/>
          <w:szCs w:val="30"/>
        </w:rPr>
        <w:t xml:space="preserve">5. Key Stakeholders</w:t>
      </w:r>
    </w:p>
    <w:p>
      <w:pPr>
        <w:pBdr>
          <w:bottom w:val="single" w:color="2E75B6" w:sz="6" w:space="1"/>
        </w:pBd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Power BI Access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CISO</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Executive oversight, security posture decisions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Full Dashboard (all pages)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Security Analyst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Daily monitoring, incident investigation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Dashboard (all pages)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Department Head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Own department risk monitoring</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RLS-Filtered (own dept only)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Engineering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Pipeline build and maintenance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Layers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IT / Cloud Ops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Azure infrastructure, gateway management</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Infrastructure Only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pPr>
    <w:r>
      <w:rPr>
        <w:rFonts w:ascii="Arial" w:cs="Arial" w:eastAsia="Arial" w:hAnsi="Arial"/>
        <w:color w:val="666666"/>
        <w:sz w:val="18"/>
        <w:szCs w:val="18"/>
      </w:rPr>
      <w:t xml:space="preserve">Report 1 of 10  |  Project Overview &amp; Scope</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pPr>
    <w:r>
      <w:rPr>
        <w:rFonts w:ascii="Arial" w:cs="Arial" w:eastAsia="Arial" w:hAnsi="Arial"/>
        <w:b/>
        <w:bCs/>
        <w:color w:val="1F4E79"/>
        <w:sz w:val="18"/>
        <w:szCs w:val="18"/>
      </w:rPr>
      <w:t xml:space="preserve">SEPLAT ENERGY  |  PhishMe Security Analytics Pipeline</w:t>
    </w:r>
    <w:r>
      <w:rPr>
        <w:rFonts w:ascii="Arial" w:cs="Arial" w:eastAsia="Arial" w:hAnsi="Arial"/>
        <w:b/>
        <w:bCs/>
        <w:color w:val="CC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2026-03-18T07:16:44.166Z</dcterms:created>
  <dcterms:modified xsi:type="dcterms:W3CDTF">2026-03-18T07:16:44.167Z</dcterms:modified>
</cp:coreProperties>
</file>

<file path=docProps/custom.xml><?xml version="1.0" encoding="utf-8"?>
<Properties xmlns="http://schemas.openxmlformats.org/officeDocument/2006/custom-properties" xmlns:vt="http://schemas.openxmlformats.org/officeDocument/2006/docPropsVTypes"/>
</file>