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F4E79"/>
          <w:sz w:val="52"/>
          <w:szCs w:val="52"/>
        </w:rPr>
        <w:t xml:space="preserve">SEPLAT ENERGY PLC</w:t>
      </w:r>
    </w:p>
    <w:p>
      <w:pPr>
        <w:spacing w:before="0" w:after="200"/>
        <w:jc w:val="center"/>
      </w:pPr>
      <w:r>
        <w:rPr>
          <w:rFonts w:ascii="Arial" w:cs="Arial" w:eastAsia="Arial" w:hAnsi="Arial"/>
          <w:color w:val="2E75B6"/>
          <w:sz w:val="28"/>
          <w:szCs w:val="28"/>
        </w:rPr>
        <w:t xml:space="preserve">Information Security Division</w:t>
      </w:r>
    </w:p>
    <w:p>
      <w:pPr>
        <w:pBdr>
          <w:bottom w:val="single" w:color="2E75B6" w:sz="6" w:space="1"/>
        </w:pBdr>
        <w:spacing w:before="0" w:after="200"/>
      </w:pPr>
    </w:p>
    <w:p>
      <w:pPr>
        <w:spacing w:before="480" w:after="200"/>
        <w:jc w:val="center"/>
      </w:pPr>
      <w:r>
        <w:rPr>
          <w:rFonts w:ascii="Arial" w:cs="Arial" w:eastAsia="Arial" w:hAnsi="Arial"/>
          <w:b/>
          <w:bCs/>
          <w:color w:val="888888"/>
          <w:sz w:val="24"/>
          <w:szCs w:val="24"/>
        </w:rPr>
        <w:t xml:space="preserve">REPORT 4 OF 10</w:t>
      </w:r>
    </w:p>
    <w:p>
      <w:pPr>
        <w:spacing w:before="0" w:after="240"/>
        <w:jc w:val="center"/>
      </w:pPr>
      <w:r>
        <w:rPr>
          <w:rFonts w:ascii="Arial" w:cs="Arial" w:eastAsia="Arial" w:hAnsi="Arial"/>
          <w:b/>
          <w:bCs/>
          <w:color w:val="1F4E79"/>
          <w:sz w:val="36"/>
          <w:szCs w:val="36"/>
        </w:rPr>
        <w:t xml:space="preserve">PhishMe Security Analytics Pipeline</w:t>
      </w:r>
    </w:p>
    <w:p>
      <w:pPr>
        <w:spacing w:before="0" w:after="120"/>
        <w:jc w:val="center"/>
      </w:pPr>
      <w:r>
        <w:rPr>
          <w:rFonts w:ascii="Arial" w:cs="Arial" w:eastAsia="Arial" w:hAnsi="Arial"/>
          <w:b/>
          <w:bCs/>
          <w:color w:val="1F4E79"/>
          <w:sz w:val="44"/>
          <w:szCs w:val="44"/>
        </w:rPr>
        <w:t xml:space="preserve">Silver Layer</w:t>
      </w:r>
    </w:p>
    <w:p>
      <w:pPr>
        <w:spacing w:before="0" w:after="480"/>
        <w:jc w:val="center"/>
      </w:pPr>
      <w:r>
        <w:rPr>
          <w:rFonts w:ascii="Arial" w:cs="Arial" w:eastAsia="Arial" w:hAnsi="Arial"/>
          <w:b/>
          <w:bCs/>
          <w:color w:val="2E75B6"/>
          <w:sz w:val="28"/>
          <w:szCs w:val="28"/>
        </w:rPr>
        <w:t xml:space="preserve">PYSPARK TRANSFORMATION DESIGN</w:t>
      </w:r>
    </w:p>
    <w:p>
      <w:pPr>
        <w:spacing w:before="0" w:after="100"/>
        <w:jc w:val="center"/>
      </w:pPr>
      <w:r>
        <w:rPr>
          <w:rFonts w:ascii="Arial" w:cs="Arial" w:eastAsia="Arial" w:hAnsi="Arial"/>
          <w:color w:val="444444"/>
          <w:sz w:val="22"/>
          <w:szCs w:val="22"/>
        </w:rPr>
        <w:t xml:space="preserve">Prepared by: Data Engineering Team  |  March 2026</w:t>
      </w:r>
    </w:p>
    <w:p>
      <w:pPr>
        <w:spacing w:before="0" w:after="100"/>
        <w:jc w:val="center"/>
      </w:pPr>
      <w:r>
        <w:rPr>
          <w:rFonts w:ascii="Arial" w:cs="Arial" w:eastAsia="Arial" w:hAnsi="Arial"/>
          <w:b/>
          <w:bCs/>
          <w:color w:val="CC0000"/>
          <w:sz w:val="22"/>
          <w:szCs w:val="22"/>
        </w:rPr>
        <w:t xml:space="preserve">Classification: CONFIDENTIAL</w:t>
      </w:r>
    </w:p>
    <w:p>
      <w:r>
        <w:br w:type="page"/>
      </w:r>
    </w:p>
    <w:p>
      <w:pPr>
        <w:pStyle w:val="Heading1"/>
        <w:spacing w:before="360" w:after="160"/>
      </w:pPr>
      <w:r>
        <w:rPr>
          <w:rFonts w:ascii="Arial" w:cs="Arial" w:eastAsia="Arial" w:hAnsi="Arial"/>
          <w:b/>
          <w:bCs/>
          <w:color w:val="1F4E79"/>
          <w:sz w:val="30"/>
          <w:szCs w:val="30"/>
        </w:rPr>
        <w:t xml:space="preserve">1. Overview</w:t>
      </w:r>
    </w:p>
    <w:p>
      <w:pPr>
        <w:pBdr>
          <w:bottom w:val="single" w:color="2E75B6" w:sz="6" w:space="1"/>
        </w:pBdr>
        <w:spacing w:before="0" w:after="200"/>
      </w:pPr>
    </w:p>
    <w:p>
      <w:pPr>
        <w:spacing w:before="80" w:after="100"/>
      </w:pPr>
      <w:r>
        <w:rPr>
          <w:rFonts w:ascii="Arial" w:cs="Arial" w:eastAsia="Arial" w:hAnsi="Arial"/>
          <w:sz w:val="22"/>
          <w:szCs w:val="22"/>
        </w:rPr>
        <w:t xml:space="preserve">The silver layer consists of 7 PySpark Databricks notebooks, one per data source endpoint. Each notebook reads from the raw landing zone, applies data type casting, boolean normalisation, derived column logic, and deduplication, then writes to Delta format partitioned by ingested_date. All notebooks share a common configuration pattern for path resolution and date partitioning.</w:t>
      </w:r>
    </w:p>
    <w:p>
      <w:pPr>
        <w:spacing w:before="0" w:after="160"/>
      </w:pPr>
    </w:p>
    <w:p>
      <w:pPr>
        <w:pStyle w:val="Heading1"/>
        <w:spacing w:before="360" w:after="160"/>
      </w:pPr>
      <w:r>
        <w:rPr>
          <w:rFonts w:ascii="Arial" w:cs="Arial" w:eastAsia="Arial" w:hAnsi="Arial"/>
          <w:b/>
          <w:bCs/>
          <w:color w:val="1F4E79"/>
          <w:sz w:val="30"/>
          <w:szCs w:val="30"/>
        </w:rPr>
        <w:t xml:space="preserve">2. Common Configuration Pattern</w:t>
      </w:r>
    </w:p>
    <w:p>
      <w:pPr>
        <w:pBdr>
          <w:bottom w:val="single" w:color="2E75B6" w:sz="6" w:space="1"/>
        </w:pBdr>
        <w:spacing w:before="0" w:after="200"/>
      </w:pPr>
    </w:p>
    <w:p>
      <w:pPr>
        <w:spacing w:before="80" w:after="100"/>
      </w:pPr>
      <w:r>
        <w:rPr>
          <w:rFonts w:ascii="Arial" w:cs="Arial" w:eastAsia="Arial" w:hAnsi="Arial"/>
          <w:sz w:val="22"/>
          <w:szCs w:val="22"/>
        </w:rPr>
        <w:t xml:space="preserve">All silver notebooks follow this standard configuration block:</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Variable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Value</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RAW_BASE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/mnt/PhishMe/raw</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Root path for raw landing zone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PROCESSED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/mnt/PhishMe/processed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Root path for silver output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RUN_DATE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datetime.now() or parameter</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Controls which partition to read/write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DATE_PATH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RUN_DATE.strftime('%Y/%m/%d')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Partition folder path</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TODAY</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RUN_DATE.strftime('%Y-%m-%d')</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Date string for ingested_date column</w:t>
            </w:r>
          </w:p>
        </w:tc>
      </w:tr>
    </w:tbl>
    <w:p>
      <w:pPr>
        <w:spacing w:before="0" w:after="160"/>
      </w:pPr>
    </w:p>
    <w:p>
      <w:pPr>
        <w:pStyle w:val="Heading1"/>
        <w:spacing w:before="360" w:after="160"/>
      </w:pPr>
      <w:r>
        <w:rPr>
          <w:rFonts w:ascii="Arial" w:cs="Arial" w:eastAsia="Arial" w:hAnsi="Arial"/>
          <w:b/>
          <w:bCs/>
          <w:color w:val="1F4E79"/>
          <w:sz w:val="30"/>
          <w:szCs w:val="30"/>
        </w:rPr>
        <w:t xml:space="preserve">3. Notebook Specifications</w:t>
      </w:r>
    </w:p>
    <w:p>
      <w:pPr>
        <w:pBdr>
          <w:bottom w:val="single" w:color="2E75B6" w:sz="6" w:space="1"/>
        </w:pBdr>
        <w:spacing w:before="0" w:after="200"/>
      </w:pPr>
    </w:p>
    <w:p>
      <w:pPr>
        <w:pStyle w:val="Heading2"/>
        <w:spacing w:before="240" w:after="120"/>
      </w:pPr>
      <w:r>
        <w:rPr>
          <w:rFonts w:ascii="Arial" w:cs="Arial" w:eastAsia="Arial" w:hAnsi="Arial"/>
          <w:b/>
          <w:bCs/>
          <w:color w:val="2E75B6"/>
          <w:sz w:val="24"/>
          <w:szCs w:val="24"/>
        </w:rPr>
        <w:t xml:space="preserve">3.1 users Notebook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Source Path</w:t>
            </w:r>
          </w:p>
        </w:tc>
        <w:tc>
          <w:tcPr>
            <w:tcW w:type="dxa" w:w="5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1"/>
                <w:szCs w:val="21"/>
              </w:rPr>
              <w:t xml:space="preserve">raw/users/YYYY/MM/DD/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1"/>
                <w:szCs w:val="21"/>
              </w:rPr>
              <w:t xml:space="preserve">Output Path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processed/users</w:t>
            </w:r>
          </w:p>
        </w:tc>
      </w:tr>
      <w:tr>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Output Format</w:t>
            </w:r>
          </w:p>
        </w:tc>
        <w:tc>
          <w:tcPr>
            <w:tcW w:type="dxa" w:w="5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1"/>
                <w:szCs w:val="21"/>
              </w:rPr>
              <w:t xml:space="preserve">Delta, partitionBy ingested_date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1"/>
                <w:szCs w:val="21"/>
              </w:rPr>
              <w:t xml:space="preserve">Key Columns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email (PK), is_active, roles, ingested_at</w:t>
            </w:r>
          </w:p>
        </w:tc>
      </w:tr>
      <w:tr>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Transformations</w:t>
            </w:r>
          </w:p>
        </w:tc>
        <w:tc>
          <w:tcPr>
            <w:tcW w:type="dxa" w:w="5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1"/>
                <w:szCs w:val="21"/>
              </w:rPr>
              <w:t xml:space="preserve">Column rename, boolean string-to-bool cast, ingested_at timestamp</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1"/>
                <w:szCs w:val="21"/>
              </w:rPr>
              <w:t xml:space="preserve">Deduplication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dropDuplicates(['email']) — keep latest</w:t>
            </w:r>
          </w:p>
        </w:tc>
      </w:tr>
    </w:tbl>
    <w:p>
      <w:pPr>
        <w:spacing w:before="0" w:after="80"/>
      </w:pPr>
    </w:p>
    <w:p>
      <w:pPr>
        <w:pStyle w:val="Heading2"/>
        <w:spacing w:before="240" w:after="120"/>
      </w:pPr>
      <w:r>
        <w:rPr>
          <w:rFonts w:ascii="Arial" w:cs="Arial" w:eastAsia="Arial" w:hAnsi="Arial"/>
          <w:b/>
          <w:bCs/>
          <w:color w:val="2E75B6"/>
          <w:sz w:val="24"/>
          <w:szCs w:val="24"/>
        </w:rPr>
        <w:t xml:space="preserve">3.2 scenarios Notebook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Source Path</w:t>
            </w:r>
          </w:p>
        </w:tc>
        <w:tc>
          <w:tcPr>
            <w:tcW w:type="dxa" w:w="5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1"/>
                <w:szCs w:val="21"/>
              </w:rPr>
              <w:t xml:space="preserve">raw/scenarios/YYYY/MM/DD/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1"/>
                <w:szCs w:val="21"/>
              </w:rPr>
              <w:t xml:space="preserve">Output Path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processed/scenarios</w:t>
            </w:r>
          </w:p>
        </w:tc>
      </w:tr>
      <w:tr>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Output Format</w:t>
            </w:r>
          </w:p>
        </w:tc>
        <w:tc>
          <w:tcPr>
            <w:tcW w:type="dxa" w:w="5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1"/>
                <w:szCs w:val="21"/>
              </w:rPr>
              <w:t xml:space="preserve">Delta, partitionBy ingested_date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1"/>
                <w:szCs w:val="21"/>
              </w:rPr>
              <w:t xml:space="preserve">Key Columns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scenario_id (PK), starts_at, ends_at, status</w:t>
            </w:r>
          </w:p>
        </w:tc>
      </w:tr>
      <w:tr>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Transformations</w:t>
            </w:r>
          </w:p>
        </w:tc>
        <w:tc>
          <w:tcPr>
            <w:tcW w:type="dxa" w:w="5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1"/>
                <w:szCs w:val="21"/>
              </w:rPr>
              <w:t xml:space="preserve">JSON flatten, timestamp cast, rate calculations (click_rate_pct, report_rate_pct, open_rate_pct)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1"/>
                <w:szCs w:val="21"/>
              </w:rPr>
              <w:t xml:space="preserve">Derived Fields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is_active (status == 'active'), duration_days</w:t>
            </w:r>
          </w:p>
        </w:tc>
      </w:tr>
    </w:tbl>
    <w:p>
      <w:pPr>
        <w:spacing w:before="0" w:after="80"/>
      </w:pPr>
    </w:p>
    <w:p>
      <w:pPr>
        <w:pStyle w:val="Heading2"/>
        <w:spacing w:before="240" w:after="120"/>
      </w:pPr>
      <w:r>
        <w:rPr>
          <w:rFonts w:ascii="Arial" w:cs="Arial" w:eastAsia="Arial" w:hAnsi="Arial"/>
          <w:b/>
          <w:bCs/>
          <w:color w:val="2E75B6"/>
          <w:sz w:val="24"/>
          <w:szCs w:val="24"/>
        </w:rPr>
        <w:t xml:space="preserve">3.3 scenario_full_csv Notebook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Source Path</w:t>
            </w:r>
          </w:p>
        </w:tc>
        <w:tc>
          <w:tcPr>
            <w:tcW w:type="dxa" w:w="5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1"/>
                <w:szCs w:val="21"/>
              </w:rPr>
              <w:t xml:space="preserve">raw/scenario_full_csv/*/YYYY/MM/DD/ (wildcard)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1"/>
                <w:szCs w:val="21"/>
              </w:rPr>
              <w:t xml:space="preserve">Output Path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processed/scenario_full_csv</w:t>
            </w:r>
          </w:p>
        </w:tc>
      </w:tr>
      <w:tr>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Output Format</w:t>
            </w:r>
          </w:p>
        </w:tc>
        <w:tc>
          <w:tcPr>
            <w:tcW w:type="dxa" w:w="5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1"/>
                <w:szCs w:val="21"/>
              </w:rPr>
              <w:t xml:space="preserve">Delta, partitionBy ingested_date + scenario_id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1"/>
                <w:szCs w:val="21"/>
              </w:rPr>
              <w:t xml:space="preserve">Column Count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57 columns</w:t>
            </w:r>
          </w:p>
        </w:tc>
      </w:tr>
      <w:tr>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Timestamp Format</w:t>
            </w:r>
          </w:p>
        </w:tc>
        <w:tc>
          <w:tcPr>
            <w:tcW w:type="dxa" w:w="5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1"/>
                <w:szCs w:val="21"/>
              </w:rPr>
              <w:t xml:space="preserve">M/d/yyyy HH:mm:ss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1"/>
                <w:szCs w:val="21"/>
              </w:rPr>
              <w:t xml:space="preserve">Boolean Pattern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Yes/No string fields cast to boolean</w:t>
            </w:r>
          </w:p>
        </w:tc>
      </w:tr>
      <w:tr>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Key Columns</w:t>
            </w:r>
          </w:p>
        </w:tc>
        <w:tc>
          <w:tcPr>
            <w:tcW w:type="dxa" w:w="5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1"/>
                <w:szCs w:val="21"/>
              </w:rPr>
              <w:t xml:space="preserve">email + scenario_id (composite PK)</w:t>
            </w:r>
          </w:p>
        </w:tc>
      </w:tr>
    </w:tbl>
    <w:p>
      <w:pPr>
        <w:spacing w:before="0" w:after="80"/>
      </w:pPr>
    </w:p>
    <w:p>
      <w:pPr>
        <w:pStyle w:val="Heading2"/>
        <w:spacing w:before="240" w:after="120"/>
      </w:pPr>
      <w:r>
        <w:rPr>
          <w:rFonts w:ascii="Arial" w:cs="Arial" w:eastAsia="Arial" w:hAnsi="Arial"/>
          <w:b/>
          <w:bCs/>
          <w:color w:val="2E75B6"/>
          <w:sz w:val="24"/>
          <w:szCs w:val="24"/>
        </w:rPr>
        <w:t xml:space="preserve">3.4 scenario_activity_timeline Notebook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Source Path</w:t>
            </w:r>
          </w:p>
        </w:tc>
        <w:tc>
          <w:tcPr>
            <w:tcW w:type="dxa" w:w="5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1"/>
                <w:szCs w:val="21"/>
              </w:rPr>
              <w:t xml:space="preserve">raw/scenario_activity_timeline/*/YYYY/MM/DD/ (wildcard)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1"/>
                <w:szCs w:val="21"/>
              </w:rPr>
              <w:t xml:space="preserve">Output Path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processed/scenario_activity_timeline</w:t>
            </w:r>
          </w:p>
        </w:tc>
      </w:tr>
      <w:tr>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Output Format</w:t>
            </w:r>
          </w:p>
        </w:tc>
        <w:tc>
          <w:tcPr>
            <w:tcW w:type="dxa" w:w="5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1"/>
                <w:szCs w:val="21"/>
              </w:rPr>
              <w:t xml:space="preserve">Delta, partitionBy ingested_date + scenario_id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1"/>
                <w:szCs w:val="21"/>
              </w:rPr>
              <w:t xml:space="preserve">Special Handling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4 comment header lines — option('comment', '#')</w:t>
            </w:r>
          </w:p>
        </w:tc>
      </w:tr>
      <w:tr>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Boolean Pattern</w:t>
            </w:r>
          </w:p>
        </w:tc>
        <w:tc>
          <w:tcPr>
            <w:tcW w:type="dxa" w:w="5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1"/>
                <w:szCs w:val="21"/>
              </w:rPr>
              <w:t xml:space="preserve">0/1 integer fields cast to boolean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1"/>
                <w:szCs w:val="21"/>
              </w:rPr>
              <w:t xml:space="preserve">Derived Fields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action_category (Click/Report/Education/Other), is_suspicious</w:t>
            </w:r>
          </w:p>
        </w:tc>
      </w:tr>
    </w:tbl>
    <w:p>
      <w:pPr>
        <w:spacing w:before="0" w:after="80"/>
      </w:pPr>
    </w:p>
    <w:p>
      <w:pPr>
        <w:pStyle w:val="Heading2"/>
        <w:spacing w:before="240" w:after="120"/>
      </w:pPr>
      <w:r>
        <w:rPr>
          <w:rFonts w:ascii="Arial" w:cs="Arial" w:eastAsia="Arial" w:hAnsi="Arial"/>
          <w:b/>
          <w:bCs/>
          <w:color w:val="2E75B6"/>
          <w:sz w:val="24"/>
          <w:szCs w:val="24"/>
        </w:rPr>
        <w:t xml:space="preserve">3.5 engagement_scores Notebook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Source Path</w:t>
            </w:r>
          </w:p>
        </w:tc>
        <w:tc>
          <w:tcPr>
            <w:tcW w:type="dxa" w:w="5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1"/>
                <w:szCs w:val="21"/>
              </w:rPr>
              <w:t xml:space="preserve">raw/engagement_scores/YYYY/MM/DD/*.json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1"/>
                <w:szCs w:val="21"/>
              </w:rPr>
              <w:t xml:space="preserve">Output Path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processed/engagement_scores</w:t>
            </w:r>
          </w:p>
        </w:tc>
      </w:tr>
      <w:tr>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Format Rationale</w:t>
            </w:r>
          </w:p>
        </w:tc>
        <w:tc>
          <w:tcPr>
            <w:tcW w:type="dxa" w:w="5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1"/>
                <w:szCs w:val="21"/>
              </w:rPr>
              <w:t xml:space="preserve">JSON used (not CSV) — retains recipient_id field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1"/>
                <w:szCs w:val="21"/>
              </w:rPr>
              <w:t xml:space="preserve">Derived Fields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risk_band (Critical/High/Medium/Low), proficiency_band</w:t>
            </w:r>
          </w:p>
        </w:tc>
      </w:tr>
      <w:tr>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Deduplication</w:t>
            </w:r>
          </w:p>
        </w:tc>
        <w:tc>
          <w:tcPr>
            <w:tcW w:type="dxa" w:w="5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1"/>
                <w:szCs w:val="21"/>
              </w:rPr>
              <w:t xml:space="preserve">dropDuplicates(['recipient_id'])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1"/>
                <w:szCs w:val="21"/>
              </w:rPr>
              <w:t xml:space="preserve">Output Columns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6 source + 2 derived = 8 total</w:t>
            </w:r>
          </w:p>
        </w:tc>
      </w:tr>
    </w:tbl>
    <w:p>
      <w:pPr>
        <w:spacing w:before="0" w:after="80"/>
      </w:pPr>
    </w:p>
    <w:p>
      <w:pPr>
        <w:pStyle w:val="Heading2"/>
        <w:spacing w:before="240" w:after="120"/>
      </w:pPr>
      <w:r>
        <w:rPr>
          <w:rFonts w:ascii="Arial" w:cs="Arial" w:eastAsia="Arial" w:hAnsi="Arial"/>
          <w:b/>
          <w:bCs/>
          <w:color w:val="2E75B6"/>
          <w:sz w:val="24"/>
          <w:szCs w:val="24"/>
        </w:rPr>
        <w:t xml:space="preserve">3.6 repeat_clickers Notebook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Source Path</w:t>
            </w:r>
          </w:p>
        </w:tc>
        <w:tc>
          <w:tcPr>
            <w:tcW w:type="dxa" w:w="5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1"/>
                <w:szCs w:val="21"/>
              </w:rPr>
              <w:t xml:space="preserve">raw/repeat_clickers/YYYY/MM/DD/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1"/>
                <w:szCs w:val="21"/>
              </w:rPr>
              <w:t xml:space="preserve">Output Path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processed/repeat_clickers</w:t>
            </w:r>
          </w:p>
        </w:tc>
      </w:tr>
      <w:tr>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Column Count</w:t>
            </w:r>
          </w:p>
        </w:tc>
        <w:tc>
          <w:tcPr>
            <w:tcW w:type="dxa" w:w="5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1"/>
                <w:szCs w:val="21"/>
              </w:rPr>
              <w:t xml:space="preserve">60 columns covering DE/CO/ATT metric sets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1"/>
                <w:szCs w:val="21"/>
              </w:rPr>
              <w:t xml:space="preserve">Special Handling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Legend header lines — option('comment', '"')</w:t>
            </w:r>
          </w:p>
        </w:tc>
      </w:tr>
      <w:tr>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Derived Fields</w:t>
            </w:r>
          </w:p>
        </w:tc>
        <w:tc>
          <w:tcPr>
            <w:tcW w:type="dxa" w:w="5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1"/>
                <w:szCs w:val="21"/>
              </w:rPr>
              <w:t xml:space="preserve">is_repeat_clicker flag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1"/>
                <w:szCs w:val="21"/>
              </w:rPr>
              <w:t xml:space="preserve">Deduplication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dropDuplicates(['email'])</w:t>
            </w:r>
          </w:p>
        </w:tc>
      </w:tr>
    </w:tbl>
    <w:p>
      <w:pPr>
        <w:spacing w:before="0" w:after="80"/>
      </w:pPr>
    </w:p>
    <w:p>
      <w:pPr>
        <w:pStyle w:val="Heading2"/>
        <w:spacing w:before="240" w:after="120"/>
      </w:pPr>
      <w:r>
        <w:rPr>
          <w:rFonts w:ascii="Arial" w:cs="Arial" w:eastAsia="Arial" w:hAnsi="Arial"/>
          <w:b/>
          <w:bCs/>
          <w:color w:val="2E75B6"/>
          <w:sz w:val="24"/>
          <w:szCs w:val="24"/>
        </w:rPr>
        <w:t xml:space="preserve">3.7 activity_logs Notebook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Source Path</w:t>
            </w:r>
          </w:p>
        </w:tc>
        <w:tc>
          <w:tcPr>
            <w:tcW w:type="dxa" w:w="5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1"/>
                <w:szCs w:val="21"/>
              </w:rPr>
              <w:t xml:space="preserve">raw/activity_logs/YYYY/MM/DD/*.json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1"/>
                <w:szCs w:val="21"/>
              </w:rPr>
              <w:t xml:space="preserve">Output Path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processed/activity_logs</w:t>
            </w:r>
          </w:p>
        </w:tc>
      </w:tr>
      <w:tr>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Format Rationale</w:t>
            </w:r>
          </w:p>
        </w:tc>
        <w:tc>
          <w:tcPr>
            <w:tcW w:type="dxa" w:w="5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1"/>
                <w:szCs w:val="21"/>
              </w:rPr>
              <w:t xml:space="preserve">JSON used (not CSV) for richer structure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1"/>
                <w:szCs w:val="21"/>
              </w:rPr>
              <w:t xml:space="preserve">Key Columns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user, activity_name, event_timestamp (composite PK)</w:t>
            </w:r>
          </w:p>
        </w:tc>
      </w:tr>
      <w:tr>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Derived Fields</w:t>
            </w:r>
          </w:p>
        </w:tc>
        <w:tc>
          <w:tcPr>
            <w:tcW w:type="dxa" w:w="5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1"/>
                <w:szCs w:val="21"/>
              </w:rPr>
              <w:t xml:space="preserve">action_type (Admin/Config/User/Other), event_date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1"/>
                <w:szCs w:val="21"/>
              </w:rPr>
              <w:t xml:space="preserve">Append Mode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No deduplication — audit logs are immutable</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tabs>
        <w:tab w:val="right" w:pos="9360"/>
      </w:tabs>
    </w:pPr>
    <w:r>
      <w:rPr>
        <w:rFonts w:ascii="Arial" w:cs="Arial" w:eastAsia="Arial" w:hAnsi="Arial"/>
        <w:color w:val="666666"/>
        <w:sz w:val="18"/>
        <w:szCs w:val="18"/>
      </w:rPr>
      <w:t xml:space="preserve">Report 4 of 10  |  Silver Layer — PySpark Transformation Design</w:t>
    </w:r>
    <w:r>
      <w:rPr>
        <w:rFonts w:ascii="Arial" w:cs="Arial" w:eastAsia="Arial" w:hAnsi="Arial"/>
        <w:color w:val="666666"/>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tabs>
        <w:tab w:val="right" w:pos="9360"/>
      </w:tabs>
    </w:pPr>
    <w:r>
      <w:rPr>
        <w:rFonts w:ascii="Arial" w:cs="Arial" w:eastAsia="Arial" w:hAnsi="Arial"/>
        <w:b/>
        <w:bCs/>
        <w:color w:val="1F4E79"/>
        <w:sz w:val="18"/>
        <w:szCs w:val="18"/>
      </w:rPr>
      <w:t xml:space="preserve">SEPLAT ENERGY  |  PhishMe Security Analytics Pipeline</w:t>
    </w:r>
    <w:r>
      <w:rPr>
        <w:rFonts w:ascii="Arial" w:cs="Arial" w:eastAsia="Arial" w:hAnsi="Arial"/>
        <w:b/>
        <w:bCs/>
        <w:color w:val="CC0000"/>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4E79"/>
      <w:sz w:val="30"/>
      <w:szCs w:val="30"/>
    </w:rPr>
  </w:style>
  <w:style w:type="paragraph" w:styleId="Heading2">
    <w:name w:val="Heading 2"/>
    <w:basedOn w:val="Normal"/>
    <w:next w:val="Normal"/>
    <w:qFormat/>
    <w:pPr>
      <w:spacing w:before="240" w:after="1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2026-03-18T07:16:44.654Z</dcterms:created>
  <dcterms:modified xsi:type="dcterms:W3CDTF">2026-03-18T07:16:44.654Z</dcterms:modified>
</cp:coreProperties>
</file>

<file path=docProps/custom.xml><?xml version="1.0" encoding="utf-8"?>
<Properties xmlns="http://schemas.openxmlformats.org/officeDocument/2006/custom-properties" xmlns:vt="http://schemas.openxmlformats.org/officeDocument/2006/docPropsVTypes"/>
</file>