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A3ED" w14:textId="77777777" w:rsidR="00885BCE" w:rsidRPr="00885BCE" w:rsidRDefault="00885BCE" w:rsidP="00885BCE">
      <w:r w:rsidRPr="00885BCE">
        <w:t>Here's what all 10 reports cover: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800"/>
        <w:gridCol w:w="5198"/>
      </w:tblGrid>
      <w:tr w:rsidR="00885BCE" w:rsidRPr="00885BCE" w14:paraId="68B2A775" w14:textId="77777777" w:rsidTr="00885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17E75" w14:textId="77777777" w:rsidR="00885BCE" w:rsidRPr="00885BCE" w:rsidRDefault="00885BCE" w:rsidP="00885BCE">
            <w:pPr>
              <w:rPr>
                <w:b/>
                <w:bCs/>
              </w:rPr>
            </w:pPr>
            <w:r w:rsidRPr="00885BC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81D33A8" w14:textId="77777777" w:rsidR="00885BCE" w:rsidRPr="00885BCE" w:rsidRDefault="00885BCE" w:rsidP="00885BCE">
            <w:pPr>
              <w:rPr>
                <w:b/>
                <w:bCs/>
              </w:rPr>
            </w:pPr>
            <w:r w:rsidRPr="00885BCE">
              <w:rPr>
                <w:b/>
                <w:bCs/>
              </w:rPr>
              <w:t>Report Title</w:t>
            </w:r>
          </w:p>
        </w:tc>
        <w:tc>
          <w:tcPr>
            <w:tcW w:w="0" w:type="auto"/>
            <w:vAlign w:val="center"/>
            <w:hideMark/>
          </w:tcPr>
          <w:p w14:paraId="7353961C" w14:textId="77777777" w:rsidR="00885BCE" w:rsidRPr="00885BCE" w:rsidRDefault="00885BCE" w:rsidP="00885BCE">
            <w:pPr>
              <w:rPr>
                <w:b/>
                <w:bCs/>
              </w:rPr>
            </w:pPr>
            <w:r w:rsidRPr="00885BCE">
              <w:rPr>
                <w:b/>
                <w:bCs/>
              </w:rPr>
              <w:t>Contents</w:t>
            </w:r>
          </w:p>
        </w:tc>
      </w:tr>
      <w:tr w:rsidR="00885BCE" w:rsidRPr="00885BCE" w14:paraId="2668D02A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13F0" w14:textId="77777777" w:rsidR="00885BCE" w:rsidRPr="00885BCE" w:rsidRDefault="00885BCE" w:rsidP="00885BCE">
            <w:r w:rsidRPr="00885BCE">
              <w:t>1</w:t>
            </w:r>
          </w:p>
        </w:tc>
        <w:tc>
          <w:tcPr>
            <w:tcW w:w="0" w:type="auto"/>
            <w:vAlign w:val="center"/>
            <w:hideMark/>
          </w:tcPr>
          <w:p w14:paraId="2B3CAF43" w14:textId="77777777" w:rsidR="00885BCE" w:rsidRPr="00885BCE" w:rsidRDefault="00885BCE" w:rsidP="00885BCE">
            <w:r w:rsidRPr="00885BCE">
              <w:rPr>
                <w:b/>
                <w:bCs/>
              </w:rPr>
              <w:t>Project Overview &amp; Scope</w:t>
            </w:r>
          </w:p>
        </w:tc>
        <w:tc>
          <w:tcPr>
            <w:tcW w:w="0" w:type="auto"/>
            <w:vAlign w:val="center"/>
            <w:hideMark/>
          </w:tcPr>
          <w:p w14:paraId="521C6558" w14:textId="77777777" w:rsidR="00885BCE" w:rsidRPr="00885BCE" w:rsidRDefault="00885BCE" w:rsidP="00885BCE">
            <w:r w:rsidRPr="00885BCE">
              <w:t>Executive summary, project vitals, objectives, scope, stakeholders</w:t>
            </w:r>
          </w:p>
        </w:tc>
      </w:tr>
      <w:tr w:rsidR="00885BCE" w:rsidRPr="00885BCE" w14:paraId="296DDEEF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404" w14:textId="77777777" w:rsidR="00885BCE" w:rsidRPr="00885BCE" w:rsidRDefault="00885BCE" w:rsidP="00885BCE">
            <w:r w:rsidRPr="00885BCE">
              <w:t>2</w:t>
            </w:r>
          </w:p>
        </w:tc>
        <w:tc>
          <w:tcPr>
            <w:tcW w:w="0" w:type="auto"/>
            <w:vAlign w:val="center"/>
            <w:hideMark/>
          </w:tcPr>
          <w:p w14:paraId="7FCEEF3D" w14:textId="77777777" w:rsidR="00885BCE" w:rsidRPr="00885BCE" w:rsidRDefault="00885BCE" w:rsidP="00885BCE">
            <w:r w:rsidRPr="00885BCE">
              <w:rPr>
                <w:b/>
                <w:bCs/>
              </w:rPr>
              <w:t>API Architecture &amp; Endpoint Inventory</w:t>
            </w:r>
          </w:p>
        </w:tc>
        <w:tc>
          <w:tcPr>
            <w:tcW w:w="0" w:type="auto"/>
            <w:vAlign w:val="center"/>
            <w:hideMark/>
          </w:tcPr>
          <w:p w14:paraId="40BCE36F" w14:textId="77777777" w:rsidR="00885BCE" w:rsidRPr="00885BCE" w:rsidRDefault="00885BCE" w:rsidP="00885BCE">
            <w:r w:rsidRPr="00885BCE">
              <w:t>All 10 endpoints, 21 scenario IDs, auth config, special patterns</w:t>
            </w:r>
          </w:p>
        </w:tc>
      </w:tr>
      <w:tr w:rsidR="00885BCE" w:rsidRPr="00885BCE" w14:paraId="1C8D744E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46D8" w14:textId="77777777" w:rsidR="00885BCE" w:rsidRPr="00885BCE" w:rsidRDefault="00885BCE" w:rsidP="00885BCE">
            <w:r w:rsidRPr="00885BCE">
              <w:t>3</w:t>
            </w:r>
          </w:p>
        </w:tc>
        <w:tc>
          <w:tcPr>
            <w:tcW w:w="0" w:type="auto"/>
            <w:vAlign w:val="center"/>
            <w:hideMark/>
          </w:tcPr>
          <w:p w14:paraId="79C0CC5E" w14:textId="77777777" w:rsidR="00885BCE" w:rsidRPr="00885BCE" w:rsidRDefault="00885BCE" w:rsidP="00885BCE">
            <w:r w:rsidRPr="00885BCE">
              <w:rPr>
                <w:b/>
                <w:bCs/>
              </w:rPr>
              <w:t>Data Lake Architecture &amp; Storage Design</w:t>
            </w:r>
          </w:p>
        </w:tc>
        <w:tc>
          <w:tcPr>
            <w:tcW w:w="0" w:type="auto"/>
            <w:vAlign w:val="center"/>
            <w:hideMark/>
          </w:tcPr>
          <w:p w14:paraId="746D34BF" w14:textId="77777777" w:rsidR="00885BCE" w:rsidRPr="00885BCE" w:rsidRDefault="00885BCE" w:rsidP="00885BCE">
            <w:r w:rsidRPr="00885BCE">
              <w:t xml:space="preserve">3-layer </w:t>
            </w:r>
            <w:proofErr w:type="spellStart"/>
            <w:r w:rsidRPr="00885BCE">
              <w:t>lakehouse</w:t>
            </w:r>
            <w:proofErr w:type="spellEnd"/>
            <w:r w:rsidRPr="00885BCE">
              <w:t>, ADLS paths, folder structures, DQ standards</w:t>
            </w:r>
          </w:p>
        </w:tc>
      </w:tr>
      <w:tr w:rsidR="00885BCE" w:rsidRPr="00885BCE" w14:paraId="0154EEB9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A3FB" w14:textId="77777777" w:rsidR="00885BCE" w:rsidRPr="00885BCE" w:rsidRDefault="00885BCE" w:rsidP="00885BCE">
            <w:r w:rsidRPr="00885BCE">
              <w:t>4</w:t>
            </w:r>
          </w:p>
        </w:tc>
        <w:tc>
          <w:tcPr>
            <w:tcW w:w="0" w:type="auto"/>
            <w:vAlign w:val="center"/>
            <w:hideMark/>
          </w:tcPr>
          <w:p w14:paraId="7BA6D79B" w14:textId="77777777" w:rsidR="00885BCE" w:rsidRPr="00885BCE" w:rsidRDefault="00885BCE" w:rsidP="00885BCE">
            <w:r w:rsidRPr="00885BCE">
              <w:rPr>
                <w:b/>
                <w:bCs/>
              </w:rPr>
              <w:t xml:space="preserve">Silver Layer — </w:t>
            </w:r>
            <w:proofErr w:type="spellStart"/>
            <w:r w:rsidRPr="00885BCE">
              <w:rPr>
                <w:b/>
                <w:bCs/>
              </w:rPr>
              <w:t>PySpark</w:t>
            </w:r>
            <w:proofErr w:type="spellEnd"/>
            <w:r w:rsidRPr="00885BCE">
              <w:rPr>
                <w:b/>
                <w:bCs/>
              </w:rPr>
              <w:t xml:space="preserve"> Transformation Design</w:t>
            </w:r>
          </w:p>
        </w:tc>
        <w:tc>
          <w:tcPr>
            <w:tcW w:w="0" w:type="auto"/>
            <w:vAlign w:val="center"/>
            <w:hideMark/>
          </w:tcPr>
          <w:p w14:paraId="4AAA463A" w14:textId="77777777" w:rsidR="00885BCE" w:rsidRPr="00885BCE" w:rsidRDefault="00885BCE" w:rsidP="00885BCE">
            <w:r w:rsidRPr="00885BCE">
              <w:t xml:space="preserve">All 7 notebooks, column specs, </w:t>
            </w:r>
            <w:proofErr w:type="spellStart"/>
            <w:r w:rsidRPr="00885BCE">
              <w:t>boolean</w:t>
            </w:r>
            <w:proofErr w:type="spellEnd"/>
            <w:r w:rsidRPr="00885BCE">
              <w:t xml:space="preserve"> patterns, </w:t>
            </w:r>
            <w:proofErr w:type="spellStart"/>
            <w:r w:rsidRPr="00885BCE">
              <w:t>dedup</w:t>
            </w:r>
            <w:proofErr w:type="spellEnd"/>
            <w:r w:rsidRPr="00885BCE">
              <w:t xml:space="preserve"> logic</w:t>
            </w:r>
          </w:p>
        </w:tc>
      </w:tr>
      <w:tr w:rsidR="00885BCE" w:rsidRPr="00885BCE" w14:paraId="4CC015D9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E5E8" w14:textId="77777777" w:rsidR="00885BCE" w:rsidRPr="00885BCE" w:rsidRDefault="00885BCE" w:rsidP="00885BCE">
            <w:r w:rsidRPr="00885BCE">
              <w:t>5</w:t>
            </w:r>
          </w:p>
        </w:tc>
        <w:tc>
          <w:tcPr>
            <w:tcW w:w="0" w:type="auto"/>
            <w:vAlign w:val="center"/>
            <w:hideMark/>
          </w:tcPr>
          <w:p w14:paraId="4ABEBFB0" w14:textId="77777777" w:rsidR="00885BCE" w:rsidRPr="00885BCE" w:rsidRDefault="00885BCE" w:rsidP="00885BCE">
            <w:r w:rsidRPr="00885BCE">
              <w:rPr>
                <w:b/>
                <w:bCs/>
              </w:rPr>
              <w:t>Gold Layer — Star Schema Design</w:t>
            </w:r>
          </w:p>
        </w:tc>
        <w:tc>
          <w:tcPr>
            <w:tcW w:w="0" w:type="auto"/>
            <w:vAlign w:val="center"/>
            <w:hideMark/>
          </w:tcPr>
          <w:p w14:paraId="12CC9014" w14:textId="77777777" w:rsidR="00885BCE" w:rsidRPr="00885BCE" w:rsidRDefault="00885BCE" w:rsidP="00885BCE">
            <w:r w:rsidRPr="00885BCE">
              <w:t>All 10 tables, relationships, derived metrics (SHI, resilience, risk score)</w:t>
            </w:r>
          </w:p>
        </w:tc>
      </w:tr>
      <w:tr w:rsidR="00885BCE" w:rsidRPr="00885BCE" w14:paraId="2B27929F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03B9" w14:textId="77777777" w:rsidR="00885BCE" w:rsidRPr="00885BCE" w:rsidRDefault="00885BCE" w:rsidP="00885BCE">
            <w:r w:rsidRPr="00885BCE">
              <w:t>6</w:t>
            </w:r>
          </w:p>
        </w:tc>
        <w:tc>
          <w:tcPr>
            <w:tcW w:w="0" w:type="auto"/>
            <w:vAlign w:val="center"/>
            <w:hideMark/>
          </w:tcPr>
          <w:p w14:paraId="7482742B" w14:textId="77777777" w:rsidR="00885BCE" w:rsidRPr="00885BCE" w:rsidRDefault="00885BCE" w:rsidP="00885BCE">
            <w:r w:rsidRPr="00885BCE">
              <w:rPr>
                <w:b/>
                <w:bCs/>
              </w:rPr>
              <w:t>Synapse Analytics — Tables, Staging &amp; Procedures</w:t>
            </w:r>
          </w:p>
        </w:tc>
        <w:tc>
          <w:tcPr>
            <w:tcW w:w="0" w:type="auto"/>
            <w:vAlign w:val="center"/>
            <w:hideMark/>
          </w:tcPr>
          <w:p w14:paraId="4BAF9D04" w14:textId="77777777" w:rsidR="00885BCE" w:rsidRPr="00885BCE" w:rsidRDefault="00885BCE" w:rsidP="00885BCE">
            <w:r w:rsidRPr="00885BCE">
              <w:t>Distribution strategy, CDC columns, PDW compatibility rules, watermark table</w:t>
            </w:r>
          </w:p>
        </w:tc>
      </w:tr>
      <w:tr w:rsidR="00885BCE" w:rsidRPr="00885BCE" w14:paraId="2CADA90A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B461" w14:textId="77777777" w:rsidR="00885BCE" w:rsidRPr="00885BCE" w:rsidRDefault="00885BCE" w:rsidP="00885BCE">
            <w:r w:rsidRPr="00885BCE">
              <w:t>7</w:t>
            </w:r>
          </w:p>
        </w:tc>
        <w:tc>
          <w:tcPr>
            <w:tcW w:w="0" w:type="auto"/>
            <w:vAlign w:val="center"/>
            <w:hideMark/>
          </w:tcPr>
          <w:p w14:paraId="6F84C62D" w14:textId="77777777" w:rsidR="00885BCE" w:rsidRPr="00885BCE" w:rsidRDefault="00885BCE" w:rsidP="00885BCE">
            <w:r w:rsidRPr="00885BCE">
              <w:rPr>
                <w:b/>
                <w:bCs/>
              </w:rPr>
              <w:t>CDC Implementation</w:t>
            </w:r>
          </w:p>
        </w:tc>
        <w:tc>
          <w:tcPr>
            <w:tcW w:w="0" w:type="auto"/>
            <w:vAlign w:val="center"/>
            <w:hideMark/>
          </w:tcPr>
          <w:p w14:paraId="53B39D7D" w14:textId="77777777" w:rsidR="00885BCE" w:rsidRPr="00885BCE" w:rsidRDefault="00885BCE" w:rsidP="00885BCE">
            <w:r w:rsidRPr="00885BCE">
              <w:t>5-step pattern, all 10 procs, DQ gates, hash logic, append-only design</w:t>
            </w:r>
          </w:p>
        </w:tc>
      </w:tr>
      <w:tr w:rsidR="00885BCE" w:rsidRPr="00885BCE" w14:paraId="17376616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BC4D" w14:textId="77777777" w:rsidR="00885BCE" w:rsidRPr="00885BCE" w:rsidRDefault="00885BCE" w:rsidP="00885BCE">
            <w:r w:rsidRPr="00885BCE">
              <w:t>8</w:t>
            </w:r>
          </w:p>
        </w:tc>
        <w:tc>
          <w:tcPr>
            <w:tcW w:w="0" w:type="auto"/>
            <w:vAlign w:val="center"/>
            <w:hideMark/>
          </w:tcPr>
          <w:p w14:paraId="71569D60" w14:textId="77777777" w:rsidR="00885BCE" w:rsidRPr="00885BCE" w:rsidRDefault="00885BCE" w:rsidP="00885BCE">
            <w:r w:rsidRPr="00885BCE">
              <w:rPr>
                <w:b/>
                <w:bCs/>
              </w:rPr>
              <w:t>Power BI Dashboard &amp; DAX Measures</w:t>
            </w:r>
          </w:p>
        </w:tc>
        <w:tc>
          <w:tcPr>
            <w:tcW w:w="0" w:type="auto"/>
            <w:vAlign w:val="center"/>
            <w:hideMark/>
          </w:tcPr>
          <w:p w14:paraId="22E0700D" w14:textId="77777777" w:rsidR="00885BCE" w:rsidRPr="00885BCE" w:rsidRDefault="00885BCE" w:rsidP="00885BCE">
            <w:r w:rsidRPr="00885BCE">
              <w:t>6 pages, 50+ measures, 7 folders, RLS roles, connection setup</w:t>
            </w:r>
          </w:p>
        </w:tc>
      </w:tr>
      <w:tr w:rsidR="00885BCE" w:rsidRPr="00885BCE" w14:paraId="7D428D8F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18C8" w14:textId="77777777" w:rsidR="00885BCE" w:rsidRPr="00885BCE" w:rsidRDefault="00885BCE" w:rsidP="00885BCE">
            <w:r w:rsidRPr="00885BCE">
              <w:t>9</w:t>
            </w:r>
          </w:p>
        </w:tc>
        <w:tc>
          <w:tcPr>
            <w:tcW w:w="0" w:type="auto"/>
            <w:vAlign w:val="center"/>
            <w:hideMark/>
          </w:tcPr>
          <w:p w14:paraId="0C4792BE" w14:textId="77777777" w:rsidR="00885BCE" w:rsidRPr="00885BCE" w:rsidRDefault="00885BCE" w:rsidP="00885BCE">
            <w:r w:rsidRPr="00885BCE">
              <w:rPr>
                <w:b/>
                <w:bCs/>
              </w:rPr>
              <w:t>Pipeline Orchestration &amp; Operations Guide</w:t>
            </w:r>
          </w:p>
        </w:tc>
        <w:tc>
          <w:tcPr>
            <w:tcW w:w="0" w:type="auto"/>
            <w:vAlign w:val="center"/>
            <w:hideMark/>
          </w:tcPr>
          <w:p w14:paraId="30D52D95" w14:textId="77777777" w:rsidR="00885BCE" w:rsidRPr="00885BCE" w:rsidRDefault="00885BCE" w:rsidP="00885BCE">
            <w:r w:rsidRPr="00885BCE">
              <w:t>19-step execution order, monitoring queries, failure modes, pending actions</w:t>
            </w:r>
          </w:p>
        </w:tc>
      </w:tr>
      <w:tr w:rsidR="00885BCE" w:rsidRPr="00885BCE" w14:paraId="66CC034A" w14:textId="77777777" w:rsidTr="0088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9E62" w14:textId="77777777" w:rsidR="00885BCE" w:rsidRPr="00885BCE" w:rsidRDefault="00885BCE" w:rsidP="00885BCE">
            <w:r w:rsidRPr="00885BCE">
              <w:t>10</w:t>
            </w:r>
          </w:p>
        </w:tc>
        <w:tc>
          <w:tcPr>
            <w:tcW w:w="0" w:type="auto"/>
            <w:vAlign w:val="center"/>
            <w:hideMark/>
          </w:tcPr>
          <w:p w14:paraId="3FF2041F" w14:textId="77777777" w:rsidR="00885BCE" w:rsidRPr="00885BCE" w:rsidRDefault="00885BCE" w:rsidP="00885BCE">
            <w:r w:rsidRPr="00885BCE">
              <w:rPr>
                <w:b/>
                <w:bCs/>
              </w:rPr>
              <w:t>Security, Compliance &amp; Next Steps</w:t>
            </w:r>
          </w:p>
        </w:tc>
        <w:tc>
          <w:tcPr>
            <w:tcW w:w="0" w:type="auto"/>
            <w:vAlign w:val="center"/>
            <w:hideMark/>
          </w:tcPr>
          <w:p w14:paraId="4294F01B" w14:textId="77777777" w:rsidR="00885BCE" w:rsidRPr="00885BCE" w:rsidRDefault="00885BCE" w:rsidP="00885BCE">
            <w:r w:rsidRPr="00885BCE">
              <w:t>Data classification, NDPR/ISO27001, retention policy, 8 future enhancements</w:t>
            </w:r>
          </w:p>
        </w:tc>
      </w:tr>
    </w:tbl>
    <w:p w14:paraId="4779327F" w14:textId="77777777" w:rsidR="00DC777D" w:rsidRDefault="00DC777D"/>
    <w:sectPr w:rsidR="00DC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CE"/>
    <w:rsid w:val="000A4459"/>
    <w:rsid w:val="00106D21"/>
    <w:rsid w:val="001936A7"/>
    <w:rsid w:val="003A3D12"/>
    <w:rsid w:val="006E2C55"/>
    <w:rsid w:val="00764AD9"/>
    <w:rsid w:val="00885BCE"/>
    <w:rsid w:val="00C75348"/>
    <w:rsid w:val="00DC777D"/>
    <w:rsid w:val="00F4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60E08"/>
  <w15:chartTrackingRefBased/>
  <w15:docId w15:val="{B6A31B15-A09F-4155-8003-1FF032F5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1</cp:revision>
  <dcterms:created xsi:type="dcterms:W3CDTF">2026-03-13T14:10:00Z</dcterms:created>
  <dcterms:modified xsi:type="dcterms:W3CDTF">2026-03-13T14:39:00Z</dcterms:modified>
</cp:coreProperties>
</file>