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1A3557"/>
          <w:sz w:val="80"/>
          <w:szCs w:val="80"/>
        </w:rPr>
        <w:t xml:space="preserve">CAMPUSCAPITAL</w:t>
      </w:r>
    </w:p>
    <w:p>
      <w:pPr>
        <w:spacing w:after="60" w:before="0"/>
        <w:jc w:val="center"/>
      </w:pPr>
      <w:r>
        <w:rPr>
          <w:rFonts w:ascii="Arial" w:cs="Arial" w:eastAsia="Arial" w:hAnsi="Arial"/>
          <w:color w:val="2E75B6"/>
          <w:sz w:val="32"/>
          <w:szCs w:val="32"/>
        </w:rPr>
        <w:t xml:space="preserve">Higher Education Market Intelligence</w:t>
      </w:r>
    </w:p>
    <w:p>
      <w:pPr>
        <w:pBdr>
          <w:bottom w:val="single" w:color="2E75B6" w:sz="8" w:space="10"/>
        </w:pBdr>
        <w:spacing w:after="400" w:before="0"/>
        <w:jc w:val="center"/>
      </w:pPr>
    </w:p>
    <w:p>
      <w:pPr>
        <w:spacing w:after="100" w:before="280"/>
        <w:jc w:val="center"/>
      </w:pPr>
      <w:r>
        <w:rPr>
          <w:rFonts w:ascii="Arial" w:cs="Arial" w:eastAsia="Arial" w:hAnsi="Arial"/>
          <w:b/>
          <w:bCs/>
          <w:color w:val="1A3557"/>
          <w:sz w:val="32"/>
          <w:szCs w:val="32"/>
        </w:rPr>
        <w:t xml:space="preserve">What America's Universities Look Like as Businesses</w:t>
      </w:r>
    </w:p>
    <w:p>
      <w:pPr>
        <w:spacing w:after="80" w:before="0"/>
        <w:jc w:val="center"/>
      </w:pPr>
      <w:r>
        <w:rPr>
          <w:rFonts w:ascii="Arial" w:cs="Arial" w:eastAsia="Arial" w:hAnsi="Arial"/>
          <w:color w:val="4A4A4A"/>
          <w:sz w:val="22"/>
          <w:szCs w:val="22"/>
        </w:rPr>
        <w:t xml:space="preserve">An analysis of 49 universities — their enrollment trends, tuition pricing,</w:t>
      </w:r>
    </w:p>
    <w:p>
      <w:pPr>
        <w:spacing w:after="80" w:before="0"/>
        <w:jc w:val="center"/>
      </w:pPr>
      <w:r>
        <w:rPr>
          <w:rFonts w:ascii="Arial" w:cs="Arial" w:eastAsia="Arial" w:hAnsi="Arial"/>
          <w:color w:val="4A4A4A"/>
          <w:sz w:val="22"/>
          <w:szCs w:val="22"/>
        </w:rPr>
        <w:t xml:space="preserve">and financial health — as if they were companies on a balance sheet.</w:t>
      </w:r>
    </w:p>
    <w:p>
      <w:pPr>
        <w:spacing w:after="200" w:before="0"/>
      </w:pPr>
    </w:p>
    <w:p>
      <w:pPr>
        <w:spacing w:after="40" w:before="0"/>
        <w:jc w:val="center"/>
      </w:pPr>
      <w:r>
        <w:rPr>
          <w:rFonts w:ascii="Arial" w:cs="Arial" w:eastAsia="Arial" w:hAnsi="Arial"/>
          <w:i/>
          <w:iCs/>
          <w:color w:val="888888"/>
          <w:sz w:val="18"/>
          <w:szCs w:val="18"/>
        </w:rPr>
        <w:t xml:space="preserve">Data Sources: IPEDS · College Scorecard · U.S. Bureau of Labor Statistics</w:t>
      </w:r>
    </w:p>
    <w:p>
      <w:r>
        <w:br w:type="page"/>
      </w:r>
    </w:p>
    <w:p>
      <w:pPr>
        <w:spacing w:after="160" w:before="480"/>
      </w:pPr>
      <w:r>
        <w:rPr>
          <w:rFonts w:ascii="Arial" w:cs="Arial" w:eastAsia="Arial" w:hAnsi="Arial"/>
          <w:b/>
          <w:bCs/>
          <w:color w:val="1A3557"/>
          <w:sz w:val="44"/>
          <w:szCs w:val="44"/>
        </w:rPr>
        <w:t xml:space="preserve">Introduction</w:t>
      </w:r>
    </w:p>
    <w:p>
      <w:pPr>
        <w:spacing w:after="100" w:before="80"/>
      </w:pPr>
      <w:r>
        <w:rPr>
          <w:rFonts w:ascii="Arial" w:cs="Arial" w:eastAsia="Arial" w:hAnsi="Arial"/>
          <w:color w:val="4A4A4A"/>
          <w:sz w:val="22"/>
          <w:szCs w:val="22"/>
        </w:rPr>
        <w:t xml:space="preserve">Most people think of universities as public institutions focused on education. But behind the ivy and the idealism, every college operates like a business — competing for students, setting prices, managing revenue streams, and living or dying by its balance sheet.</w:t>
      </w:r>
    </w:p>
    <w:p>
      <w:pPr>
        <w:spacing w:after="80" w:before="0"/>
      </w:pPr>
    </w:p>
    <w:p>
      <w:pPr>
        <w:spacing w:after="100" w:before="80"/>
      </w:pPr>
      <w:r>
        <w:rPr>
          <w:rFonts w:ascii="Arial" w:cs="Arial" w:eastAsia="Arial" w:hAnsi="Arial"/>
          <w:color w:val="4A4A4A"/>
          <w:sz w:val="22"/>
          <w:szCs w:val="22"/>
        </w:rPr>
        <w:t xml:space="preserve">CampusCapital analyzed 49 universities across the United States using federal education data (IPEDS and the College Scorecard) alongside labor market data from the Bureau of Labor Statistics. The goal: treat these institutions the way a financial analyst would — looking past the prestige rankings to understand which schools are financially resilient, which are taking big risks, and which are quietly struggling.</w:t>
      </w:r>
    </w:p>
    <w:p>
      <w:pPr>
        <w:spacing w:after="80" w:before="0"/>
      </w:pPr>
    </w:p>
    <w:p>
      <w:pPr>
        <w:spacing w:after="100" w:before="80"/>
      </w:pPr>
      <w:r>
        <w:rPr>
          <w:rFonts w:ascii="Arial" w:cs="Arial" w:eastAsia="Arial" w:hAnsi="Arial"/>
          <w:color w:val="4A4A4A"/>
          <w:sz w:val="22"/>
          <w:szCs w:val="22"/>
        </w:rPr>
        <w:t xml:space="preserve">What emerges is a clear picture of a higher education sector in the middle of a major transition. The computer science boom is cooling. Artificial intelligence programs have become a new revenue play. And tuition has outpaced inflation at nearly every institution in the study.</w:t>
      </w:r>
    </w:p>
    <w:p>
      <w:pPr>
        <w:spacing w:after="80" w:before="0"/>
      </w:pPr>
    </w:p>
    <w:p>
      <w:pPr>
        <w:pBdr>
          <w:left w:val="single" w:color="2E75B6" w:sz="14" w:space="14"/>
        </w:pBdr>
        <w:spacing w:after="200" w:before="200"/>
        <w:ind w:left="560" w:right="560"/>
      </w:pPr>
      <w:r>
        <w:rPr>
          <w:rFonts w:ascii="Arial" w:cs="Arial" w:eastAsia="Arial" w:hAnsi="Arial"/>
          <w:b/>
          <w:bCs/>
          <w:i/>
          <w:iCs/>
          <w:color w:val="2E75B6"/>
          <w:sz w:val="24"/>
          <w:szCs w:val="24"/>
        </w:rPr>
        <w:t xml:space="preserve">49 universities. Over 1 million students. One question: which schools are built to last?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49</w:t>
            </w:r>
          </w:p>
          <w:p>
            <w:pPr>
              <w:spacing w:after="30" w:before="0"/>
              <w:jc w:val="center"/>
            </w:pPr>
            <w:r>
              <w:rPr>
                <w:rFonts w:ascii="Arial" w:cs="Arial" w:eastAsia="Arial" w:hAnsi="Arial"/>
                <w:b/>
                <w:bCs/>
                <w:color w:val="2E75B6"/>
                <w:sz w:val="18"/>
                <w:szCs w:val="18"/>
              </w:rPr>
              <w:t xml:space="preserve">Universities Analyzed</w:t>
            </w:r>
          </w:p>
          <w:p>
            <w:pPr>
              <w:spacing w:after="0" w:before="0"/>
              <w:jc w:val="center"/>
            </w:pPr>
            <w:r>
              <w:rPr>
                <w:rFonts w:ascii="Arial" w:cs="Arial" w:eastAsia="Arial" w:hAnsi="Arial"/>
                <w:i/>
                <w:iCs/>
                <w:color w:val="4A4A4A"/>
                <w:sz w:val="16"/>
                <w:szCs w:val="16"/>
              </w:rPr>
              <w:t xml:space="preserve">targeting 50-school set</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1M+</w:t>
            </w:r>
          </w:p>
          <w:p>
            <w:pPr>
              <w:spacing w:after="30" w:before="0"/>
              <w:jc w:val="center"/>
            </w:pPr>
            <w:r>
              <w:rPr>
                <w:rFonts w:ascii="Arial" w:cs="Arial" w:eastAsia="Arial" w:hAnsi="Arial"/>
                <w:b/>
                <w:bCs/>
                <w:color w:val="2E75B6"/>
                <w:sz w:val="18"/>
                <w:szCs w:val="18"/>
              </w:rPr>
              <w:t xml:space="preserve">Students Tracked</w:t>
            </w:r>
          </w:p>
          <w:p>
            <w:pPr>
              <w:spacing w:after="0" w:before="0"/>
              <w:jc w:val="center"/>
            </w:pPr>
            <w:r>
              <w:rPr>
                <w:rFonts w:ascii="Arial" w:cs="Arial" w:eastAsia="Arial" w:hAnsi="Arial"/>
                <w:i/>
                <w:iCs/>
                <w:color w:val="4A4A4A"/>
                <w:sz w:val="16"/>
                <w:szCs w:val="16"/>
              </w:rPr>
              <w:t xml:space="preserve">across all 49 schools</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79 / 100</w:t>
            </w:r>
          </w:p>
          <w:p>
            <w:pPr>
              <w:spacing w:after="30" w:before="0"/>
              <w:jc w:val="center"/>
            </w:pPr>
            <w:r>
              <w:rPr>
                <w:rFonts w:ascii="Arial" w:cs="Arial" w:eastAsia="Arial" w:hAnsi="Arial"/>
                <w:b/>
                <w:bCs/>
                <w:color w:val="2E75B6"/>
                <w:sz w:val="18"/>
                <w:szCs w:val="18"/>
              </w:rPr>
              <w:t xml:space="preserve">Average Health Score</w:t>
            </w:r>
          </w:p>
          <w:p>
            <w:pPr>
              <w:spacing w:after="0" w:before="0"/>
              <w:jc w:val="center"/>
            </w:pPr>
            <w:r>
              <w:rPr>
                <w:rFonts w:ascii="Arial" w:cs="Arial" w:eastAsia="Arial" w:hAnsi="Arial"/>
                <w:i/>
                <w:iCs/>
                <w:color w:val="4A4A4A"/>
                <w:sz w:val="16"/>
                <w:szCs w:val="16"/>
              </w:rPr>
              <w:t xml:space="preserve">composite financial score</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0</w:t>
            </w:r>
          </w:p>
          <w:p>
            <w:pPr>
              <w:spacing w:after="30" w:before="0"/>
              <w:jc w:val="center"/>
            </w:pPr>
            <w:r>
              <w:rPr>
                <w:rFonts w:ascii="Arial" w:cs="Arial" w:eastAsia="Arial" w:hAnsi="Arial"/>
                <w:b/>
                <w:bCs/>
                <w:color w:val="2E75B6"/>
                <w:sz w:val="18"/>
                <w:szCs w:val="18"/>
              </w:rPr>
              <w:t xml:space="preserve">High-Risk Schools</w:t>
            </w:r>
          </w:p>
          <w:p>
            <w:pPr>
              <w:spacing w:after="0" w:before="0"/>
              <w:jc w:val="center"/>
            </w:pPr>
            <w:r>
              <w:rPr>
                <w:rFonts w:ascii="Arial" w:cs="Arial" w:eastAsia="Arial" w:hAnsi="Arial"/>
                <w:i/>
                <w:iCs/>
                <w:color w:val="4A4A4A"/>
                <w:sz w:val="16"/>
                <w:szCs w:val="16"/>
              </w:rPr>
              <w:t xml:space="preserve">3+ risk flags triggered</w:t>
            </w:r>
          </w:p>
        </w:tc>
      </w:tr>
    </w:tbl>
    <w:p>
      <w:pPr>
        <w:spacing w:after="160" w:before="0"/>
      </w:pPr>
    </w:p>
    <w:p>
      <w:pPr>
        <w:pBdr>
          <w:bottom w:val="single" w:color="2E75B6" w:sz="6" w:space="6"/>
        </w:pBdr>
        <w:spacing w:after="120" w:before="360"/>
      </w:pPr>
      <w:r>
        <w:rPr>
          <w:rFonts w:ascii="Arial" w:cs="Arial" w:eastAsia="Arial" w:hAnsi="Arial"/>
          <w:b/>
          <w:bCs/>
          <w:color w:val="2E75B6"/>
          <w:sz w:val="30"/>
          <w:szCs w:val="30"/>
        </w:rPr>
        <w:t xml:space="preserve">The Four Types of University</w:t>
      </w:r>
    </w:p>
    <w:p>
      <w:pPr>
        <w:spacing w:after="100" w:before="80"/>
      </w:pPr>
      <w:r>
        <w:rPr>
          <w:rFonts w:ascii="Arial" w:cs="Arial" w:eastAsia="Arial" w:hAnsi="Arial"/>
          <w:color w:val="4A4A4A"/>
          <w:sz w:val="22"/>
          <w:szCs w:val="22"/>
        </w:rPr>
        <w:t xml:space="preserve">Rather than ranking schools by prestige or test scores, CampusCapital groups them into four archetypes based on how they actually function financially. Think of these as business models.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W w:type="dxa" w:w="24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Archetype</w:t>
            </w:r>
          </w:p>
        </w:tc>
        <w:tc>
          <w:tcPr>
            <w:tcW w:type="dxa" w:w="12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 Schools</w:t>
            </w:r>
          </w:p>
        </w:tc>
        <w:tc>
          <w:tcPr>
            <w:tcW w:type="dxa" w:w="15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Avg Score</w:t>
            </w:r>
          </w:p>
        </w:tc>
        <w:tc>
          <w:tcPr>
            <w:tcW w:type="dxa" w:w="42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What it means</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Prestige Fortress</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17</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96.6</w:t>
            </w:r>
          </w:p>
        </w:tc>
        <w:tc>
          <w:tcPr>
            <w:tcW w:type="dxa" w:w="4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Massive endowments, low tuition dependence. Financially insulated from most shocks.</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Expansion Player</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19</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76.7</w:t>
            </w:r>
          </w:p>
        </w:tc>
        <w:tc>
          <w:tcPr>
            <w:tcW w:type="dxa" w:w="4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Large public universities that grew aggressively. Healthy but exposed to demand swings.</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Regional Value</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8</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63.6</w:t>
            </w:r>
          </w:p>
        </w:tc>
        <w:tc>
          <w:tcPr>
            <w:tcW w:type="dxa" w:w="4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Mid-tier public schools. More tuition-dependent and with thinner financial buffers.</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Tuition Dependent</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52.8</w:t>
            </w:r>
          </w:p>
        </w:tc>
        <w:tc>
          <w:tcPr>
            <w:tcW w:type="dxa" w:w="4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Smaller private schools relying almost entirely on tuition. The most financially fragile.</w:t>
            </w:r>
          </w:p>
        </w:tc>
      </w:tr>
    </w:tbl>
    <w:p>
      <w:pPr>
        <w:spacing w:after="120" w:before="60"/>
      </w:pPr>
      <w:r>
        <w:rPr>
          <w:rFonts w:ascii="Arial" w:cs="Arial" w:eastAsia="Arial" w:hAnsi="Arial"/>
          <w:i/>
          <w:iCs/>
          <w:color w:val="888888"/>
          <w:sz w:val="18"/>
          <w:szCs w:val="18"/>
        </w:rPr>
        <w:t xml:space="preserve">Health scores run from 0–100 and are derived from tuition dependence, endowment per student, enrollment trend, and revenue concentration.</w:t>
      </w:r>
    </w:p>
    <w:p>
      <w:r>
        <w:br w:type="page"/>
      </w:r>
    </w:p>
    <w:p>
      <w:pPr>
        <w:spacing w:after="160" w:before="480"/>
      </w:pPr>
      <w:r>
        <w:rPr>
          <w:rFonts w:ascii="Arial" w:cs="Arial" w:eastAsia="Arial" w:hAnsi="Arial"/>
          <w:b/>
          <w:bCs/>
          <w:color w:val="1A3557"/>
          <w:sz w:val="44"/>
          <w:szCs w:val="44"/>
        </w:rPr>
        <w:t xml:space="preserve">Section 1: The Computer Science Boom Is Over</w:t>
      </w:r>
    </w:p>
    <w:p>
      <w:pPr>
        <w:spacing w:after="100" w:before="80"/>
      </w:pPr>
      <w:r>
        <w:rPr>
          <w:rFonts w:ascii="Arial" w:cs="Arial" w:eastAsia="Arial" w:hAnsi="Arial"/>
          <w:color w:val="4A4A4A"/>
          <w:sz w:val="22"/>
          <w:szCs w:val="22"/>
        </w:rPr>
        <w:t xml:space="preserve">For a decade, computer science was the hottest degree in America. From 2012 to 2020, CS completions across the 49 tracked universities nearly doubled. Universities built new buildings, hired faculty, and expanded enrollment caps to keep pace. Then the tech layoffs hit — and the demand signal reversed.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85,735</w:t>
            </w:r>
          </w:p>
          <w:p>
            <w:pPr>
              <w:spacing w:after="30" w:before="0"/>
              <w:jc w:val="center"/>
            </w:pPr>
            <w:r>
              <w:rPr>
                <w:rFonts w:ascii="Arial" w:cs="Arial" w:eastAsia="Arial" w:hAnsi="Arial"/>
                <w:b/>
                <w:bCs/>
                <w:color w:val="2E75B6"/>
                <w:sz w:val="18"/>
                <w:szCs w:val="18"/>
              </w:rPr>
              <w:t xml:space="preserve">2012 Completions</w:t>
            </w:r>
          </w:p>
          <w:p>
            <w:pPr>
              <w:spacing w:after="0" w:before="0"/>
              <w:jc w:val="center"/>
            </w:pPr>
            <w:r>
              <w:rPr>
                <w:rFonts w:ascii="Arial" w:cs="Arial" w:eastAsia="Arial" w:hAnsi="Arial"/>
                <w:i/>
                <w:iCs/>
                <w:color w:val="4A4A4A"/>
                <w:sz w:val="16"/>
                <w:szCs w:val="16"/>
              </w:rPr>
              <w:t xml:space="preserve">starting point across 49 schools</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2020</w:t>
            </w:r>
          </w:p>
          <w:p>
            <w:pPr>
              <w:spacing w:after="30" w:before="0"/>
              <w:jc w:val="center"/>
            </w:pPr>
            <w:r>
              <w:rPr>
                <w:rFonts w:ascii="Arial" w:cs="Arial" w:eastAsia="Arial" w:hAnsi="Arial"/>
                <w:b/>
                <w:bCs/>
                <w:color w:val="2E75B6"/>
                <w:sz w:val="18"/>
                <w:szCs w:val="18"/>
              </w:rPr>
              <w:t xml:space="preserve">Peak Year</w:t>
            </w:r>
          </w:p>
          <w:p>
            <w:pPr>
              <w:spacing w:after="0" w:before="0"/>
              <w:jc w:val="center"/>
            </w:pPr>
            <w:r>
              <w:rPr>
                <w:rFonts w:ascii="Arial" w:cs="Arial" w:eastAsia="Arial" w:hAnsi="Arial"/>
                <w:i/>
                <w:iCs/>
                <w:color w:val="4A4A4A"/>
                <w:sz w:val="16"/>
                <w:szCs w:val="16"/>
              </w:rPr>
              <w:t xml:space="preserve">174,977 completions at peak</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164,247</w:t>
            </w:r>
          </w:p>
          <w:p>
            <w:pPr>
              <w:spacing w:after="30" w:before="0"/>
              <w:jc w:val="center"/>
            </w:pPr>
            <w:r>
              <w:rPr>
                <w:rFonts w:ascii="Arial" w:cs="Arial" w:eastAsia="Arial" w:hAnsi="Arial"/>
                <w:b/>
                <w:bCs/>
                <w:color w:val="2E75B6"/>
                <w:sz w:val="18"/>
                <w:szCs w:val="18"/>
              </w:rPr>
              <w:t xml:space="preserve">2023 Completions</w:t>
            </w:r>
          </w:p>
          <w:p>
            <w:pPr>
              <w:spacing w:after="0" w:before="0"/>
              <w:jc w:val="center"/>
            </w:pPr>
            <w:r>
              <w:rPr>
                <w:rFonts w:ascii="Arial" w:cs="Arial" w:eastAsia="Arial" w:hAnsi="Arial"/>
                <w:i/>
                <w:iCs/>
                <w:color w:val="4A4A4A"/>
                <w:sz w:val="16"/>
                <w:szCs w:val="16"/>
              </w:rPr>
              <w:t xml:space="preserve">most recent year</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-6.1%</w:t>
            </w:r>
          </w:p>
          <w:p>
            <w:pPr>
              <w:spacing w:after="30" w:before="0"/>
              <w:jc w:val="center"/>
            </w:pPr>
            <w:r>
              <w:rPr>
                <w:rFonts w:ascii="Arial" w:cs="Arial" w:eastAsia="Arial" w:hAnsi="Arial"/>
                <w:b/>
                <w:bCs/>
                <w:color w:val="2E75B6"/>
                <w:sz w:val="18"/>
                <w:szCs w:val="18"/>
              </w:rPr>
              <w:t xml:space="preserve">Decline from Peak</w:t>
            </w:r>
          </w:p>
          <w:p>
            <w:pPr>
              <w:spacing w:after="0" w:before="0"/>
              <w:jc w:val="center"/>
            </w:pPr>
            <w:r>
              <w:rPr>
                <w:rFonts w:ascii="Arial" w:cs="Arial" w:eastAsia="Arial" w:hAnsi="Arial"/>
                <w:i/>
                <w:iCs/>
                <w:color w:val="4A4A4A"/>
                <w:sz w:val="16"/>
                <w:szCs w:val="16"/>
              </w:rPr>
              <w:t xml:space="preserve">2023 vs. 2020 peak</w:t>
            </w:r>
          </w:p>
        </w:tc>
      </w:tr>
    </w:tbl>
    <w:p>
      <w:pPr>
        <w:spacing w:after="160" w:before="0"/>
      </w:pPr>
    </w:p>
    <w:p>
      <w:pPr>
        <w:pBdr>
          <w:bottom w:val="single" w:color="2E75B6" w:sz="6" w:space="6"/>
        </w:pBdr>
        <w:spacing w:after="120" w:before="360"/>
      </w:pPr>
      <w:r>
        <w:rPr>
          <w:rFonts w:ascii="Arial" w:cs="Arial" w:eastAsia="Arial" w:hAnsi="Arial"/>
          <w:b/>
          <w:bCs/>
          <w:color w:val="2E75B6"/>
          <w:sz w:val="30"/>
          <w:szCs w:val="30"/>
        </w:rPr>
        <w:t xml:space="preserve">The Pattern: Build Fast, Cool Fast</w:t>
      </w:r>
    </w:p>
    <w:p>
      <w:pPr>
        <w:spacing w:after="100" w:before="80"/>
      </w:pPr>
      <w:r>
        <w:rPr>
          <w:rFonts w:ascii="Arial" w:cs="Arial" w:eastAsia="Arial" w:hAnsi="Arial"/>
          <w:color w:val="4A4A4A"/>
          <w:sz w:val="22"/>
          <w:szCs w:val="22"/>
        </w:rPr>
        <w:t xml:space="preserve">CS enrollment tracked the tech hiring wave almost perfectly through 2019 — rising wage data from the Bureau of Labor Statistics correlated tightly with surging enrollment. Then two things happened simultaneously: the post-pandemic tech correction brought mass layoffs in 2022 and 2023, and universities that had built out capacity found themselves with programs larger than student demand could sustain.</w:t>
      </w:r>
    </w:p>
    <w:p>
      <w:pPr>
        <w:spacing w:after="80" w:before="0"/>
      </w:pPr>
    </w:p>
    <w:p>
      <w:pPr>
        <w:spacing w:after="100" w:before="80"/>
      </w:pPr>
      <w:r>
        <w:rPr>
          <w:rFonts w:ascii="Arial" w:cs="Arial" w:eastAsia="Arial" w:hAnsi="Arial"/>
          <w:color w:val="4A4A4A"/>
          <w:sz w:val="22"/>
          <w:szCs w:val="22"/>
        </w:rPr>
        <w:t xml:space="preserve">The decline from peak is modest at -6.1% nationally across the 49 schools. But within that average sits a wide range of individual school outcomes — and the schools that expanded most aggressively are now the most exposed.</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Which Schools Over-Expanded?</w:t>
      </w:r>
    </w:p>
    <w:p>
      <w:pPr>
        <w:spacing w:after="100" w:before="80"/>
      </w:pPr>
      <w:r>
        <w:rPr>
          <w:rFonts w:ascii="Arial" w:cs="Arial" w:eastAsia="Arial" w:hAnsi="Arial"/>
          <w:color w:val="4A4A4A"/>
          <w:sz w:val="22"/>
          <w:szCs w:val="22"/>
        </w:rPr>
        <w:t xml:space="preserve">CampusCapital calculates an "exposure score" for each school — essentially measuring how far it expanded during the boom relative to how far it has since pulled back. A high exposure score means the school stretched its CS capacity furthest and is now seeing the sharpest reversal. Every school in the top 15 is an Expansion Player — not a single elite private university appears on this list.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820"/>
        <w:gridCol w:w="1820"/>
        <w:gridCol w:w="1620"/>
      </w:tblGrid>
      <w:tr>
        <w:tc>
          <w:tcPr>
            <w:tcW w:type="dxa" w:w="21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University</w:t>
            </w:r>
          </w:p>
        </w:tc>
        <w:tc>
          <w:tcPr>
            <w:tcW w:type="dxa" w:w="20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18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Growth 2012–19</w:t>
            </w:r>
          </w:p>
        </w:tc>
        <w:tc>
          <w:tcPr>
            <w:tcW w:type="dxa" w:w="18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Decline 2019–23</w:t>
            </w:r>
          </w:p>
        </w:tc>
        <w:tc>
          <w:tcPr>
            <w:tcW w:type="dxa" w:w="16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Exposure Score</w:t>
            </w:r>
          </w:p>
        </w:tc>
      </w:tr>
      <w:tr>
        <w:tc>
          <w:tcPr>
            <w:tcW w:type="dxa" w:w="21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UIUC (Illinois)</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+132.7%</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-12.2%</w:t>
            </w:r>
          </w:p>
        </w:tc>
        <w:tc>
          <w:tcPr>
            <w:tcW w:type="dxa" w:w="16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157.1</w:t>
            </w:r>
          </w:p>
        </w:tc>
      </w:tr>
      <w:tr>
        <w:tc>
          <w:tcPr>
            <w:tcW w:type="dxa" w:w="21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NC State</w:t>
            </w:r>
          </w:p>
        </w:tc>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+130.2%</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-10.6%</w:t>
            </w:r>
          </w:p>
        </w:tc>
        <w:tc>
          <w:tcPr>
            <w:tcW w:type="dxa" w:w="16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151.4</w:t>
            </w:r>
          </w:p>
        </w:tc>
      </w:tr>
      <w:tr>
        <w:tc>
          <w:tcPr>
            <w:tcW w:type="dxa" w:w="21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NYU</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+127.3%</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-9.9%</w:t>
            </w:r>
          </w:p>
        </w:tc>
        <w:tc>
          <w:tcPr>
            <w:tcW w:type="dxa" w:w="16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147.1</w:t>
            </w:r>
          </w:p>
        </w:tc>
      </w:tr>
      <w:tr>
        <w:tc>
          <w:tcPr>
            <w:tcW w:type="dxa" w:w="21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Virginia Tech</w:t>
            </w:r>
          </w:p>
        </w:tc>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+130.6%</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-8.2%</w:t>
            </w:r>
          </w:p>
        </w:tc>
        <w:tc>
          <w:tcPr>
            <w:tcW w:type="dxa" w:w="16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147.0</w:t>
            </w:r>
          </w:p>
        </w:tc>
      </w:tr>
      <w:tr>
        <w:tc>
          <w:tcPr>
            <w:tcW w:type="dxa" w:w="21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University of Florida</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+127.0%</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-9.2%</w:t>
            </w:r>
          </w:p>
        </w:tc>
        <w:tc>
          <w:tcPr>
            <w:tcW w:type="dxa" w:w="16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145.5</w:t>
            </w:r>
          </w:p>
        </w:tc>
      </w:tr>
      <w:tr>
        <w:tc>
          <w:tcPr>
            <w:tcW w:type="dxa" w:w="21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UT Austin</w:t>
            </w:r>
          </w:p>
        </w:tc>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+131.4%</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-5.7%</w:t>
            </w:r>
          </w:p>
        </w:tc>
        <w:tc>
          <w:tcPr>
            <w:tcW w:type="dxa" w:w="16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142.8</w:t>
            </w:r>
          </w:p>
        </w:tc>
      </w:tr>
      <w:tr>
        <w:tc>
          <w:tcPr>
            <w:tcW w:type="dxa" w:w="21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UW Seattle</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+118.5%</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-8.5%</w:t>
            </w:r>
          </w:p>
        </w:tc>
        <w:tc>
          <w:tcPr>
            <w:tcW w:type="dxa" w:w="16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135.4</w:t>
            </w:r>
          </w:p>
        </w:tc>
      </w:tr>
      <w:tr>
        <w:tc>
          <w:tcPr>
            <w:tcW w:type="dxa" w:w="21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U of Minnesota</w:t>
            </w:r>
          </w:p>
        </w:tc>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+119.5%</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-5.0%</w:t>
            </w:r>
          </w:p>
        </w:tc>
        <w:tc>
          <w:tcPr>
            <w:tcW w:type="dxa" w:w="16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129.5</w:t>
            </w:r>
          </w:p>
        </w:tc>
      </w:tr>
      <w:tr>
        <w:tc>
          <w:tcPr>
            <w:tcW w:type="dxa" w:w="21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UC San Diego</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+114.7%</w:t>
            </w:r>
          </w:p>
        </w:tc>
        <w:tc>
          <w:tcPr>
            <w:tcW w:type="dxa" w:w="1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-6.8%</w:t>
            </w:r>
          </w:p>
        </w:tc>
        <w:tc>
          <w:tcPr>
            <w:tcW w:type="dxa" w:w="16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128.2</w:t>
            </w:r>
          </w:p>
        </w:tc>
      </w:tr>
      <w:tr>
        <w:tc>
          <w:tcPr>
            <w:tcW w:type="dxa" w:w="21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ASU</w:t>
            </w:r>
          </w:p>
        </w:tc>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+123.2%</w:t>
            </w:r>
          </w:p>
        </w:tc>
        <w:tc>
          <w:tcPr>
            <w:tcW w:type="dxa" w:w="1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-2.2%</w:t>
            </w:r>
          </w:p>
        </w:tc>
        <w:tc>
          <w:tcPr>
            <w:tcW w:type="dxa" w:w="16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127.6</w:t>
            </w:r>
          </w:p>
        </w:tc>
      </w:tr>
    </w:tbl>
    <w:p>
      <w:pPr>
        <w:spacing w:after="120" w:before="60"/>
      </w:pPr>
      <w:r>
        <w:rPr>
          <w:rFonts w:ascii="Arial" w:cs="Arial" w:eastAsia="Arial" w:hAnsi="Arial"/>
          <w:i/>
          <w:iCs/>
          <w:color w:val="888888"/>
          <w:sz w:val="18"/>
          <w:szCs w:val="18"/>
        </w:rPr>
        <w:t xml:space="preserve">Exposure score = Boom % − (Bust % × 2). A higher score means greater mismatch risk as hiring demand softens.</w:t>
      </w:r>
    </w:p>
    <w:p>
      <w:pPr>
        <w:spacing w:after="100" w:before="0"/>
      </w:pPr>
    </w:p>
    <w:p>
      <w:pPr>
        <w:pBdr>
          <w:left w:val="single" w:color="2E75B6" w:sz="14" w:space="14"/>
        </w:pBdr>
        <w:spacing w:after="200" w:before="200"/>
        <w:ind w:left="560" w:right="560"/>
      </w:pPr>
      <w:r>
        <w:rPr>
          <w:rFonts w:ascii="Arial" w:cs="Arial" w:eastAsia="Arial" w:hAnsi="Arial"/>
          <w:b/>
          <w:bCs/>
          <w:i/>
          <w:iCs/>
          <w:color w:val="2E75B6"/>
          <w:sz w:val="24"/>
          <w:szCs w:val="24"/>
        </w:rPr>
        <w:t xml:space="preserve">Every school in the top 15 most-exposed list is a large public university. Elite private schools grew CS more modestly — and have declined less sharply.</w:t>
      </w:r>
    </w:p>
    <w:p>
      <w:pPr>
        <w:pBdr>
          <w:bottom w:val="single" w:color="2E75B6" w:sz="6" w:space="6"/>
        </w:pBdr>
        <w:spacing w:after="120" w:before="360"/>
      </w:pPr>
      <w:r>
        <w:rPr>
          <w:rFonts w:ascii="Arial" w:cs="Arial" w:eastAsia="Arial" w:hAnsi="Arial"/>
          <w:b/>
          <w:bCs/>
          <w:color w:val="2E75B6"/>
          <w:sz w:val="30"/>
          <w:szCs w:val="30"/>
        </w:rPr>
        <w:t xml:space="preserve">Why Elite Schools Were Insulated</w:t>
      </w:r>
    </w:p>
    <w:p>
      <w:pPr>
        <w:spacing w:after="100" w:before="80"/>
      </w:pPr>
      <w:r>
        <w:rPr>
          <w:rFonts w:ascii="Arial" w:cs="Arial" w:eastAsia="Arial" w:hAnsi="Arial"/>
          <w:color w:val="4A4A4A"/>
          <w:sz w:val="22"/>
          <w:szCs w:val="22"/>
        </w:rPr>
        <w:t xml:space="preserve">Harvard, MIT, Stanford, and their peers grew CS enrollment during the boom — but much more slowly and selectively. Their admissions model is constrained by design: they don't simply add seats to meet demand. This turned out to be a structural advantage. When demand softened, they had less excess capacity to unwind.</w:t>
      </w:r>
    </w:p>
    <w:p>
      <w:pPr>
        <w:spacing w:after="80" w:before="0"/>
      </w:pPr>
    </w:p>
    <w:p>
      <w:pPr>
        <w:spacing w:after="100" w:before="80"/>
      </w:pPr>
      <w:r>
        <w:rPr>
          <w:rFonts w:ascii="Arial" w:cs="Arial" w:eastAsia="Arial" w:hAnsi="Arial"/>
          <w:color w:val="4A4A4A"/>
          <w:sz w:val="22"/>
          <w:szCs w:val="22"/>
        </w:rPr>
        <w:t xml:space="preserve">Expansion Players had a different logic: more students meant more revenue, and CS students were highly sought after by employers, making recruitment easier. That model worked brilliantly from 2012 to 2019. The question now is whether it adjusts gracefully — or creates a lasting mismatch between what these schools supply and what the labor market needs.</w:t>
      </w:r>
    </w:p>
    <w:p>
      <w:r>
        <w:br w:type="page"/>
      </w:r>
    </w:p>
    <w:p>
      <w:pPr>
        <w:spacing w:after="160" w:before="480"/>
      </w:pPr>
      <w:r>
        <w:rPr>
          <w:rFonts w:ascii="Arial" w:cs="Arial" w:eastAsia="Arial" w:hAnsi="Arial"/>
          <w:b/>
          <w:bCs/>
          <w:color w:val="1A3557"/>
          <w:sz w:val="44"/>
          <w:szCs w:val="44"/>
        </w:rPr>
        <w:t xml:space="preserve">Section 2: Every University Now Has an AI Program — and a Price Tag to Match</w:t>
      </w:r>
    </w:p>
    <w:p>
      <w:pPr>
        <w:spacing w:after="100" w:before="80"/>
      </w:pPr>
      <w:r>
        <w:rPr>
          <w:rFonts w:ascii="Arial" w:cs="Arial" w:eastAsia="Arial" w:hAnsi="Arial"/>
          <w:color w:val="4A4A4A"/>
          <w:sz w:val="22"/>
          <w:szCs w:val="22"/>
        </w:rPr>
        <w:t xml:space="preserve">When ChatGPT launched at the end of 2022, it sparked a wave of public fascination with artificial intelligence. Universities had seen it coming earlier. By 2019, the majority of large research universities had already launched AI or machine learning master's programs. By 2022, even smaller private colleges had joined the race.</w:t>
      </w:r>
    </w:p>
    <w:p>
      <w:pPr>
        <w:spacing w:after="80" w:before="0"/>
      </w:pPr>
    </w:p>
    <w:p>
      <w:pPr>
        <w:spacing w:after="100" w:before="80"/>
      </w:pPr>
      <w:r>
        <w:rPr>
          <w:rFonts w:ascii="Arial" w:cs="Arial" w:eastAsia="Arial" w:hAnsi="Arial"/>
          <w:color w:val="4A4A4A"/>
          <w:sz w:val="22"/>
          <w:szCs w:val="22"/>
        </w:rPr>
        <w:t xml:space="preserve">Today, all 49 universities in this study offer an AI/ML master's program. Combined, they enrolled 42,683 students in 2023 — up from near zero in 2018. And they are charging a significant premium for the privilege.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49/49</w:t>
            </w:r>
          </w:p>
          <w:p>
            <w:pPr>
              <w:spacing w:after="30" w:before="0"/>
              <w:jc w:val="center"/>
            </w:pPr>
            <w:r>
              <w:rPr>
                <w:rFonts w:ascii="Arial" w:cs="Arial" w:eastAsia="Arial" w:hAnsi="Arial"/>
                <w:b/>
                <w:bCs/>
                <w:color w:val="2E75B6"/>
                <w:sz w:val="18"/>
                <w:szCs w:val="18"/>
              </w:rPr>
              <w:t xml:space="preserve">Schools with AI Programs</w:t>
            </w:r>
          </w:p>
          <w:p>
            <w:pPr>
              <w:spacing w:after="0" w:before="0"/>
              <w:jc w:val="center"/>
            </w:pPr>
            <w:r>
              <w:rPr>
                <w:rFonts w:ascii="Arial" w:cs="Arial" w:eastAsia="Arial" w:hAnsi="Arial"/>
                <w:i/>
                <w:iCs/>
                <w:color w:val="4A4A4A"/>
                <w:sz w:val="16"/>
                <w:szCs w:val="16"/>
              </w:rPr>
              <w:t xml:space="preserve">every tracked school</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42,683</w:t>
            </w:r>
          </w:p>
          <w:p>
            <w:pPr>
              <w:spacing w:after="30" w:before="0"/>
              <w:jc w:val="center"/>
            </w:pPr>
            <w:r>
              <w:rPr>
                <w:rFonts w:ascii="Arial" w:cs="Arial" w:eastAsia="Arial" w:hAnsi="Arial"/>
                <w:b/>
                <w:bCs/>
                <w:color w:val="2E75B6"/>
                <w:sz w:val="18"/>
                <w:szCs w:val="18"/>
              </w:rPr>
              <w:t xml:space="preserve">AI Enrollment 2023</w:t>
            </w:r>
          </w:p>
          <w:p>
            <w:pPr>
              <w:spacing w:after="0" w:before="0"/>
              <w:jc w:val="center"/>
            </w:pPr>
            <w:r>
              <w:rPr>
                <w:rFonts w:ascii="Arial" w:cs="Arial" w:eastAsia="Arial" w:hAnsi="Arial"/>
                <w:i/>
                <w:iCs/>
                <w:color w:val="4A4A4A"/>
                <w:sz w:val="16"/>
                <w:szCs w:val="16"/>
              </w:rPr>
              <w:t xml:space="preserve">master's-level students</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128%</w:t>
            </w:r>
          </w:p>
          <w:p>
            <w:pPr>
              <w:spacing w:after="30" w:before="0"/>
              <w:jc w:val="center"/>
            </w:pPr>
            <w:r>
              <w:rPr>
                <w:rFonts w:ascii="Arial" w:cs="Arial" w:eastAsia="Arial" w:hAnsi="Arial"/>
                <w:b/>
                <w:bCs/>
                <w:color w:val="2E75B6"/>
                <w:sz w:val="18"/>
                <w:szCs w:val="18"/>
              </w:rPr>
              <w:t xml:space="preserve">Avg Tuition Premium</w:t>
            </w:r>
          </w:p>
          <w:p>
            <w:pPr>
              <w:spacing w:after="0" w:before="0"/>
              <w:jc w:val="center"/>
            </w:pPr>
            <w:r>
              <w:rPr>
                <w:rFonts w:ascii="Arial" w:cs="Arial" w:eastAsia="Arial" w:hAnsi="Arial"/>
                <w:i/>
                <w:iCs/>
                <w:color w:val="4A4A4A"/>
                <w:sz w:val="16"/>
                <w:szCs w:val="16"/>
              </w:rPr>
              <w:t xml:space="preserve">above undergrad net price</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$45,876</w:t>
            </w:r>
          </w:p>
          <w:p>
            <w:pPr>
              <w:spacing w:after="30" w:before="0"/>
              <w:jc w:val="center"/>
            </w:pPr>
            <w:r>
              <w:rPr>
                <w:rFonts w:ascii="Arial" w:cs="Arial" w:eastAsia="Arial" w:hAnsi="Arial"/>
                <w:b/>
                <w:bCs/>
                <w:color w:val="2E75B6"/>
                <w:sz w:val="18"/>
                <w:szCs w:val="18"/>
              </w:rPr>
              <w:t xml:space="preserve">Avg AI Net Price</w:t>
            </w:r>
          </w:p>
          <w:p>
            <w:pPr>
              <w:spacing w:after="0" w:before="0"/>
              <w:jc w:val="center"/>
            </w:pPr>
            <w:r>
              <w:rPr>
                <w:rFonts w:ascii="Arial" w:cs="Arial" w:eastAsia="Arial" w:hAnsi="Arial"/>
                <w:i/>
                <w:iCs/>
                <w:color w:val="4A4A4A"/>
                <w:sz w:val="16"/>
                <w:szCs w:val="16"/>
              </w:rPr>
              <w:t xml:space="preserve">per year, 2023</w:t>
            </w:r>
          </w:p>
        </w:tc>
      </w:tr>
    </w:tbl>
    <w:p>
      <w:pPr>
        <w:spacing w:after="160" w:before="0"/>
      </w:pPr>
    </w:p>
    <w:p>
      <w:pPr>
        <w:pBdr>
          <w:bottom w:val="single" w:color="2E75B6" w:sz="6" w:space="6"/>
        </w:pBdr>
        <w:spacing w:after="120" w:before="360"/>
      </w:pPr>
      <w:r>
        <w:rPr>
          <w:rFonts w:ascii="Arial" w:cs="Arial" w:eastAsia="Arial" w:hAnsi="Arial"/>
          <w:b/>
          <w:bCs/>
          <w:color w:val="2E75B6"/>
          <w:sz w:val="30"/>
          <w:szCs w:val="30"/>
        </w:rPr>
        <w:t xml:space="preserve">The AI Premium: What Universities Are Actually Charging</w:t>
      </w:r>
    </w:p>
    <w:p>
      <w:pPr>
        <w:spacing w:after="100" w:before="80"/>
      </w:pPr>
      <w:r>
        <w:rPr>
          <w:rFonts w:ascii="Arial" w:cs="Arial" w:eastAsia="Arial" w:hAnsi="Arial"/>
          <w:color w:val="4A4A4A"/>
          <w:sz w:val="22"/>
          <w:szCs w:val="22"/>
        </w:rPr>
        <w:t xml:space="preserve">To understand how aggressively universities are pricing AI programs, CampusCapital compares each school's AI master's net price to what students actually pay for undergraduate education at the same institution. The gap is striking.</w:t>
      </w:r>
    </w:p>
    <w:p>
      <w:pPr>
        <w:spacing w:after="80" w:before="0"/>
      </w:pPr>
    </w:p>
    <w:p>
      <w:pPr>
        <w:spacing w:after="100" w:before="80"/>
      </w:pPr>
      <w:r>
        <w:rPr>
          <w:rFonts w:ascii="Arial" w:cs="Arial" w:eastAsia="Arial" w:hAnsi="Arial"/>
          <w:color w:val="4A4A4A"/>
          <w:sz w:val="22"/>
          <w:szCs w:val="22"/>
        </w:rPr>
        <w:t xml:space="preserve">On average, AI master's programs cost 128% more than the institution's own undergraduate net price. At some schools, the premium exceeds 149%. The 'AI' label has become a pricing lever — and universities are using it.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000"/>
        <w:gridCol w:w="1500"/>
        <w:gridCol w:w="1500"/>
        <w:gridCol w:w="1600"/>
      </w:tblGrid>
      <w:tr>
        <w:tc>
          <w:tcPr>
            <w:tcW w:type="dxa" w:w="20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University</w:t>
            </w:r>
          </w:p>
        </w:tc>
        <w:tc>
          <w:tcPr>
            <w:tcW w:type="dxa" w:w="17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10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Launched</w:t>
            </w:r>
          </w:p>
        </w:tc>
        <w:tc>
          <w:tcPr>
            <w:tcW w:type="dxa" w:w="15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AI Price/yr</w:t>
            </w:r>
          </w:p>
        </w:tc>
        <w:tc>
          <w:tcPr>
            <w:tcW w:type="dxa" w:w="15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Undergrad Price</w:t>
            </w:r>
          </w:p>
        </w:tc>
        <w:tc>
          <w:tcPr>
            <w:tcW w:type="dxa" w:w="16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Premium</w:t>
            </w:r>
          </w:p>
        </w:tc>
      </w:tr>
      <w:tr>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Northeastern</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2019</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$103,200</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$41,287</w:t>
            </w:r>
          </w:p>
        </w:tc>
        <w:tc>
          <w:tcPr>
            <w:tcW w:type="dxa" w:w="16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+150%</w:t>
            </w:r>
          </w:p>
        </w:tc>
      </w:tr>
      <w:tr>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Providence College</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1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2022</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$93,490</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$37,528</w:t>
            </w:r>
          </w:p>
        </w:tc>
        <w:tc>
          <w:tcPr>
            <w:tcW w:type="dxa" w:w="16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+149%</w:t>
            </w:r>
          </w:p>
        </w:tc>
      </w:tr>
      <w:tr>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CMU</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2019</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$88,610</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$35,588</w:t>
            </w:r>
          </w:p>
        </w:tc>
        <w:tc>
          <w:tcPr>
            <w:tcW w:type="dxa" w:w="16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+149%</w:t>
            </w:r>
          </w:p>
        </w:tc>
      </w:tr>
      <w:tr>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Seattle University</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1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2022</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$88,199</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$36,193</w:t>
            </w:r>
          </w:p>
        </w:tc>
        <w:tc>
          <w:tcPr>
            <w:tcW w:type="dxa" w:w="16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+144%</w:t>
            </w:r>
          </w:p>
        </w:tc>
      </w:tr>
      <w:tr>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Drexel</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1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2022</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$94,997</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$39,993</w:t>
            </w:r>
          </w:p>
        </w:tc>
        <w:tc>
          <w:tcPr>
            <w:tcW w:type="dxa" w:w="16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+138%</w:t>
            </w:r>
          </w:p>
        </w:tc>
      </w:tr>
      <w:tr>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NYU</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2019</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$115,315</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$48,578</w:t>
            </w:r>
          </w:p>
        </w:tc>
        <w:tc>
          <w:tcPr>
            <w:tcW w:type="dxa" w:w="16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+137%</w:t>
            </w:r>
          </w:p>
        </w:tc>
      </w:tr>
      <w:tr>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Fordham</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1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2022</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$93,219</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$39,403</w:t>
            </w:r>
          </w:p>
        </w:tc>
        <w:tc>
          <w:tcPr>
            <w:tcW w:type="dxa" w:w="16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+137%</w:t>
            </w:r>
          </w:p>
        </w:tc>
      </w:tr>
      <w:tr>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Quinnipiac</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1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2022</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$92,080</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$39,818</w:t>
            </w:r>
          </w:p>
        </w:tc>
        <w:tc>
          <w:tcPr>
            <w:tcW w:type="dxa" w:w="16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+131%</w:t>
            </w:r>
          </w:p>
        </w:tc>
      </w:tr>
      <w:tr>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Harvard</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1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2018</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$91,911</w:t>
            </w:r>
          </w:p>
        </w:tc>
        <w:tc>
          <w:tcPr>
            <w:tcW w:type="dxa" w:w="1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$42,283</w:t>
            </w:r>
          </w:p>
        </w:tc>
        <w:tc>
          <w:tcPr>
            <w:tcW w:type="dxa" w:w="16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+117%</w:t>
            </w:r>
          </w:p>
        </w:tc>
      </w:tr>
      <w:tr>
        <w:tc>
          <w:tcPr>
            <w:tcW w:type="dxa" w:w="2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Princeton</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10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2018</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$90,078</w:t>
            </w:r>
          </w:p>
        </w:tc>
        <w:tc>
          <w:tcPr>
            <w:tcW w:type="dxa" w:w="1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$41,455</w:t>
            </w:r>
          </w:p>
        </w:tc>
        <w:tc>
          <w:tcPr>
            <w:tcW w:type="dxa" w:w="16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+117%</w:t>
            </w:r>
          </w:p>
        </w:tc>
      </w:tr>
    </w:tbl>
    <w:p>
      <w:pPr>
        <w:spacing w:after="120" w:before="60"/>
      </w:pPr>
      <w:r>
        <w:rPr>
          <w:rFonts w:ascii="Arial" w:cs="Arial" w:eastAsia="Arial" w:hAnsi="Arial"/>
          <w:i/>
          <w:iCs/>
          <w:color w:val="888888"/>
          <w:sz w:val="18"/>
          <w:szCs w:val="18"/>
        </w:rPr>
        <w:t xml:space="preserve">Net price = what students actually pay after financial aid. AI price is the program's annual net price. Premium = AI price ÷ undergrad net price.</w:t>
      </w:r>
    </w:p>
    <w:p>
      <w:pPr>
        <w:spacing w:after="100" w:before="0"/>
      </w:pPr>
    </w:p>
    <w:p>
      <w:pPr>
        <w:pBdr>
          <w:bottom w:val="single" w:color="2E75B6" w:sz="6" w:space="6"/>
        </w:pBdr>
        <w:spacing w:after="120" w:before="360"/>
      </w:pPr>
      <w:r>
        <w:rPr>
          <w:rFonts w:ascii="Arial" w:cs="Arial" w:eastAsia="Arial" w:hAnsi="Arial"/>
          <w:b/>
          <w:bCs/>
          <w:color w:val="2E75B6"/>
          <w:sz w:val="30"/>
          <w:szCs w:val="30"/>
        </w:rPr>
        <w:t xml:space="preserve">Who Launched When — And Why It Matters</w:t>
      </w:r>
    </w:p>
    <w:p>
      <w:pPr>
        <w:spacing w:after="100" w:before="80"/>
      </w:pPr>
      <w:r>
        <w:rPr>
          <w:rFonts w:ascii="Arial" w:cs="Arial" w:eastAsia="Arial" w:hAnsi="Arial"/>
          <w:color w:val="4A4A4A"/>
          <w:sz w:val="22"/>
          <w:szCs w:val="22"/>
        </w:rPr>
        <w:t xml:space="preserve">The timing of AI program launches reveals something important about institutional strategy. Prestige Fortress schools launched earliest — in 2018, before the public AI moment — reflecting research-driven positioning. Expansion Players followed in 2019, scaling quickly to capture demand. Regional Value schools waited until 2021. Tuition Dependent schools arrived last, in 2022 — right as AI became a mainstream buzzword.</w:t>
      </w:r>
    </w:p>
    <w:p>
      <w:pPr>
        <w:spacing w:after="80" w:before="0"/>
      </w:pPr>
    </w:p>
    <w:p>
      <w:pPr>
        <w:spacing w:after="100" w:before="80"/>
      </w:pPr>
      <w:r>
        <w:rPr>
          <w:rFonts w:ascii="Arial" w:cs="Arial" w:eastAsia="Arial" w:hAnsi="Arial"/>
          <w:color w:val="4A4A4A"/>
          <w:sz w:val="22"/>
          <w:szCs w:val="22"/>
        </w:rPr>
        <w:t xml:space="preserve">This sequencing matters because it suggests different motivations. For elite schools, AI programs extend existing research strengths. For Tuition Dependent schools, launching an AI program in 2022 looks more like a financial lifeline — an attempt to attract a new category of high-paying graduate students to shore up revenue.</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The Enrollment Leaders</w:t>
      </w:r>
    </w:p>
    <w:p>
      <w:pPr>
        <w:spacing w:after="100" w:before="80"/>
      </w:pPr>
      <w:r>
        <w:rPr>
          <w:rFonts w:ascii="Arial" w:cs="Arial" w:eastAsia="Arial" w:hAnsi="Arial"/>
          <w:color w:val="4A4A4A"/>
          <w:sz w:val="22"/>
          <w:szCs w:val="22"/>
        </w:rPr>
        <w:t xml:space="preserve">In raw enrollment terms, Expansion Players dominate. CMU leads with 2,160 AI master's students in 2023, followed by UC San Diego (2,025) and UW Seattle (1,964). Elite private schools enroll far fewer students in these programs — Stanford enrolled 561, MIT 471, Princeton 404 — but they show strong annual growth rates (22–27% CAGR since 2018).</w:t>
      </w:r>
    </w:p>
    <w:p>
      <w:pPr>
        <w:spacing w:after="80" w:before="0"/>
      </w:pPr>
    </w:p>
    <w:p>
      <w:pPr>
        <w:spacing w:after="100" w:before="80"/>
      </w:pPr>
      <w:r>
        <w:rPr>
          <w:rFonts w:ascii="Arial" w:cs="Arial" w:eastAsia="Arial" w:hAnsi="Arial"/>
          <w:color w:val="4A4A4A"/>
          <w:sz w:val="22"/>
          <w:szCs w:val="22"/>
        </w:rPr>
        <w:t xml:space="preserve">The fastest-growing AI programs by percentage are at smaller, newer entrants. Quinnipiac shows a 42.9% annual growth rate — but from a base of 60 students. Missouri State runs at 34.8% CAGR. These growth rates are impressive on paper but reflect programs that are still building rather than established revenue engines.</w:t>
      </w:r>
    </w:p>
    <w:p>
      <w:pPr>
        <w:spacing w:after="80" w:before="0"/>
      </w:pPr>
    </w:p>
    <w:p>
      <w:pPr>
        <w:pBdr>
          <w:left w:val="single" w:color="2E75B6" w:sz="14" w:space="14"/>
        </w:pBdr>
        <w:spacing w:after="200" w:before="200"/>
        <w:ind w:left="560" w:right="560"/>
      </w:pPr>
      <w:r>
        <w:rPr>
          <w:rFonts w:ascii="Arial" w:cs="Arial" w:eastAsia="Arial" w:hAnsi="Arial"/>
          <w:b/>
          <w:bCs/>
          <w:i/>
          <w:iCs/>
          <w:color w:val="2E75B6"/>
          <w:sz w:val="24"/>
          <w:szCs w:val="24"/>
        </w:rPr>
        <w:t xml:space="preserve">The schools charging the biggest AI premiums relative to their undergrad prices are not the ones with the strongest AI research reputations. That gap between brand and price is a risk worth watching.</w:t>
      </w:r>
    </w:p>
    <w:p>
      <w:r>
        <w:br w:type="page"/>
      </w:r>
    </w:p>
    <w:p>
      <w:pPr>
        <w:spacing w:after="160" w:before="480"/>
      </w:pPr>
      <w:r>
        <w:rPr>
          <w:rFonts w:ascii="Arial" w:cs="Arial" w:eastAsia="Arial" w:hAnsi="Arial"/>
          <w:b/>
          <w:bCs/>
          <w:color w:val="1A3557"/>
          <w:sz w:val="44"/>
          <w:szCs w:val="44"/>
        </w:rPr>
        <w:t xml:space="preserve">Section 3: Tuition Has Beaten Inflation at Nearly Every School</w:t>
      </w:r>
    </w:p>
    <w:p>
      <w:pPr>
        <w:spacing w:after="100" w:before="80"/>
      </w:pPr>
      <w:r>
        <w:rPr>
          <w:rFonts w:ascii="Arial" w:cs="Arial" w:eastAsia="Arial" w:hAnsi="Arial"/>
          <w:color w:val="4A4A4A"/>
          <w:sz w:val="22"/>
          <w:szCs w:val="22"/>
        </w:rPr>
        <w:t xml:space="preserve">Inflation is something most Americans feel in grocery stores and gas stations. But over the past decade, one of the most persistent drivers of above-inflation price increases has been college tuition — and the data from this study confirms it across nearly every school type.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+44.6%</w:t>
            </w:r>
          </w:p>
          <w:p>
            <w:pPr>
              <w:spacing w:after="30" w:before="0"/>
              <w:jc w:val="center"/>
            </w:pPr>
            <w:r>
              <w:rPr>
                <w:rFonts w:ascii="Arial" w:cs="Arial" w:eastAsia="Arial" w:hAnsi="Arial"/>
                <w:b/>
                <w:bCs/>
                <w:color w:val="2E75B6"/>
                <w:sz w:val="18"/>
                <w:szCs w:val="18"/>
              </w:rPr>
              <w:t xml:space="preserve">Public Tuition Growth</w:t>
            </w:r>
          </w:p>
          <w:p>
            <w:pPr>
              <w:spacing w:after="0" w:before="0"/>
              <w:jc w:val="center"/>
            </w:pPr>
            <w:r>
              <w:rPr>
                <w:rFonts w:ascii="Arial" w:cs="Arial" w:eastAsia="Arial" w:hAnsi="Arial"/>
                <w:i/>
                <w:iCs/>
                <w:color w:val="4A4A4A"/>
                <w:sz w:val="16"/>
                <w:szCs w:val="16"/>
              </w:rPr>
              <w:t xml:space="preserve">nominal increase 2012–2023</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+32.7%</w:t>
            </w:r>
          </w:p>
          <w:p>
            <w:pPr>
              <w:spacing w:after="30" w:before="0"/>
              <w:jc w:val="center"/>
            </w:pPr>
            <w:r>
              <w:rPr>
                <w:rFonts w:ascii="Arial" w:cs="Arial" w:eastAsia="Arial" w:hAnsi="Arial"/>
                <w:b/>
                <w:bCs/>
                <w:color w:val="2E75B6"/>
                <w:sz w:val="18"/>
                <w:szCs w:val="18"/>
              </w:rPr>
              <w:t xml:space="preserve">General Inflation</w:t>
            </w:r>
          </w:p>
          <w:p>
            <w:pPr>
              <w:spacing w:after="0" w:before="0"/>
              <w:jc w:val="center"/>
            </w:pPr>
            <w:r>
              <w:rPr>
                <w:rFonts w:ascii="Arial" w:cs="Arial" w:eastAsia="Arial" w:hAnsi="Arial"/>
                <w:i/>
                <w:iCs/>
                <w:color w:val="4A4A4A"/>
                <w:sz w:val="16"/>
                <w:szCs w:val="16"/>
              </w:rPr>
              <w:t xml:space="preserve">CPI all-items, same period</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24 of 29</w:t>
            </w:r>
          </w:p>
          <w:p>
            <w:pPr>
              <w:spacing w:after="30" w:before="0"/>
              <w:jc w:val="center"/>
            </w:pPr>
            <w:r>
              <w:rPr>
                <w:rFonts w:ascii="Arial" w:cs="Arial" w:eastAsia="Arial" w:hAnsi="Arial"/>
                <w:b/>
                <w:bCs/>
                <w:color w:val="2E75B6"/>
                <w:sz w:val="18"/>
                <w:szCs w:val="18"/>
              </w:rPr>
              <w:t xml:space="preserve">Schools Beating CPI</w:t>
            </w:r>
          </w:p>
          <w:p>
            <w:pPr>
              <w:spacing w:after="0" w:before="0"/>
              <w:jc w:val="center"/>
            </w:pPr>
            <w:r>
              <w:rPr>
                <w:rFonts w:ascii="Arial" w:cs="Arial" w:eastAsia="Arial" w:hAnsi="Arial"/>
                <w:i/>
                <w:iCs/>
                <w:color w:val="4A4A4A"/>
                <w:sz w:val="16"/>
                <w:szCs w:val="16"/>
              </w:rPr>
              <w:t xml:space="preserve">in real inflation-adjusted terms</w:t>
            </w:r>
          </w:p>
        </w:tc>
        <w:tc>
          <w:tcPr>
            <w:tcW w:type="dxa" w:w="2200"/>
            <w:tcBorders>
              <w:top w:val="none" w:color="FFFFFF" w:sz="0"/>
              <w:left w:val="none" w:color="FFFFFF" w:sz="0"/>
              <w:bottom w:val="none" w:color="FFFFFF" w:sz="0"/>
              <w:right w:val="none" w:color="FFFFFF" w:sz="0"/>
            </w:tcBorders>
            <w:shd w:fill="D6E8F7" w:val="clear"/>
            <w:tcMar>
              <w:top w:type="dxa" w:w="160"/>
              <w:left w:type="dxa" w:w="160"/>
              <w:bottom w:type="dxa" w:w="160"/>
              <w:right w:type="dxa" w:w="160"/>
            </w:tcMar>
          </w:tcPr>
          <w:p>
            <w:pPr>
              <w:spacing w:after="40" w:before="0"/>
              <w:jc w:val="center"/>
            </w:pPr>
            <w:r>
              <w:rPr>
                <w:rFonts w:ascii="Arial" w:cs="Arial" w:eastAsia="Arial" w:hAnsi="Arial"/>
                <w:b/>
                <w:bCs/>
                <w:color w:val="1A3557"/>
                <w:sz w:val="52"/>
                <w:szCs w:val="52"/>
              </w:rPr>
              <w:t xml:space="preserve">144.6</w:t>
            </w:r>
          </w:p>
          <w:p>
            <w:pPr>
              <w:spacing w:after="30" w:before="0"/>
              <w:jc w:val="center"/>
            </w:pPr>
            <w:r>
              <w:rPr>
                <w:rFonts w:ascii="Arial" w:cs="Arial" w:eastAsia="Arial" w:hAnsi="Arial"/>
                <w:b/>
                <w:bCs/>
                <w:color w:val="2E75B6"/>
                <w:sz w:val="18"/>
                <w:szCs w:val="18"/>
              </w:rPr>
              <w:t xml:space="preserve">Tuition Index</w:t>
            </w:r>
          </w:p>
          <w:p>
            <w:pPr>
              <w:spacing w:after="0" w:before="0"/>
              <w:jc w:val="center"/>
            </w:pPr>
            <w:r>
              <w:rPr>
                <w:rFonts w:ascii="Arial" w:cs="Arial" w:eastAsia="Arial" w:hAnsi="Arial"/>
                <w:i/>
                <w:iCs/>
                <w:color w:val="4A4A4A"/>
                <w:sz w:val="16"/>
                <w:szCs w:val="16"/>
              </w:rPr>
              <w:t xml:space="preserve">2012 = 100 baseline</w:t>
            </w:r>
          </w:p>
        </w:tc>
      </w:tr>
    </w:tbl>
    <w:p>
      <w:pPr>
        <w:spacing w:after="160" w:before="0"/>
      </w:pPr>
    </w:p>
    <w:p>
      <w:pPr>
        <w:pBdr>
          <w:bottom w:val="single" w:color="2E75B6" w:sz="6" w:space="6"/>
        </w:pBdr>
        <w:spacing w:after="120" w:before="360"/>
      </w:pPr>
      <w:r>
        <w:rPr>
          <w:rFonts w:ascii="Arial" w:cs="Arial" w:eastAsia="Arial" w:hAnsi="Arial"/>
          <w:b/>
          <w:bCs/>
          <w:color w:val="2E75B6"/>
          <w:sz w:val="30"/>
          <w:szCs w:val="30"/>
        </w:rPr>
        <w:t xml:space="preserve">Sticker Price vs. What Families Actually Pay</w:t>
      </w:r>
    </w:p>
    <w:p>
      <w:pPr>
        <w:spacing w:after="100" w:before="80"/>
      </w:pPr>
      <w:r>
        <w:rPr>
          <w:rFonts w:ascii="Arial" w:cs="Arial" w:eastAsia="Arial" w:hAnsi="Arial"/>
          <w:color w:val="4A4A4A"/>
          <w:sz w:val="22"/>
          <w:szCs w:val="22"/>
        </w:rPr>
        <w:t xml:space="preserve">There is a critical distinction that often gets lost in tuition discussions: the difference between published ("sticker") price and net price — what families actually pay after financial aid and scholarships are applied.</w:t>
      </w:r>
    </w:p>
    <w:p>
      <w:pPr>
        <w:spacing w:after="80" w:before="0"/>
      </w:pPr>
    </w:p>
    <w:p>
      <w:pPr>
        <w:spacing w:after="100" w:before="80"/>
      </w:pPr>
      <w:r>
        <w:rPr>
          <w:rFonts w:ascii="Arial" w:cs="Arial" w:eastAsia="Arial" w:hAnsi="Arial"/>
          <w:color w:val="4A4A4A"/>
          <w:sz w:val="22"/>
          <w:szCs w:val="22"/>
        </w:rPr>
        <w:t xml:space="preserve">For private universities, the gap between sticker and net can be enormous. A school might advertise $60,000 a year in tuition while the average student actually pays $30,000 after aid. This means raw tuition figures overstate the real cost burden for many students — but they also obscure how aggressively some schools are discounting to fill seats.</w:t>
      </w:r>
    </w:p>
    <w:p>
      <w:pPr>
        <w:spacing w:after="80" w:before="0"/>
      </w:pPr>
    </w:p>
    <w:p>
      <w:pPr>
        <w:spacing w:after="100" w:before="80"/>
      </w:pPr>
      <w:r>
        <w:rPr>
          <w:rFonts w:ascii="Arial" w:cs="Arial" w:eastAsia="Arial" w:hAnsi="Arial"/>
          <w:color w:val="4A4A4A"/>
          <w:sz w:val="22"/>
          <w:szCs w:val="22"/>
        </w:rPr>
        <w:t xml:space="preserve">One important pattern: upper-middle-income families ($75,000–$110,000 household income) tend to face the heaviest real burden. They earn too much to qualify for maximum need-based aid, but not enough to be indifferent to high sticker prices. This group is effectively subsidizing the financial aid packages that go to lower-income students.</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How Each School Type Raised Prices</w:t>
      </w:r>
    </w:p>
    <w:p>
      <w:pPr>
        <w:spacing w:after="100" w:before="80"/>
      </w:pPr>
      <w:r>
        <w:rPr>
          <w:rFonts w:ascii="Arial" w:cs="Arial" w:eastAsia="Arial" w:hAnsi="Arial"/>
          <w:color w:val="4A4A4A"/>
          <w:sz w:val="22"/>
          <w:szCs w:val="22"/>
        </w:rPr>
        <w:t xml:space="preserve">The data reveals clear patterns by archetype: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School Type</w:t>
            </w:r>
          </w:p>
        </w:tc>
        <w:tc>
          <w:tcPr>
            <w:tcW w:type="dxa" w:w="18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Nominal Increase</w:t>
            </w:r>
          </w:p>
        </w:tc>
        <w:tc>
          <w:tcPr>
            <w:tcW w:type="dxa" w:w="18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Real Increase</w:t>
            </w:r>
          </w:p>
        </w:tc>
        <w:tc>
          <w:tcPr>
            <w:tcW w:type="dxa" w:w="32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Plain English</w:t>
            </w:r>
          </w:p>
        </w:tc>
      </w:tr>
      <w:tr>
        <w:tc>
          <w:tcPr>
            <w:tcW w:type="dxa" w:w="2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Regional Value</w:t>
            </w:r>
          </w:p>
        </w:tc>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~+54%</w:t>
            </w:r>
          </w:p>
        </w:tc>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+16%</w:t>
            </w:r>
          </w:p>
        </w:tc>
        <w:tc>
          <w:tcPr>
            <w:tcW w:type="dxa" w:w="32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Raised prices fastest in real terms — straining their core affordability pitch.</w:t>
            </w:r>
          </w:p>
        </w:tc>
      </w:tr>
      <w:tr>
        <w:tc>
          <w:tcPr>
            <w:tcW w:type="dxa" w:w="25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Expansion Player</w:t>
            </w:r>
          </w:p>
        </w:tc>
        <w:tc>
          <w:tcPr>
            <w:tcW w:type="dxa" w:w="18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~+46%</w:t>
            </w:r>
          </w:p>
        </w:tc>
        <w:tc>
          <w:tcPr>
            <w:tcW w:type="dxa" w:w="18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w:t>
            </w:r>
          </w:p>
        </w:tc>
        <w:tc>
          <w:tcPr>
            <w:tcW w:type="dxa" w:w="32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Consistent, above-inflation increases across the board.</w:t>
            </w:r>
          </w:p>
        </w:tc>
      </w:tr>
      <w:tr>
        <w:tc>
          <w:tcPr>
            <w:tcW w:type="dxa" w:w="25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Prestige Fortress (public)</w:t>
            </w:r>
          </w:p>
        </w:tc>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~+31%</w:t>
            </w:r>
          </w:p>
        </w:tc>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-1.1%</w:t>
            </w:r>
          </w:p>
        </w:tc>
        <w:tc>
          <w:tcPr>
            <w:tcW w:type="dxa" w:w="32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Actually fell slightly below inflation-adjusted prices — the most restrained group.</w:t>
            </w:r>
          </w:p>
        </w:tc>
      </w:tr>
    </w:tbl>
    <w:p>
      <w:pPr>
        <w:spacing w:after="120" w:before="60"/>
      </w:pPr>
      <w:r>
        <w:rPr>
          <w:rFonts w:ascii="Arial" w:cs="Arial" w:eastAsia="Arial" w:hAnsi="Arial"/>
          <w:i/>
          <w:iCs/>
          <w:color w:val="888888"/>
          <w:sz w:val="18"/>
          <w:szCs w:val="18"/>
        </w:rPr>
        <w:t xml:space="preserve">Real increase = nominal tuition growth minus CPI inflation (32.7%) over the same period.</w:t>
      </w:r>
    </w:p>
    <w:p>
      <w:pPr>
        <w:spacing w:after="100" w:before="0"/>
      </w:pPr>
    </w:p>
    <w:p>
      <w:pPr>
        <w:pBdr>
          <w:left w:val="single" w:color="2E75B6" w:sz="14" w:space="14"/>
        </w:pBdr>
        <w:spacing w:after="200" w:before="200"/>
        <w:ind w:left="560" w:right="560"/>
      </w:pPr>
      <w:r>
        <w:rPr>
          <w:rFonts w:ascii="Arial" w:cs="Arial" w:eastAsia="Arial" w:hAnsi="Arial"/>
          <w:b/>
          <w:bCs/>
          <w:i/>
          <w:iCs/>
          <w:color w:val="2E75B6"/>
          <w:sz w:val="24"/>
          <w:szCs w:val="24"/>
        </w:rPr>
        <w:t xml:space="preserve">The schools that market themselves on affordability — Regional Value institutions — raised tuition fastest in inflation-adjusted terms. The elite public flagships were the most restrained pricers of all.</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Specific Schools: Winners and Laggards on Pricing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300"/>
        <w:gridCol w:w="1300"/>
        <w:gridCol w:w="1200"/>
        <w:gridCol w:w="1400"/>
      </w:tblGrid>
      <w:tr>
        <w:tc>
          <w:tcPr>
            <w:tcW w:type="dxa" w:w="24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University</w:t>
            </w:r>
          </w:p>
        </w:tc>
        <w:tc>
          <w:tcPr>
            <w:tcW w:type="dxa" w:w="17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13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2012 Tuition</w:t>
            </w:r>
          </w:p>
        </w:tc>
        <w:tc>
          <w:tcPr>
            <w:tcW w:type="dxa" w:w="13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2023 Tuition</w:t>
            </w:r>
          </w:p>
        </w:tc>
        <w:tc>
          <w:tcPr>
            <w:tcW w:type="dxa" w:w="12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Nominal Δ</w:t>
            </w:r>
          </w:p>
        </w:tc>
        <w:tc>
          <w:tcPr>
            <w:tcW w:type="dxa" w:w="14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Real Δ</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Utah State</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Regional Value</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$9,779</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$15,055</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+54%</w:t>
            </w:r>
          </w:p>
        </w:tc>
        <w:tc>
          <w:tcPr>
            <w:tcW w:type="dxa" w:w="1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+16%</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Missouri State</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Regional Value</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$7,669</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$11,807</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+54%</w:t>
            </w:r>
          </w:p>
        </w:tc>
        <w:tc>
          <w:tcPr>
            <w:tcW w:type="dxa" w:w="1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+16%</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Oregon</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Regional Value</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$10,317</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$15,882</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+54%</w:t>
            </w:r>
          </w:p>
        </w:tc>
        <w:tc>
          <w:tcPr>
            <w:tcW w:type="dxa" w:w="1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+16%</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Georgia Tech</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$12,164</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$17,759</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+46%</w:t>
            </w:r>
          </w:p>
        </w:tc>
        <w:tc>
          <w:tcPr>
            <w:tcW w:type="dxa" w:w="1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UT Austin</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$13,245</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$19,338</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+46%</w:t>
            </w:r>
          </w:p>
        </w:tc>
        <w:tc>
          <w:tcPr>
            <w:tcW w:type="dxa" w:w="1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+10%</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ASU</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Expansion Player</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$12,638</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$18,451</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+46%</w:t>
            </w:r>
          </w:p>
        </w:tc>
        <w:tc>
          <w:tcPr>
            <w:tcW w:type="dxa" w:w="1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UCLA</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$13,454</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$17,653</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+31%</w:t>
            </w:r>
          </w:p>
        </w:tc>
        <w:tc>
          <w:tcPr>
            <w:tcW w:type="dxa" w:w="1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-1.1%</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UC Berkeley</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$15,301</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$20,077</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+31%</w:t>
            </w:r>
          </w:p>
        </w:tc>
        <w:tc>
          <w:tcPr>
            <w:tcW w:type="dxa" w:w="1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-1.1%</w:t>
            </w:r>
          </w:p>
        </w:tc>
      </w:tr>
      <w:tr>
        <w:tc>
          <w:tcPr>
            <w:tcW w:type="dxa" w:w="2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UVA</w:t>
            </w:r>
          </w:p>
        </w:tc>
        <w:tc>
          <w:tcPr>
            <w:tcW w:type="dxa" w:w="1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$13,081</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$17,163</w:t>
            </w:r>
          </w:p>
        </w:tc>
        <w:tc>
          <w:tcPr>
            <w:tcW w:type="dxa" w:w="1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+31%</w:t>
            </w:r>
          </w:p>
        </w:tc>
        <w:tc>
          <w:tcPr>
            <w:tcW w:type="dxa" w:w="1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-1.1%</w:t>
            </w:r>
          </w:p>
        </w:tc>
      </w:tr>
      <w:tr>
        <w:tc>
          <w:tcPr>
            <w:tcW w:type="dxa" w:w="2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Michigan</w:t>
            </w:r>
          </w:p>
        </w:tc>
        <w:tc>
          <w:tcPr>
            <w:tcW w:type="dxa" w:w="17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$13,737</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$18,025</w:t>
            </w:r>
          </w:p>
        </w:tc>
        <w:tc>
          <w:tcPr>
            <w:tcW w:type="dxa" w:w="12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+31%</w:t>
            </w:r>
          </w:p>
        </w:tc>
        <w:tc>
          <w:tcPr>
            <w:tcW w:type="dxa" w:w="1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-1.1%</w:t>
            </w:r>
          </w:p>
        </w:tc>
      </w:tr>
    </w:tbl>
    <w:p>
      <w:pPr>
        <w:spacing w:after="120" w:before="60"/>
      </w:pPr>
      <w:r>
        <w:rPr>
          <w:rFonts w:ascii="Arial" w:cs="Arial" w:eastAsia="Arial" w:hAnsi="Arial"/>
          <w:i/>
          <w:iCs/>
          <w:color w:val="888888"/>
          <w:sz w:val="18"/>
          <w:szCs w:val="18"/>
        </w:rPr>
        <w:t xml:space="preserve">Figures shown are in-state published tuition. Real change adjusts for cumulative CPI of +32.7% from 2012 to 2023.</w:t>
      </w:r>
    </w:p>
    <w:p>
      <w:r>
        <w:br w:type="page"/>
      </w:r>
    </w:p>
    <w:p>
      <w:pPr>
        <w:spacing w:after="160" w:before="480"/>
      </w:pPr>
      <w:r>
        <w:rPr>
          <w:rFonts w:ascii="Arial" w:cs="Arial" w:eastAsia="Arial" w:hAnsi="Arial"/>
          <w:b/>
          <w:bCs/>
          <w:color w:val="1A3557"/>
          <w:sz w:val="44"/>
          <w:szCs w:val="44"/>
        </w:rPr>
        <w:t xml:space="preserve">Section 4: Who Is Financially Healthy — and Who Is Fragile</w:t>
      </w:r>
    </w:p>
    <w:p>
      <w:pPr>
        <w:spacing w:after="100" w:before="80"/>
      </w:pPr>
      <w:r>
        <w:rPr>
          <w:rFonts w:ascii="Arial" w:cs="Arial" w:eastAsia="Arial" w:hAnsi="Arial"/>
          <w:color w:val="4A4A4A"/>
          <w:sz w:val="22"/>
          <w:szCs w:val="22"/>
        </w:rPr>
        <w:t xml:space="preserve">If you were a credit analyst rating universities, what would you look at? CampusCapital builds a composite health score from four inputs: how dependent a school is on tuition revenue, how large its endowment is per student, how enrollment is trending, and how concentrated its revenue sources are. Scores run from 0 to 100.</w:t>
      </w:r>
    </w:p>
    <w:p>
      <w:pPr>
        <w:spacing w:after="80" w:before="0"/>
      </w:pPr>
    </w:p>
    <w:p>
      <w:pPr>
        <w:spacing w:after="100" w:before="80"/>
      </w:pPr>
      <w:r>
        <w:rPr>
          <w:rFonts w:ascii="Arial" w:cs="Arial" w:eastAsia="Arial" w:hAnsi="Arial"/>
          <w:color w:val="4A4A4A"/>
          <w:sz w:val="22"/>
          <w:szCs w:val="22"/>
        </w:rPr>
        <w:t xml:space="preserve">The results are stark. The 17 Prestige Fortress schools all score above 93. The bottom five schools — all Tuition Dependent — score between 43 and 59. No school currently crosses the threshold of three simultaneous risk flags, meaning no institution is officially "high-risk" by the composite measure. But several are closer to that line than their reputations might suggest.</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The Most Financially Resilient Schools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00"/>
        <w:gridCol w:w="1700"/>
        <w:gridCol w:w="820"/>
        <w:gridCol w:w="1300"/>
        <w:gridCol w:w="1560"/>
        <w:gridCol w:w="1720"/>
      </w:tblGrid>
      <w:tr>
        <w:tc>
          <w:tcPr>
            <w:tcW w:type="dxa" w:w="3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9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University</w:t>
            </w:r>
          </w:p>
        </w:tc>
        <w:tc>
          <w:tcPr>
            <w:tcW w:type="dxa" w:w="17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8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Score</w:t>
            </w:r>
          </w:p>
        </w:tc>
        <w:tc>
          <w:tcPr>
            <w:tcW w:type="dxa" w:w="13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Tuition Dep.</w:t>
            </w:r>
          </w:p>
        </w:tc>
        <w:tc>
          <w:tcPr>
            <w:tcW w:type="dxa" w:w="15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Endow./Student</w:t>
            </w:r>
          </w:p>
        </w:tc>
        <w:tc>
          <w:tcPr>
            <w:tcW w:type="dxa" w:w="17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Grad Earnings</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Stanford (CA)</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100</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15.6%</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$429,390</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$88,257</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Brown (RI)</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98.8</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16.8%</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$341,438</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$98,115</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UCLA (CA)</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98.3</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18.4%</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$432,506</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$96,238</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Columbia (NY)</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97.9</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18.3%</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$332,881</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$94,764</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UC Berkeley (CA)</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97.9</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17.8%</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$303,531</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$100,999</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6</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Michigan (MI)</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97.8</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17.7%</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$275,349</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$100,177</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7</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Princeton (NJ)</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97.7</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18.7%</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$344,090</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$99,272</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8</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MIT (MA)</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96.8</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19.6%</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$302,016</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$105,546</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UChicago (IL)</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96.0</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19.9%</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$216,662</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$100,611</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10</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Northwestern (IL)</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Prestige Fortress</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95.9</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20.4%</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$240,274</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$89,515</w:t>
            </w:r>
          </w:p>
        </w:tc>
      </w:tr>
    </w:tbl>
    <w:p>
      <w:pPr>
        <w:spacing w:after="120" w:before="60"/>
      </w:pPr>
      <w:r>
        <w:rPr>
          <w:rFonts w:ascii="Arial" w:cs="Arial" w:eastAsia="Arial" w:hAnsi="Arial"/>
          <w:i/>
          <w:iCs/>
          <w:color w:val="888888"/>
          <w:sz w:val="18"/>
          <w:szCs w:val="18"/>
        </w:rPr>
        <w:t xml:space="preserve">Endowment per student = total endowment ÷ total enrollment. Tuition Dep. = share of revenue from tuition. Grad Earnings = median income 10 years post-enrollment (College Scorecard).</w:t>
      </w:r>
    </w:p>
    <w:p>
      <w:pPr>
        <w:spacing w:after="100" w:before="0"/>
      </w:pPr>
    </w:p>
    <w:p>
      <w:pPr>
        <w:pBdr>
          <w:bottom w:val="single" w:color="2E75B6" w:sz="6" w:space="6"/>
        </w:pBdr>
        <w:spacing w:after="120" w:before="360"/>
      </w:pPr>
      <w:r>
        <w:rPr>
          <w:rFonts w:ascii="Arial" w:cs="Arial" w:eastAsia="Arial" w:hAnsi="Arial"/>
          <w:b/>
          <w:bCs/>
          <w:color w:val="2E75B6"/>
          <w:sz w:val="30"/>
          <w:szCs w:val="30"/>
        </w:rPr>
        <w:t xml:space="preserve">The Most Financially Fragile Schools</w:t>
      </w:r>
    </w:p>
    <w:p>
      <w:pPr>
        <w:spacing w:after="100" w:before="80"/>
      </w:pPr>
      <w:r>
        <w:rPr>
          <w:rFonts w:ascii="Arial" w:cs="Arial" w:eastAsia="Arial" w:hAnsi="Arial"/>
          <w:color w:val="4A4A4A"/>
          <w:sz w:val="22"/>
          <w:szCs w:val="22"/>
        </w:rPr>
        <w:t xml:space="preserve">At the other end of the spectrum are five schools that rely on tuition for the vast majority of their revenue, hold minimal financial reserves, and have enrolled relatively few students in the programs that might grow their revenue. These schools are not in immediate crisis — but they have very little cushion if enrollment falls.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00"/>
        <w:gridCol w:w="1700"/>
        <w:gridCol w:w="820"/>
        <w:gridCol w:w="1300"/>
        <w:gridCol w:w="1560"/>
        <w:gridCol w:w="1720"/>
      </w:tblGrid>
      <w:tr>
        <w:tc>
          <w:tcPr>
            <w:tcW w:type="dxa" w:w="3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19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University</w:t>
            </w:r>
          </w:p>
        </w:tc>
        <w:tc>
          <w:tcPr>
            <w:tcW w:type="dxa" w:w="17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8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Score</w:t>
            </w:r>
          </w:p>
        </w:tc>
        <w:tc>
          <w:tcPr>
            <w:tcW w:type="dxa" w:w="13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Tuition Dep.</w:t>
            </w:r>
          </w:p>
        </w:tc>
        <w:tc>
          <w:tcPr>
            <w:tcW w:type="dxa" w:w="15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Endow./Student</w:t>
            </w:r>
          </w:p>
        </w:tc>
        <w:tc>
          <w:tcPr>
            <w:tcW w:type="dxa" w:w="172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Grad Earnings</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45</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Seattle U (WA)</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59.4</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65.9%</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$8,734</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$50,371</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46</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Drexel (PA)</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55.6</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74.7%</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$9,011</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$58,292</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47</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Fordham (NY)</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53.5</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74.8%</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$6,926</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$50,337</w:t>
            </w:r>
          </w:p>
        </w:tc>
      </w:tr>
      <w:tr>
        <w:tc>
          <w:tcPr>
            <w:tcW w:type="dxa" w:w="3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48</w:t>
            </w:r>
          </w:p>
        </w:tc>
        <w:tc>
          <w:tcPr>
            <w:tcW w:type="dxa" w:w="19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Providence (RI)</w:t>
            </w:r>
          </w:p>
        </w:tc>
        <w:tc>
          <w:tcPr>
            <w:tcW w:type="dxa" w:w="17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8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52.3</w:t>
            </w:r>
          </w:p>
        </w:tc>
        <w:tc>
          <w:tcPr>
            <w:tcW w:type="dxa" w:w="13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80.3%</w:t>
            </w:r>
          </w:p>
        </w:tc>
        <w:tc>
          <w:tcPr>
            <w:tcW w:type="dxa" w:w="15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$9,701</w:t>
            </w:r>
          </w:p>
        </w:tc>
        <w:tc>
          <w:tcPr>
            <w:tcW w:type="dxa" w:w="172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$59,595</w:t>
            </w:r>
          </w:p>
        </w:tc>
      </w:tr>
      <w:tr>
        <w:tc>
          <w:tcPr>
            <w:tcW w:type="dxa" w:w="3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49</w:t>
            </w:r>
          </w:p>
        </w:tc>
        <w:tc>
          <w:tcPr>
            <w:tcW w:type="dxa" w:w="19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Quinnipiac (CT)</w:t>
            </w:r>
          </w:p>
        </w:tc>
        <w:tc>
          <w:tcPr>
            <w:tcW w:type="dxa" w:w="17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Tuition Dependent</w:t>
            </w:r>
          </w:p>
        </w:tc>
        <w:tc>
          <w:tcPr>
            <w:tcW w:type="dxa" w:w="8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43.3</w:t>
            </w:r>
          </w:p>
        </w:tc>
        <w:tc>
          <w:tcPr>
            <w:tcW w:type="dxa" w:w="13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94.1%</w:t>
            </w:r>
          </w:p>
        </w:tc>
        <w:tc>
          <w:tcPr>
            <w:tcW w:type="dxa" w:w="15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$5,046</w:t>
            </w:r>
          </w:p>
        </w:tc>
        <w:tc>
          <w:tcPr>
            <w:tcW w:type="dxa" w:w="172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$61,167</w:t>
            </w:r>
          </w:p>
        </w:tc>
      </w:tr>
    </w:tbl>
    <w:p>
      <w:pPr>
        <w:spacing w:after="120" w:before="60"/>
      </w:pPr>
      <w:r>
        <w:rPr>
          <w:rFonts w:ascii="Arial" w:cs="Arial" w:eastAsia="Arial" w:hAnsi="Arial"/>
          <w:i/>
          <w:iCs/>
          <w:color w:val="888888"/>
          <w:sz w:val="18"/>
          <w:szCs w:val="18"/>
        </w:rPr>
        <w:t xml:space="preserve">Quinnipiac's 94.1% tuition dependence rate is the highest in the dataset by a significant margin.</w:t>
      </w:r>
    </w:p>
    <w:p>
      <w:pPr>
        <w:spacing w:after="100" w:before="0"/>
      </w:pPr>
    </w:p>
    <w:p>
      <w:pPr>
        <w:pBdr>
          <w:left w:val="single" w:color="2E75B6" w:sz="14" w:space="14"/>
        </w:pBdr>
        <w:spacing w:after="200" w:before="200"/>
        <w:ind w:left="560" w:right="560"/>
      </w:pPr>
      <w:r>
        <w:rPr>
          <w:rFonts w:ascii="Arial" w:cs="Arial" w:eastAsia="Arial" w:hAnsi="Arial"/>
          <w:b/>
          <w:bCs/>
          <w:i/>
          <w:iCs/>
          <w:color w:val="2E75B6"/>
          <w:sz w:val="24"/>
          <w:szCs w:val="24"/>
        </w:rPr>
        <w:t xml:space="preserve">Quinnipiac ranks last: 94% tuition dependence, $5,046 endowment per student — and the fastest-growing AI program in the dataset at +42.9% annually. A high-stakes bet on AI revenue to fix a structural financial problem.</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The Widest Hidden Risk: International Students</w:t>
      </w:r>
    </w:p>
    <w:p>
      <w:pPr>
        <w:spacing w:after="100" w:before="80"/>
      </w:pPr>
      <w:r>
        <w:rPr>
          <w:rFonts w:ascii="Arial" w:cs="Arial" w:eastAsia="Arial" w:hAnsi="Arial"/>
          <w:color w:val="4A4A4A"/>
          <w:sz w:val="22"/>
          <w:szCs w:val="22"/>
        </w:rPr>
        <w:t xml:space="preserve">Of all the risk flags identified in the study, the most widespread is one that rarely makes headlines: 13 of 49 schools are flagged for heavy reliance on international student revenue. International students — particularly at the graduate level — often pay full tuition without financial aid, making them a highly profitable demographic for universities.</w:t>
      </w:r>
    </w:p>
    <w:p>
      <w:pPr>
        <w:spacing w:after="80" w:before="0"/>
      </w:pPr>
    </w:p>
    <w:p>
      <w:pPr>
        <w:spacing w:after="100" w:before="80"/>
      </w:pPr>
      <w:r>
        <w:rPr>
          <w:rFonts w:ascii="Arial" w:cs="Arial" w:eastAsia="Arial" w:hAnsi="Arial"/>
          <w:color w:val="4A4A4A"/>
          <w:sz w:val="22"/>
          <w:szCs w:val="22"/>
        </w:rPr>
        <w:t xml:space="preserve">Schools with the highest international enrollment shares include Columbia (26.5%), Dartmouth (26.5%), Harvard (29.8%), and UPenn (25.4%). Any significant policy shift — stricter visa rules, geopolitical friction with key sending countries, or economic changes abroad — could rapidly affect enrollment and revenue at these institutions.</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Risk Flags at a Glance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Risk Category</w:t>
            </w:r>
          </w:p>
        </w:tc>
        <w:tc>
          <w:tcPr>
            <w:tcW w:type="dxa" w:w="3960"/>
            <w:tcBorders>
              <w:top w:val="single" w:color="D0D7DE" w:sz="1"/>
              <w:left w:val="single" w:color="D0D7DE" w:sz="1"/>
              <w:bottom w:val="single" w:color="D0D7DE" w:sz="1"/>
              <w:right w:val="single" w:color="D0D7DE" w:sz="1"/>
            </w:tcBorders>
            <w:shd w:fill="1A3557" w:val="clear"/>
            <w:tcMar>
              <w:top w:type="dxa" w:w="100"/>
              <w:left w:type="dxa" w:w="120"/>
              <w:bottom w:type="dxa" w:w="100"/>
              <w:right w:type="dxa" w:w="120"/>
            </w:tcMar>
          </w:tcPr>
          <w:p>
            <w:r>
              <w:rPr>
                <w:rFonts w:ascii="Arial" w:cs="Arial" w:eastAsia="Arial" w:hAnsi="Arial"/>
                <w:b/>
                <w:bCs/>
                <w:color w:val="FFFFFF"/>
                <w:sz w:val="18"/>
                <w:szCs w:val="18"/>
              </w:rPr>
              <w:t xml:space="preserve">Number of Schools Flagged</w:t>
            </w:r>
          </w:p>
        </w:tc>
      </w:tr>
      <w:tr>
        <w:tc>
          <w:tcPr>
            <w:tcW w:type="dxa" w:w="5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Heavy reliance on international student revenue</w:t>
            </w:r>
          </w:p>
        </w:tc>
        <w:tc>
          <w:tcPr>
            <w:tcW w:type="dxa" w:w="39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13 schools</w:t>
            </w:r>
          </w:p>
        </w:tc>
      </w:tr>
      <w:tr>
        <w:tc>
          <w:tcPr>
            <w:tcW w:type="dxa" w:w="5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Aggressive tuition inflation (above-average real increases)</w:t>
            </w:r>
          </w:p>
        </w:tc>
        <w:tc>
          <w:tcPr>
            <w:tcW w:type="dxa" w:w="39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6 schools</w:t>
            </w:r>
          </w:p>
        </w:tc>
      </w:tr>
      <w:tr>
        <w:tc>
          <w:tcPr>
            <w:tcW w:type="dxa" w:w="54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4A4A4A"/>
                <w:sz w:val="18"/>
                <w:szCs w:val="18"/>
              </w:rPr>
              <w:t xml:space="preserve">High tuition dependence (&gt;65% of revenue from tuition)</w:t>
            </w:r>
          </w:p>
        </w:tc>
        <w:tc>
          <w:tcPr>
            <w:tcW w:type="dxa" w:w="39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val="false"/>
                <w:bCs w:val="false"/>
                <w:color w:val="4A4A4A"/>
                <w:sz w:val="18"/>
                <w:szCs w:val="18"/>
              </w:rPr>
              <w:t xml:space="preserve">5 schools</w:t>
            </w:r>
          </w:p>
        </w:tc>
      </w:tr>
      <w:tr>
        <w:tc>
          <w:tcPr>
            <w:tcW w:type="dxa" w:w="540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bCs/>
                <w:color w:val="4A4A4A"/>
                <w:sz w:val="18"/>
                <w:szCs w:val="18"/>
              </w:rPr>
              <w:t xml:space="preserve">Low endowment buffer (under $10,000 per student)</w:t>
            </w:r>
          </w:p>
        </w:tc>
        <w:tc>
          <w:tcPr>
            <w:tcW w:type="dxa" w:w="3960"/>
            <w:tcBorders>
              <w:top w:val="single" w:color="D0D7DE" w:sz="1"/>
              <w:left w:val="single" w:color="D0D7DE" w:sz="1"/>
              <w:bottom w:val="single" w:color="D0D7DE" w:sz="1"/>
              <w:right w:val="single" w:color="D0D7DE" w:sz="1"/>
            </w:tcBorders>
            <w:shd w:fill="F4F4F4" w:val="clear"/>
            <w:tcMar>
              <w:top w:type="dxa" w:w="70"/>
              <w:left w:type="dxa" w:w="120"/>
              <w:bottom w:type="dxa" w:w="70"/>
              <w:right w:type="dxa" w:w="120"/>
            </w:tcMar>
          </w:tcPr>
          <w:p>
            <w:r>
              <w:rPr>
                <w:rFonts w:ascii="Arial" w:cs="Arial" w:eastAsia="Arial" w:hAnsi="Arial"/>
                <w:b w:val="false"/>
                <w:bCs w:val="false"/>
                <w:color w:val="4A4A4A"/>
                <w:sz w:val="18"/>
                <w:szCs w:val="18"/>
              </w:rPr>
              <w:t xml:space="preserve">5 schools</w:t>
            </w:r>
          </w:p>
        </w:tc>
      </w:tr>
    </w:tbl>
    <w:p>
      <w:r>
        <w:br w:type="page"/>
      </w:r>
    </w:p>
    <w:p>
      <w:pPr>
        <w:spacing w:after="160" w:before="480"/>
      </w:pPr>
      <w:r>
        <w:rPr>
          <w:rFonts w:ascii="Arial" w:cs="Arial" w:eastAsia="Arial" w:hAnsi="Arial"/>
          <w:b/>
          <w:bCs/>
          <w:color w:val="1A3557"/>
          <w:sz w:val="44"/>
          <w:szCs w:val="44"/>
        </w:rPr>
        <w:t xml:space="preserve">What It All Means: Five Takeaways</w:t>
      </w:r>
    </w:p>
    <w:p>
      <w:pPr>
        <w:spacing w:after="80" w:before="0"/>
      </w:pPr>
    </w:p>
    <w:p>
      <w:pPr>
        <w:pBdr>
          <w:bottom w:val="single" w:color="2E75B6" w:sz="6" w:space="6"/>
        </w:pBdr>
        <w:spacing w:after="120" w:before="360"/>
      </w:pPr>
      <w:r>
        <w:rPr>
          <w:rFonts w:ascii="Arial" w:cs="Arial" w:eastAsia="Arial" w:hAnsi="Arial"/>
          <w:b/>
          <w:bCs/>
          <w:color w:val="2E75B6"/>
          <w:sz w:val="30"/>
          <w:szCs w:val="30"/>
        </w:rPr>
        <w:t xml:space="preserve">1. The CS Bubble Hasn't Burst — But It's Leaking</w:t>
      </w:r>
    </w:p>
    <w:p>
      <w:pPr>
        <w:spacing w:after="100" w:before="80"/>
      </w:pPr>
      <w:r>
        <w:rPr>
          <w:rFonts w:ascii="Arial" w:cs="Arial" w:eastAsia="Arial" w:hAnsi="Arial"/>
          <w:color w:val="4A4A4A"/>
          <w:sz w:val="22"/>
          <w:szCs w:val="22"/>
        </w:rPr>
        <w:t xml:space="preserve">A 6% decline from peak sounds manageable. But the schools that expanded fastest are seeing the largest reversals, and those reversals are concentrated among the large public universities that trained the most graduates. If the tech labor market doesn't recover robustly, some of these schools will need to rethink the size of their CS operations.</w:t>
      </w:r>
    </w:p>
    <w:p>
      <w:pPr>
        <w:spacing w:after="120" w:before="0"/>
      </w:pPr>
    </w:p>
    <w:p>
      <w:pPr>
        <w:pBdr>
          <w:bottom w:val="single" w:color="2E75B6" w:sz="6" w:space="6"/>
        </w:pBdr>
        <w:spacing w:after="120" w:before="360"/>
      </w:pPr>
      <w:r>
        <w:rPr>
          <w:rFonts w:ascii="Arial" w:cs="Arial" w:eastAsia="Arial" w:hAnsi="Arial"/>
          <w:b/>
          <w:bCs/>
          <w:color w:val="2E75B6"/>
          <w:sz w:val="30"/>
          <w:szCs w:val="30"/>
        </w:rPr>
        <w:t xml:space="preserve">2. AI Programs Are a Revenue Strategy Disguised as an Academic One</w:t>
      </w:r>
    </w:p>
    <w:p>
      <w:pPr>
        <w:spacing w:after="100" w:before="80"/>
      </w:pPr>
      <w:r>
        <w:rPr>
          <w:rFonts w:ascii="Arial" w:cs="Arial" w:eastAsia="Arial" w:hAnsi="Arial"/>
          <w:color w:val="4A4A4A"/>
          <w:sz w:val="22"/>
          <w:szCs w:val="22"/>
        </w:rPr>
        <w:t xml:space="preserve">There is nothing wrong with universities offering AI programs — the field is important and demand is real. But the pricing tells a revealing story. The schools charging the highest premiums are often not the ones with the strongest AI research reputations. For Tuition Dependent schools in particular, AI programs look less like academic investments and more like financial rescue strategies. Whether students get adequate value at $90,000+ per year remains an open question.</w:t>
      </w:r>
    </w:p>
    <w:p>
      <w:pPr>
        <w:spacing w:after="120" w:before="0"/>
      </w:pPr>
    </w:p>
    <w:p>
      <w:pPr>
        <w:pBdr>
          <w:bottom w:val="single" w:color="2E75B6" w:sz="6" w:space="6"/>
        </w:pBdr>
        <w:spacing w:after="120" w:before="360"/>
      </w:pPr>
      <w:r>
        <w:rPr>
          <w:rFonts w:ascii="Arial" w:cs="Arial" w:eastAsia="Arial" w:hAnsi="Arial"/>
          <w:b/>
          <w:bCs/>
          <w:color w:val="2E75B6"/>
          <w:sz w:val="30"/>
          <w:szCs w:val="30"/>
        </w:rPr>
        <w:t xml:space="preserve">3. The "Affordable" Schools Are Raising Prices Fastest</w:t>
      </w:r>
    </w:p>
    <w:p>
      <w:pPr>
        <w:spacing w:after="100" w:before="80"/>
      </w:pPr>
      <w:r>
        <w:rPr>
          <w:rFonts w:ascii="Arial" w:cs="Arial" w:eastAsia="Arial" w:hAnsi="Arial"/>
          <w:color w:val="4A4A4A"/>
          <w:sz w:val="22"/>
          <w:szCs w:val="22"/>
        </w:rPr>
        <w:t xml:space="preserve">Regional Value universities — the regional public schools that serve working and middle-class students — have raised tuition 16% in real, inflation-adjusted terms over the past decade. That is faster than elite schools, and faster than Expansion Players. For students who choose these schools precisely because of price, this trend quietly erodes the value proposition that defines the archetype.</w:t>
      </w:r>
    </w:p>
    <w:p>
      <w:pPr>
        <w:spacing w:after="120" w:before="0"/>
      </w:pPr>
    </w:p>
    <w:p>
      <w:pPr>
        <w:pBdr>
          <w:bottom w:val="single" w:color="2E75B6" w:sz="6" w:space="6"/>
        </w:pBdr>
        <w:spacing w:after="120" w:before="360"/>
      </w:pPr>
      <w:r>
        <w:rPr>
          <w:rFonts w:ascii="Arial" w:cs="Arial" w:eastAsia="Arial" w:hAnsi="Arial"/>
          <w:b/>
          <w:bCs/>
          <w:color w:val="2E75B6"/>
          <w:sz w:val="30"/>
          <w:szCs w:val="30"/>
        </w:rPr>
        <w:t xml:space="preserve">4. Elite Schools Are More Resilient Than the Data Needs to Confirm</w:t>
      </w:r>
    </w:p>
    <w:p>
      <w:pPr>
        <w:spacing w:after="100" w:before="80"/>
      </w:pPr>
      <w:r>
        <w:rPr>
          <w:rFonts w:ascii="Arial" w:cs="Arial" w:eastAsia="Arial" w:hAnsi="Arial"/>
          <w:color w:val="4A4A4A"/>
          <w:sz w:val="22"/>
          <w:szCs w:val="22"/>
        </w:rPr>
        <w:t xml:space="preserve">Stanford, MIT, Harvard and their peers sit at the top of every financial metric in this study. Low tuition dependence. Massive endowments. Strong enrollment demand. This insulation is structural — it doesn't depend on any single program or market trend. These schools could absorb significant shocks that would be devastating to schools lower in the ranking.</w:t>
      </w:r>
    </w:p>
    <w:p>
      <w:pPr>
        <w:spacing w:after="120" w:before="0"/>
      </w:pPr>
    </w:p>
    <w:p>
      <w:pPr>
        <w:pBdr>
          <w:bottom w:val="single" w:color="2E75B6" w:sz="6" w:space="6"/>
        </w:pBdr>
        <w:spacing w:after="120" w:before="360"/>
      </w:pPr>
      <w:r>
        <w:rPr>
          <w:rFonts w:ascii="Arial" w:cs="Arial" w:eastAsia="Arial" w:hAnsi="Arial"/>
          <w:b/>
          <w:bCs/>
          <w:color w:val="2E75B6"/>
          <w:sz w:val="30"/>
          <w:szCs w:val="30"/>
        </w:rPr>
        <w:t xml:space="preserve">5. The International Student Risk Is Real and Underappreciated</w:t>
      </w:r>
    </w:p>
    <w:p>
      <w:pPr>
        <w:spacing w:after="100" w:before="80"/>
      </w:pPr>
      <w:r>
        <w:rPr>
          <w:rFonts w:ascii="Arial" w:cs="Arial" w:eastAsia="Arial" w:hAnsi="Arial"/>
          <w:color w:val="4A4A4A"/>
          <w:sz w:val="22"/>
          <w:szCs w:val="22"/>
        </w:rPr>
        <w:t xml:space="preserve">Of all the risks in the dataset, international revenue concentration is the most widespread and the least discussed. Thirteen schools carry this flag. Given the current policy environment around student visas and ongoing geopolitical uncertainty with major student-sending countries, any institution deriving a large share of revenue from international graduate tuition should be treating this as a first-order financial risk.</w:t>
      </w:r>
    </w:p>
    <w:p>
      <w:pPr>
        <w:spacing w:after="160" w:before="0"/>
      </w:pPr>
    </w:p>
    <w:p>
      <w:pPr>
        <w:pBdr>
          <w:bottom w:val="single" w:color="D0D7DE" w:sz="4" w:space="1"/>
        </w:pBdr>
        <w:spacing w:after="240" w:before="240"/>
      </w:pPr>
    </w:p>
    <w:p>
      <w:pPr>
        <w:spacing w:after="80" w:before="200"/>
        <w:jc w:val="center"/>
      </w:pPr>
      <w:r>
        <w:rPr>
          <w:rFonts w:ascii="Arial" w:cs="Arial" w:eastAsia="Arial" w:hAnsi="Arial"/>
          <w:i/>
          <w:iCs/>
          <w:color w:val="888888"/>
          <w:sz w:val="18"/>
          <w:szCs w:val="18"/>
        </w:rPr>
        <w:t xml:space="preserve">CampusCapital — campuscapital-app.vercel.app</w:t>
      </w:r>
    </w:p>
    <w:p>
      <w:pPr>
        <w:spacing w:after="0" w:before="0"/>
        <w:jc w:val="center"/>
      </w:pPr>
      <w:r>
        <w:rPr>
          <w:rFonts w:ascii="Arial" w:cs="Arial" w:eastAsia="Arial" w:hAnsi="Arial"/>
          <w:i/>
          <w:iCs/>
          <w:color w:val="888888"/>
          <w:sz w:val="18"/>
          <w:szCs w:val="18"/>
        </w:rPr>
        <w:t xml:space="preserve">Data sources: IPEDS, College Scorecard, Bureau of Labor Statistics OEWS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557"/>
      <w:sz w:val="44"/>
      <w:szCs w:val="44"/>
    </w:rPr>
  </w:style>
  <w:style w:type="paragraph" w:styleId="Heading2">
    <w:name w:val="Heading 2"/>
    <w:basedOn w:val="Normal"/>
    <w:next w:val="Normal"/>
    <w:qFormat/>
    <w:pPr>
      <w:spacing w:after="120" w:before="36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2026-05-08T20:00:59.623Z</dcterms:created>
  <dcterms:modified xsi:type="dcterms:W3CDTF">2026-05-08T20:00:59.623Z</dcterms:modified>
</cp:coreProperties>
</file>

<file path=docProps/custom.xml><?xml version="1.0" encoding="utf-8"?>
<Properties xmlns="http://schemas.openxmlformats.org/officeDocument/2006/custom-properties" xmlns:vt="http://schemas.openxmlformats.org/officeDocument/2006/docPropsVTypes"/>
</file>