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Details of the MRI sequence and diffusion data analyzed:</w:t>
      </w:r>
    </w:p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-MRI is carried out on a 3 Tesla MR scanner (Tim-TRIO, Siemens Medical Systems, Erlangen, Germany)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</w:r>
      <w:r>
        <w:rPr>
          <w:rFonts w:eastAsia="DejaVu Sans" w:cs="DejaVu Sans" w:ascii="Arial" w:hAnsi="Arial"/>
          <w:b w:val="false"/>
          <w:bCs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-DTI (30 directions) EPI, TR = 7.8 s, TE = 83 ms, 4 b0-images (interleaved), 30 images with b = 1000 s/mm 2 , voxel resolution = 2 × 2 × 2 mm 3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Running the PSMD pipeline: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 xml:space="preserve">-Tensor fitting was done using dtifit on preprocessed 30 directions dwi data </w:t>
      </w:r>
      <w:r>
        <w:rPr>
          <w:rFonts w:ascii="Arial" w:hAnsi="Arial"/>
          <w:i w:val="false"/>
          <w:caps w:val="false"/>
          <w:smallCaps w:val="false"/>
          <w:sz w:val="20"/>
        </w:rPr>
        <w:t>described above</w:t>
      </w:r>
      <w:r>
        <w:rPr>
          <w:rFonts w:ascii="Arial" w:hAnsi="Arial"/>
          <w:i w:val="false"/>
          <w:caps w:val="false"/>
          <w:smallCaps w:val="false"/>
          <w:sz w:val="20"/>
        </w:rPr>
        <w:t>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-Symbolic links were created to the MD, FA, AD, RD native maps in order for them to be compatible inputs to the supplied PSMD scripts.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-An in house parallelization script was used to parallelize the execution of MAIN_script_PSMD.sh over the subject pool.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QC of PSMD pipeline results: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-Checked if all subjects have masked images with FA skeleton.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-Checked if the dimensions of the TOTAL_METRICS_Skel_header.csv file match the number of subjects and all parameters computed.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-QC of FA maps produced by tbss_preproc1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-QC of FA maps after non-linear registration to standard space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-Randomly assessed skeleton superpositions on spatially normalized DTI metric maps with MD maps as  example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</w:r>
      <w:r>
        <w:rPr>
          <w:rFonts w:ascii="Arial" w:hAnsi="Arial"/>
          <w:i w:val="false"/>
          <w:caps w:val="false"/>
          <w:smallCaps w:val="false"/>
          <w:sz w:val="20"/>
        </w:rPr>
        <w:t>-Identified outlier subjects by plotting linear regression lines of metrics against age.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</w:r>
      <w:r>
        <w:rPr>
          <w:rFonts w:ascii="Arial" w:hAnsi="Arial"/>
          <w:i w:val="false"/>
          <w:caps w:val="false"/>
          <w:smallCaps w:val="false"/>
          <w:sz w:val="20"/>
        </w:rPr>
        <w:t>-Based on the above QC methods, subjects with defective images were removed from the final result list.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Calculation of ICV: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-Was performed using fslstats (FSL 5.0.9)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-please see psmd_seg_vols.csv for Age,Sex, and ICV data.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14089</TotalTime>
  <Application>LibreOffice/5.2.7.2$Linux_X86_64 LibreOffice_project/20m0$Build-2</Application>
  <Pages>1</Pages>
  <Words>229</Words>
  <Characters>1188</Characters>
  <CharactersWithSpaces>1414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2018-04-03T16:13:35Z</dcterms:created>
  <dc:creator/>
  <dc:description/>
  <dc:language>en-US</dc:language>
  <cp:lastModifiedBy/>
  <dcterms:modified xsi:type="dcterms:W3CDTF">2018-05-09T11:38:37Z</dcterms:modified>
  <cp:revision>13</cp:revision>
  <dc:subject/>
  <dc:title/>
</cp:coreProperties>
</file>