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6A" w14:textId="77777777" w:rsidR="00E67591" w:rsidRDefault="00E67591" w:rsidP="00E67591">
      <w:pPr>
        <w:rPr>
          <w:b/>
          <w:bCs/>
          <w:sz w:val="36"/>
          <w:szCs w:val="36"/>
        </w:rPr>
      </w:pPr>
      <w:r w:rsidRPr="001243F3">
        <w:rPr>
          <w:b/>
          <w:bCs/>
          <w:sz w:val="36"/>
          <w:szCs w:val="36"/>
        </w:rPr>
        <w:t>MISCONCEPTIONS, POTENTIAL TRAPS, AND PRACTICE TIPS FOR THE 2021 CHANGES TO THE TEXAS LIEN LAWS</w:t>
      </w:r>
    </w:p>
    <w:p w14:paraId="29537223" w14:textId="77777777" w:rsidR="00E67591" w:rsidRDefault="00E67591" w:rsidP="00E67591">
      <w:pPr>
        <w:rPr>
          <w:b/>
          <w:bCs/>
          <w:sz w:val="36"/>
          <w:szCs w:val="36"/>
        </w:rPr>
      </w:pPr>
    </w:p>
    <w:p w14:paraId="014E6449" w14:textId="77777777" w:rsidR="00E67591" w:rsidRDefault="00E67591" w:rsidP="00E67591">
      <w:r w:rsidRPr="001243F3">
        <w:rPr>
          <w:b/>
          <w:bCs/>
          <w:sz w:val="36"/>
          <w:szCs w:val="36"/>
        </w:rPr>
        <w:t xml:space="preserve"> </w:t>
      </w:r>
      <w:r>
        <w:t xml:space="preserve">In 2021, the Texas Legislature modified the mechanic's and materialmen's lien statute in significant ways.' While the modifications resolved certain problems, other potential issues were created by the changes. Here, we discuss new issues created, potential unforeseen traps, and key practice tips—many of which have not been addressed by other discussions about the 2021 Legislation. I. BACKGROUND First, some important background about the lien statutes: as many are aware, the Texas Constitution grants certain contractors in direct privity with the owner a lien for construction activities on buildings and articles made or repaired by such contractors.4 The drafters of the Texas Constitution included a commandment to the Legislature to draft laws necessary for the enforcement of what is referred to as the "Constitutional Lien."' More than a century ago, the Legislature took that mandate one step further and created laws that also established the lien rights of lower-tier contractors and vendors, generally on privately-owned projects. The current embodiment of that effort can be found in Texas Property Code Chapter 53.6 The Texas Constitutional Lien provides an automatic and potentially limitless lien against the owner's property (i.e., to the extent of the work provided) in favor of the contractor in direct privity with the owner. A careful study of Chapter 53 of the Texas Property Code' provides a similar potentially limitless lien (i.e., to the extent of the work provided) against the owner's property for those in direct privity with the owner, provided certain minimal procedural requirements are met. Given the owner and its direct contractor are in direct privity with each other, it is not a stretch of contract law to permit a payment claim to extend to and be secured by the land and/or improvements that are being constructed. </w:t>
      </w:r>
      <w:r w:rsidRPr="001243F3">
        <w:rPr>
          <w:highlight w:val="yellow"/>
        </w:rPr>
        <w:t xml:space="preserve">However, for subcontractors and suppliers, the situation is different. Consider that subcontractors and suppliers have no direct privity with the owner. Accordingly, there are generally no direct obligations arising under contract law—or other theories, such as quantum meruit or unjust enrichment—in which the subcontractor or supplier can look to the owner for payment.' </w:t>
      </w:r>
      <w:r w:rsidRPr="001243F3">
        <w:rPr>
          <w:highlight w:val="green"/>
        </w:rPr>
        <w:t>Unless the subcontractor can prove a Trust Fund Act violation by the owner,' then a subcontractor who has not perfected its</w:t>
      </w:r>
      <w:r>
        <w:t xml:space="preserve"> lien claim generally has no viable cause of action against the owner. With this conceptual legal framework in mind, when one examines Texas Property Code Chapter 53, one discovers the statute reflects a "deal" has been struck between the owner's interests, the contractor's interests, and the </w:t>
      </w:r>
      <w:proofErr w:type="spellStart"/>
      <w:r>
        <w:t>lowertiered</w:t>
      </w:r>
      <w:proofErr w:type="spellEnd"/>
      <w:r>
        <w:t xml:space="preserve"> subcontractor without direct privity to the owner. As with all laws, there should be a balancing of the equities between all of the potentially affected parties. "The Deal</w:t>
      </w:r>
    </w:p>
    <w:p w14:paraId="4507BB53" w14:textId="77777777" w:rsidR="00E35E00" w:rsidRDefault="00E35E00" w:rsidP="00E67591"/>
    <w:p w14:paraId="217BB865" w14:textId="77777777" w:rsidR="00E35E00" w:rsidRDefault="00E35E00" w:rsidP="00E67591"/>
    <w:p w14:paraId="02F48B00" w14:textId="77777777" w:rsidR="00E35E00" w:rsidRDefault="00E35E00" w:rsidP="00E67591"/>
    <w:p w14:paraId="49148CA7" w14:textId="77777777" w:rsidR="00E35E00" w:rsidRPr="00E35E00" w:rsidRDefault="00E35E00" w:rsidP="00E35E00">
      <w:pPr>
        <w:shd w:val="clear" w:color="auto" w:fill="FFFFFF"/>
        <w:spacing w:before="300" w:after="150" w:line="240" w:lineRule="auto"/>
        <w:outlineLvl w:val="0"/>
        <w:rPr>
          <w:rFonts w:ascii="Verdana" w:eastAsia="Times New Roman" w:hAnsi="Verdana" w:cs="Times New Roman"/>
          <w:color w:val="333333"/>
          <w:spacing w:val="-11"/>
          <w:kern w:val="36"/>
          <w:sz w:val="54"/>
          <w:szCs w:val="54"/>
          <w14:ligatures w14:val="none"/>
        </w:rPr>
      </w:pPr>
      <w:r w:rsidRPr="00E35E00">
        <w:rPr>
          <w:rFonts w:ascii="Verdana" w:eastAsia="Times New Roman" w:hAnsi="Verdana" w:cs="Times New Roman"/>
          <w:color w:val="333333"/>
          <w:spacing w:val="-11"/>
          <w:kern w:val="36"/>
          <w:sz w:val="54"/>
          <w:szCs w:val="54"/>
          <w14:ligatures w14:val="none"/>
        </w:rPr>
        <w:t>10 U.S. Code § 921 - Art. 121. Larceny and wrongful appropriation</w:t>
      </w:r>
    </w:p>
    <w:p w14:paraId="3464B0D2" w14:textId="77777777" w:rsidR="00E35E00" w:rsidRPr="00E35E00" w:rsidRDefault="00E35E00" w:rsidP="00E35E00">
      <w:pPr>
        <w:numPr>
          <w:ilvl w:val="0"/>
          <w:numId w:val="1"/>
        </w:numPr>
        <w:pBdr>
          <w:bottom w:val="single" w:sz="24" w:space="0" w:color="F3565D"/>
        </w:pBdr>
        <w:shd w:val="clear" w:color="auto" w:fill="FFFFFF"/>
        <w:spacing w:before="100" w:beforeAutospacing="1" w:after="0" w:line="240" w:lineRule="auto"/>
        <w:ind w:right="30"/>
        <w:rPr>
          <w:rFonts w:ascii="Open Sans" w:eastAsia="Times New Roman" w:hAnsi="Open Sans" w:cs="Open Sans"/>
          <w:color w:val="333333"/>
          <w:kern w:val="0"/>
          <w14:ligatures w14:val="none"/>
        </w:rPr>
      </w:pPr>
      <w:hyperlink r:id="rId5" w:anchor="tab_default_1" w:history="1">
        <w:r w:rsidRPr="00E35E00">
          <w:rPr>
            <w:rFonts w:ascii="Open Sans" w:eastAsia="Times New Roman" w:hAnsi="Open Sans" w:cs="Open Sans"/>
            <w:color w:val="001C72"/>
            <w:kern w:val="0"/>
            <w:u w:val="single"/>
            <w:bdr w:val="none" w:sz="0" w:space="0" w:color="auto" w:frame="1"/>
            <w:shd w:val="clear" w:color="auto" w:fill="FFFFFF"/>
            <w14:ligatures w14:val="none"/>
          </w:rPr>
          <w:t>U.S. Code</w:t>
        </w:r>
      </w:hyperlink>
    </w:p>
    <w:p w14:paraId="15E02D13" w14:textId="77777777" w:rsidR="00E35E00" w:rsidRPr="00E35E00" w:rsidRDefault="00E35E00" w:rsidP="00E35E00">
      <w:pPr>
        <w:numPr>
          <w:ilvl w:val="0"/>
          <w:numId w:val="1"/>
        </w:numPr>
        <w:shd w:val="clear" w:color="auto" w:fill="FFFFFF"/>
        <w:spacing w:before="100" w:beforeAutospacing="1" w:after="0" w:line="240" w:lineRule="auto"/>
        <w:ind w:right="30"/>
        <w:rPr>
          <w:rFonts w:ascii="Open Sans" w:eastAsia="Times New Roman" w:hAnsi="Open Sans" w:cs="Open Sans"/>
          <w:color w:val="333333"/>
          <w:kern w:val="0"/>
          <w14:ligatures w14:val="none"/>
        </w:rPr>
      </w:pPr>
      <w:hyperlink r:id="rId6" w:anchor="tab_default_2" w:history="1">
        <w:r w:rsidRPr="00E35E00">
          <w:rPr>
            <w:rFonts w:ascii="Open Sans" w:eastAsia="Times New Roman" w:hAnsi="Open Sans" w:cs="Open Sans"/>
            <w:color w:val="001C72"/>
            <w:kern w:val="0"/>
            <w:u w:val="single"/>
            <w:bdr w:val="none" w:sz="0" w:space="0" w:color="auto" w:frame="1"/>
            <w14:ligatures w14:val="none"/>
          </w:rPr>
          <w:t>Notes</w:t>
        </w:r>
      </w:hyperlink>
    </w:p>
    <w:p w14:paraId="542E0200" w14:textId="77777777" w:rsidR="00E35E00" w:rsidRPr="00E35E00" w:rsidRDefault="00E35E00" w:rsidP="00E35E00">
      <w:pPr>
        <w:shd w:val="clear" w:color="auto" w:fill="FFFFFF"/>
        <w:spacing w:after="0" w:line="240" w:lineRule="auto"/>
        <w:jc w:val="right"/>
        <w:rPr>
          <w:rFonts w:ascii="Open Sans" w:eastAsia="Times New Roman" w:hAnsi="Open Sans" w:cs="Open Sans"/>
          <w:color w:val="333333"/>
          <w:kern w:val="0"/>
          <w14:ligatures w14:val="none"/>
        </w:rPr>
      </w:pPr>
      <w:hyperlink r:id="rId7" w:tooltip=" Art. 120c. Other sexual misconduct" w:history="1">
        <w:proofErr w:type="spellStart"/>
        <w:r w:rsidRPr="00E35E00">
          <w:rPr>
            <w:rFonts w:ascii="Open Sans" w:eastAsia="Times New Roman" w:hAnsi="Open Sans" w:cs="Open Sans"/>
            <w:color w:val="001C72"/>
            <w:kern w:val="0"/>
            <w:u w:val="single"/>
            <w14:ligatures w14:val="none"/>
          </w:rPr>
          <w:t>prev</w:t>
        </w:r>
        <w:proofErr w:type="spellEnd"/>
      </w:hyperlink>
      <w:r w:rsidRPr="00E35E00">
        <w:rPr>
          <w:rFonts w:ascii="Open Sans" w:eastAsia="Times New Roman" w:hAnsi="Open Sans" w:cs="Open Sans"/>
          <w:color w:val="333333"/>
          <w:kern w:val="0"/>
          <w14:ligatures w14:val="none"/>
        </w:rPr>
        <w:t> | </w:t>
      </w:r>
      <w:hyperlink r:id="rId8" w:tooltip=" Art. 121a. Fraudulent use of credit cards, debit cards, and other access devices" w:history="1">
        <w:r w:rsidRPr="00E35E00">
          <w:rPr>
            <w:rFonts w:ascii="Open Sans" w:eastAsia="Times New Roman" w:hAnsi="Open Sans" w:cs="Open Sans"/>
            <w:color w:val="001C72"/>
            <w:kern w:val="0"/>
            <w:u w:val="single"/>
            <w14:ligatures w14:val="none"/>
          </w:rPr>
          <w:t>next</w:t>
        </w:r>
      </w:hyperlink>
    </w:p>
    <w:p w14:paraId="040F9A83"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bookmarkStart w:id="0" w:name="a"/>
      <w:bookmarkEnd w:id="0"/>
      <w:r w:rsidRPr="00E35E00">
        <w:rPr>
          <w:rFonts w:ascii="Verdana" w:eastAsia="Times New Roman" w:hAnsi="Verdana" w:cs="Open Sans"/>
          <w:b/>
          <w:bCs/>
          <w:color w:val="333333"/>
          <w:kern w:val="0"/>
          <w14:ligatures w14:val="none"/>
        </w:rPr>
        <w:t>(a)</w:t>
      </w:r>
      <w:r w:rsidRPr="00E35E00">
        <w:rPr>
          <w:rFonts w:ascii="Open Sans" w:eastAsia="Times New Roman" w:hAnsi="Open Sans" w:cs="Open Sans"/>
          <w:color w:val="333333"/>
          <w:kern w:val="0"/>
          <w:highlight w:val="green"/>
          <w14:ligatures w14:val="none"/>
        </w:rPr>
        <w:t>Any person subject to this chapter who wrongfully takes, obtains, or withholds, by any means, from the possession of the owner or of any other person any money, personal property, or article of value of any kind—</w:t>
      </w:r>
    </w:p>
    <w:p w14:paraId="65A74544"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bookmarkStart w:id="1" w:name="a_1"/>
      <w:bookmarkEnd w:id="1"/>
      <w:r w:rsidRPr="00E35E00">
        <w:rPr>
          <w:rFonts w:ascii="Verdana" w:eastAsia="Times New Roman" w:hAnsi="Verdana" w:cs="Open Sans"/>
          <w:b/>
          <w:bCs/>
          <w:color w:val="333333"/>
          <w:kern w:val="0"/>
          <w14:ligatures w14:val="none"/>
        </w:rPr>
        <w:t>(1)</w:t>
      </w:r>
    </w:p>
    <w:p w14:paraId="5D192BF3"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r w:rsidRPr="00E35E00">
        <w:rPr>
          <w:rFonts w:ascii="Open Sans" w:eastAsia="Times New Roman" w:hAnsi="Open Sans" w:cs="Open Sans"/>
          <w:color w:val="333333"/>
          <w:kern w:val="0"/>
          <w14:ligatures w14:val="none"/>
        </w:rPr>
        <w:t>with intent permanently to deprive or defraud another person of the use and benefit of property or to appropriate it to his own use or the use of any person other than the owner, steals that property and is guilty of larceny; or</w:t>
      </w:r>
    </w:p>
    <w:p w14:paraId="29B7F8D9"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bookmarkStart w:id="2" w:name="a_2"/>
      <w:bookmarkEnd w:id="2"/>
      <w:r w:rsidRPr="00E35E00">
        <w:rPr>
          <w:rFonts w:ascii="Verdana" w:eastAsia="Times New Roman" w:hAnsi="Verdana" w:cs="Open Sans"/>
          <w:b/>
          <w:bCs/>
          <w:color w:val="333333"/>
          <w:kern w:val="0"/>
          <w14:ligatures w14:val="none"/>
        </w:rPr>
        <w:t>(2)</w:t>
      </w:r>
    </w:p>
    <w:p w14:paraId="11D26212"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r w:rsidRPr="00E35E00">
        <w:rPr>
          <w:rFonts w:ascii="Open Sans" w:eastAsia="Times New Roman" w:hAnsi="Open Sans" w:cs="Open Sans"/>
          <w:color w:val="333333"/>
          <w:kern w:val="0"/>
          <w14:ligatures w14:val="none"/>
        </w:rPr>
        <w:t>with intent temporarily to deprive or defraud another person of the use and benefit of property or to appropriate it to his own use or the use of any person other than the owner, is guilty of wrongful appropriation.</w:t>
      </w:r>
    </w:p>
    <w:p w14:paraId="4F08F9B8"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bookmarkStart w:id="3" w:name="b"/>
      <w:bookmarkEnd w:id="3"/>
      <w:r w:rsidRPr="00E35E00">
        <w:rPr>
          <w:rFonts w:ascii="Verdana" w:eastAsia="Times New Roman" w:hAnsi="Verdana" w:cs="Open Sans"/>
          <w:b/>
          <w:bCs/>
          <w:color w:val="333333"/>
          <w:kern w:val="0"/>
          <w14:ligatures w14:val="none"/>
        </w:rPr>
        <w:t>(b)</w:t>
      </w:r>
    </w:p>
    <w:p w14:paraId="2660F5FD"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r w:rsidRPr="00E35E00">
        <w:rPr>
          <w:rFonts w:ascii="Open Sans" w:eastAsia="Times New Roman" w:hAnsi="Open Sans" w:cs="Open Sans"/>
          <w:color w:val="333333"/>
          <w:kern w:val="0"/>
          <w14:ligatures w14:val="none"/>
        </w:rPr>
        <w:t>Any person found guilty of larceny or wrongful appropriation shall be punished as a court-martial may direct.</w:t>
      </w:r>
    </w:p>
    <w:p w14:paraId="70C9C532" w14:textId="77777777" w:rsidR="00E35E00" w:rsidRPr="00E35E00" w:rsidRDefault="00E35E00" w:rsidP="00E35E00">
      <w:pPr>
        <w:shd w:val="clear" w:color="auto" w:fill="FFFFFF"/>
        <w:spacing w:after="0" w:line="240" w:lineRule="auto"/>
        <w:rPr>
          <w:rFonts w:ascii="Open Sans" w:eastAsia="Times New Roman" w:hAnsi="Open Sans" w:cs="Open Sans"/>
          <w:color w:val="333333"/>
          <w:kern w:val="0"/>
          <w14:ligatures w14:val="none"/>
        </w:rPr>
      </w:pPr>
      <w:r w:rsidRPr="00E35E00">
        <w:rPr>
          <w:rFonts w:ascii="Open Sans" w:eastAsia="Times New Roman" w:hAnsi="Open Sans" w:cs="Open Sans"/>
          <w:color w:val="333333"/>
          <w:kern w:val="0"/>
          <w14:ligatures w14:val="none"/>
        </w:rPr>
        <w:t xml:space="preserve">(Aug. 10, 1956, </w:t>
      </w:r>
      <w:proofErr w:type="spellStart"/>
      <w:r w:rsidRPr="00E35E00">
        <w:rPr>
          <w:rFonts w:ascii="Open Sans" w:eastAsia="Times New Roman" w:hAnsi="Open Sans" w:cs="Open Sans"/>
          <w:color w:val="333333"/>
          <w:kern w:val="0"/>
          <w14:ligatures w14:val="none"/>
        </w:rPr>
        <w:t>ch.</w:t>
      </w:r>
      <w:proofErr w:type="spellEnd"/>
      <w:r w:rsidRPr="00E35E00">
        <w:rPr>
          <w:rFonts w:ascii="Open Sans" w:eastAsia="Times New Roman" w:hAnsi="Open Sans" w:cs="Open Sans"/>
          <w:color w:val="333333"/>
          <w:kern w:val="0"/>
          <w14:ligatures w14:val="none"/>
        </w:rPr>
        <w:t xml:space="preserve"> 1041, </w:t>
      </w:r>
      <w:hyperlink r:id="rId9" w:history="1">
        <w:r w:rsidRPr="00E35E00">
          <w:rPr>
            <w:rFonts w:ascii="Open Sans" w:eastAsia="Times New Roman" w:hAnsi="Open Sans" w:cs="Open Sans"/>
            <w:color w:val="001C72"/>
            <w:kern w:val="0"/>
            <w:u w:val="single"/>
            <w14:ligatures w14:val="none"/>
          </w:rPr>
          <w:t>70A Stat. 73</w:t>
        </w:r>
      </w:hyperlink>
      <w:r w:rsidRPr="00E35E00">
        <w:rPr>
          <w:rFonts w:ascii="Open Sans" w:eastAsia="Times New Roman" w:hAnsi="Open Sans" w:cs="Open Sans"/>
          <w:color w:val="333333"/>
          <w:kern w:val="0"/>
          <w14:ligatures w14:val="none"/>
        </w:rPr>
        <w:t>.)</w:t>
      </w:r>
    </w:p>
    <w:p w14:paraId="307A315D" w14:textId="77777777" w:rsidR="00E35E00" w:rsidRDefault="00E35E00" w:rsidP="00E67591"/>
    <w:p w14:paraId="43A2407C" w14:textId="77777777" w:rsidR="00E35E00" w:rsidRDefault="00E35E00" w:rsidP="00E67591"/>
    <w:p w14:paraId="02F942C9" w14:textId="77777777" w:rsidR="00E67591" w:rsidRDefault="00E67591"/>
    <w:sectPr w:rsidR="00E675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E7C9A"/>
    <w:multiLevelType w:val="multilevel"/>
    <w:tmpl w:val="C69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91"/>
    <w:rsid w:val="00695B34"/>
    <w:rsid w:val="00E35E00"/>
    <w:rsid w:val="00E67591"/>
    <w:rsid w:val="00F1404B"/>
    <w:rsid w:val="00F90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2F57"/>
  <w15:chartTrackingRefBased/>
  <w15:docId w15:val="{07D7AAFD-0CCF-4E7F-A3D9-229790DC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591"/>
  </w:style>
  <w:style w:type="paragraph" w:styleId="Heading1">
    <w:name w:val="heading 1"/>
    <w:basedOn w:val="Normal"/>
    <w:next w:val="Normal"/>
    <w:link w:val="Heading1Char"/>
    <w:uiPriority w:val="9"/>
    <w:qFormat/>
    <w:rsid w:val="00E67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91"/>
    <w:rPr>
      <w:rFonts w:eastAsiaTheme="majorEastAsia" w:cstheme="majorBidi"/>
      <w:color w:val="272727" w:themeColor="text1" w:themeTint="D8"/>
    </w:rPr>
  </w:style>
  <w:style w:type="paragraph" w:styleId="Title">
    <w:name w:val="Title"/>
    <w:basedOn w:val="Normal"/>
    <w:next w:val="Normal"/>
    <w:link w:val="TitleChar"/>
    <w:uiPriority w:val="10"/>
    <w:qFormat/>
    <w:rsid w:val="00E67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91"/>
    <w:pPr>
      <w:spacing w:before="160"/>
      <w:jc w:val="center"/>
    </w:pPr>
    <w:rPr>
      <w:i/>
      <w:iCs/>
      <w:color w:val="404040" w:themeColor="text1" w:themeTint="BF"/>
    </w:rPr>
  </w:style>
  <w:style w:type="character" w:customStyle="1" w:styleId="QuoteChar">
    <w:name w:val="Quote Char"/>
    <w:basedOn w:val="DefaultParagraphFont"/>
    <w:link w:val="Quote"/>
    <w:uiPriority w:val="29"/>
    <w:rsid w:val="00E67591"/>
    <w:rPr>
      <w:i/>
      <w:iCs/>
      <w:color w:val="404040" w:themeColor="text1" w:themeTint="BF"/>
    </w:rPr>
  </w:style>
  <w:style w:type="paragraph" w:styleId="ListParagraph">
    <w:name w:val="List Paragraph"/>
    <w:basedOn w:val="Normal"/>
    <w:uiPriority w:val="34"/>
    <w:qFormat/>
    <w:rsid w:val="00E67591"/>
    <w:pPr>
      <w:ind w:left="720"/>
      <w:contextualSpacing/>
    </w:pPr>
  </w:style>
  <w:style w:type="character" w:styleId="IntenseEmphasis">
    <w:name w:val="Intense Emphasis"/>
    <w:basedOn w:val="DefaultParagraphFont"/>
    <w:uiPriority w:val="21"/>
    <w:qFormat/>
    <w:rsid w:val="00E67591"/>
    <w:rPr>
      <w:i/>
      <w:iCs/>
      <w:color w:val="2F5496" w:themeColor="accent1" w:themeShade="BF"/>
    </w:rPr>
  </w:style>
  <w:style w:type="paragraph" w:styleId="IntenseQuote">
    <w:name w:val="Intense Quote"/>
    <w:basedOn w:val="Normal"/>
    <w:next w:val="Normal"/>
    <w:link w:val="IntenseQuoteChar"/>
    <w:uiPriority w:val="30"/>
    <w:qFormat/>
    <w:rsid w:val="00E67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591"/>
    <w:rPr>
      <w:i/>
      <w:iCs/>
      <w:color w:val="2F5496" w:themeColor="accent1" w:themeShade="BF"/>
    </w:rPr>
  </w:style>
  <w:style w:type="character" w:styleId="IntenseReference">
    <w:name w:val="Intense Reference"/>
    <w:basedOn w:val="DefaultParagraphFont"/>
    <w:uiPriority w:val="32"/>
    <w:qFormat/>
    <w:rsid w:val="00E67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uscode/text/10/921a" TargetMode="External"/><Relationship Id="rId3" Type="http://schemas.openxmlformats.org/officeDocument/2006/relationships/settings" Target="settings.xml"/><Relationship Id="rId7" Type="http://schemas.openxmlformats.org/officeDocument/2006/relationships/hyperlink" Target="https://www.law.cornell.edu/uscode/text/10/920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uscode/text/10/921" TargetMode="External"/><Relationship Id="rId11" Type="http://schemas.openxmlformats.org/officeDocument/2006/relationships/theme" Target="theme/theme1.xml"/><Relationship Id="rId5" Type="http://schemas.openxmlformats.org/officeDocument/2006/relationships/hyperlink" Target="https://www.law.cornell.edu/uscode/text/10/92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cornell.edu/rio/citation/70A_Stat._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614</Words>
  <Characters>3725</Characters>
  <Application>Microsoft Office Word</Application>
  <DocSecurity>0</DocSecurity>
  <Lines>82</Lines>
  <Paragraphs>59</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Neftali Arroyo</dc:creator>
  <cp:keywords/>
  <dc:description/>
  <cp:lastModifiedBy>Hal Emalfarb</cp:lastModifiedBy>
  <cp:revision>2</cp:revision>
  <dcterms:created xsi:type="dcterms:W3CDTF">2025-10-25T20:44:00Z</dcterms:created>
  <dcterms:modified xsi:type="dcterms:W3CDTF">2025-10-25T20:44:00Z</dcterms:modified>
</cp:coreProperties>
</file>