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3E50" w14:textId="77777777" w:rsidR="000E4132" w:rsidRDefault="000E4132" w:rsidP="000E4132">
      <w:pPr>
        <w:spacing w:after="0"/>
      </w:pPr>
      <w:r>
        <w:t xml:space="preserve">1. </w:t>
      </w:r>
      <w:proofErr w:type="spellStart"/>
      <w:r>
        <w:t>Profitability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498900D6" w14:textId="77777777" w:rsidR="000E4132" w:rsidRPr="000E4132" w:rsidRDefault="000E4132" w:rsidP="000E4132">
      <w:pPr>
        <w:spacing w:after="0"/>
        <w:rPr>
          <w:b/>
          <w:bCs/>
        </w:rPr>
      </w:pPr>
      <w:r>
        <w:t xml:space="preserve">   •   </w:t>
      </w:r>
      <w:r w:rsidRPr="000E4132">
        <w:rPr>
          <w:b/>
          <w:bCs/>
        </w:rPr>
        <w:t xml:space="preserve">Return on </w:t>
      </w:r>
      <w:proofErr w:type="spellStart"/>
      <w:r w:rsidRPr="000E4132">
        <w:rPr>
          <w:b/>
          <w:bCs/>
        </w:rPr>
        <w:t>Investment</w:t>
      </w:r>
      <w:proofErr w:type="spellEnd"/>
      <w:r w:rsidRPr="000E4132">
        <w:rPr>
          <w:b/>
          <w:bCs/>
        </w:rPr>
        <w:t xml:space="preserve"> (ROI): </w:t>
      </w:r>
      <w:proofErr w:type="spellStart"/>
      <w:r w:rsidRPr="000E4132">
        <w:rPr>
          <w:b/>
          <w:bCs/>
        </w:rPr>
        <w:t>Measures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the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percentage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gain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or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loss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relative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to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the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initial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investment</w:t>
      </w:r>
      <w:proofErr w:type="spellEnd"/>
      <w:r w:rsidRPr="000E4132">
        <w:rPr>
          <w:b/>
          <w:bCs/>
        </w:rPr>
        <w:t>.</w:t>
      </w:r>
    </w:p>
    <w:p w14:paraId="27F1E8BC" w14:textId="77777777" w:rsidR="000E4132" w:rsidRPr="000E4132" w:rsidRDefault="000E4132" w:rsidP="000E4132">
      <w:pPr>
        <w:spacing w:after="0"/>
        <w:rPr>
          <w:b/>
          <w:bCs/>
        </w:rPr>
      </w:pPr>
      <w:r w:rsidRPr="000E4132">
        <w:rPr>
          <w:b/>
          <w:bCs/>
        </w:rPr>
        <w:t xml:space="preserve">   •   Net Profit: </w:t>
      </w:r>
      <w:proofErr w:type="spellStart"/>
      <w:r w:rsidRPr="000E4132">
        <w:rPr>
          <w:b/>
          <w:bCs/>
        </w:rPr>
        <w:t>The</w:t>
      </w:r>
      <w:proofErr w:type="spellEnd"/>
      <w:r w:rsidRPr="000E4132">
        <w:rPr>
          <w:b/>
          <w:bCs/>
        </w:rPr>
        <w:t xml:space="preserve"> total </w:t>
      </w:r>
      <w:proofErr w:type="spellStart"/>
      <w:r w:rsidRPr="000E4132">
        <w:rPr>
          <w:b/>
          <w:bCs/>
        </w:rPr>
        <w:t>profit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from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trading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after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deducting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transaction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costs</w:t>
      </w:r>
      <w:proofErr w:type="spellEnd"/>
      <w:r w:rsidRPr="000E4132">
        <w:rPr>
          <w:b/>
          <w:bCs/>
        </w:rPr>
        <w:t xml:space="preserve">, </w:t>
      </w:r>
      <w:proofErr w:type="spellStart"/>
      <w:r w:rsidRPr="000E4132">
        <w:rPr>
          <w:b/>
          <w:bCs/>
        </w:rPr>
        <w:t>fees</w:t>
      </w:r>
      <w:proofErr w:type="spellEnd"/>
      <w:r w:rsidRPr="000E4132">
        <w:rPr>
          <w:b/>
          <w:bCs/>
        </w:rPr>
        <w:t xml:space="preserve">, </w:t>
      </w:r>
      <w:proofErr w:type="spellStart"/>
      <w:r w:rsidRPr="000E4132">
        <w:rPr>
          <w:b/>
          <w:bCs/>
        </w:rPr>
        <w:t>and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other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expenses</w:t>
      </w:r>
      <w:proofErr w:type="spellEnd"/>
      <w:r w:rsidRPr="000E4132">
        <w:rPr>
          <w:b/>
          <w:bCs/>
        </w:rPr>
        <w:t>.</w:t>
      </w:r>
    </w:p>
    <w:p w14:paraId="067A49B8" w14:textId="77777777" w:rsidR="000E4132" w:rsidRPr="000E4132" w:rsidRDefault="000E4132" w:rsidP="000E4132">
      <w:pPr>
        <w:spacing w:after="0"/>
        <w:rPr>
          <w:b/>
          <w:bCs/>
        </w:rPr>
      </w:pPr>
      <w:r w:rsidRPr="000E4132">
        <w:rPr>
          <w:b/>
          <w:bCs/>
        </w:rPr>
        <w:t xml:space="preserve">   •   Win Rate (</w:t>
      </w:r>
      <w:proofErr w:type="spellStart"/>
      <w:r w:rsidRPr="000E4132">
        <w:rPr>
          <w:b/>
          <w:bCs/>
        </w:rPr>
        <w:t>Accuracy</w:t>
      </w:r>
      <w:proofErr w:type="spellEnd"/>
      <w:r w:rsidRPr="000E4132">
        <w:rPr>
          <w:b/>
          <w:bCs/>
        </w:rPr>
        <w:t xml:space="preserve">): </w:t>
      </w:r>
      <w:proofErr w:type="spellStart"/>
      <w:r w:rsidRPr="000E4132">
        <w:rPr>
          <w:b/>
          <w:bCs/>
        </w:rPr>
        <w:t>The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percentage</w:t>
      </w:r>
      <w:proofErr w:type="spellEnd"/>
      <w:r w:rsidRPr="000E4132">
        <w:rPr>
          <w:b/>
          <w:bCs/>
        </w:rPr>
        <w:t xml:space="preserve"> of </w:t>
      </w:r>
      <w:proofErr w:type="spellStart"/>
      <w:r w:rsidRPr="000E4132">
        <w:rPr>
          <w:b/>
          <w:bCs/>
        </w:rPr>
        <w:t>trades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that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are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profitable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out</w:t>
      </w:r>
      <w:proofErr w:type="spellEnd"/>
      <w:r w:rsidRPr="000E4132">
        <w:rPr>
          <w:b/>
          <w:bCs/>
        </w:rPr>
        <w:t xml:space="preserve"> of </w:t>
      </w:r>
      <w:proofErr w:type="spellStart"/>
      <w:r w:rsidRPr="000E4132">
        <w:rPr>
          <w:b/>
          <w:bCs/>
        </w:rPr>
        <w:t>the</w:t>
      </w:r>
      <w:proofErr w:type="spellEnd"/>
      <w:r w:rsidRPr="000E4132">
        <w:rPr>
          <w:b/>
          <w:bCs/>
        </w:rPr>
        <w:t xml:space="preserve"> total </w:t>
      </w:r>
      <w:proofErr w:type="spellStart"/>
      <w:r w:rsidRPr="000E4132">
        <w:rPr>
          <w:b/>
          <w:bCs/>
        </w:rPr>
        <w:t>number</w:t>
      </w:r>
      <w:proofErr w:type="spellEnd"/>
      <w:r w:rsidRPr="000E4132">
        <w:rPr>
          <w:b/>
          <w:bCs/>
        </w:rPr>
        <w:t xml:space="preserve"> of </w:t>
      </w:r>
      <w:proofErr w:type="spellStart"/>
      <w:r w:rsidRPr="000E4132">
        <w:rPr>
          <w:b/>
          <w:bCs/>
        </w:rPr>
        <w:t>trades</w:t>
      </w:r>
      <w:proofErr w:type="spellEnd"/>
      <w:r w:rsidRPr="000E4132">
        <w:rPr>
          <w:b/>
          <w:bCs/>
        </w:rPr>
        <w:t>.</w:t>
      </w:r>
    </w:p>
    <w:p w14:paraId="1C6ACE05" w14:textId="77777777" w:rsidR="000E4132" w:rsidRDefault="000E4132" w:rsidP="000E4132">
      <w:pPr>
        <w:spacing w:after="0"/>
      </w:pPr>
      <w:r>
        <w:t xml:space="preserve">   •   Profit </w:t>
      </w:r>
      <w:proofErr w:type="spellStart"/>
      <w:r>
        <w:t>Factor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a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of 1.5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1.5 </w:t>
      </w:r>
      <w:proofErr w:type="spellStart"/>
      <w:r>
        <w:t>units</w:t>
      </w:r>
      <w:proofErr w:type="spellEnd"/>
      <w:r>
        <w:t xml:space="preserve"> of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1 </w:t>
      </w:r>
      <w:proofErr w:type="spellStart"/>
      <w:r>
        <w:t>unit</w:t>
      </w:r>
      <w:proofErr w:type="spellEnd"/>
      <w:r>
        <w:t xml:space="preserve"> of </w:t>
      </w:r>
      <w:proofErr w:type="spellStart"/>
      <w:r>
        <w:t>loss</w:t>
      </w:r>
      <w:proofErr w:type="spellEnd"/>
      <w:r>
        <w:t>).</w:t>
      </w:r>
    </w:p>
    <w:p w14:paraId="486E55CE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Sharpe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: A </w:t>
      </w:r>
      <w:proofErr w:type="spellStart"/>
      <w:r>
        <w:t>measure</w:t>
      </w:r>
      <w:proofErr w:type="spellEnd"/>
      <w:r>
        <w:t xml:space="preserve"> of risk-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is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of risk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>).</w:t>
      </w:r>
    </w:p>
    <w:p w14:paraId="4BDE9E52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Sortino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: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Sharpe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penalizes</w:t>
      </w:r>
      <w:proofErr w:type="spellEnd"/>
      <w:r>
        <w:t xml:space="preserve"> </w:t>
      </w:r>
      <w:proofErr w:type="spellStart"/>
      <w:r>
        <w:t>downside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downside</w:t>
      </w:r>
      <w:proofErr w:type="spellEnd"/>
      <w:r>
        <w:t xml:space="preserve"> risk.</w:t>
      </w:r>
    </w:p>
    <w:p w14:paraId="366C8B81" w14:textId="77777777" w:rsidR="000E4132" w:rsidRDefault="000E4132" w:rsidP="000E4132">
      <w:pPr>
        <w:spacing w:after="0"/>
      </w:pPr>
    </w:p>
    <w:p w14:paraId="7D3093EC" w14:textId="77777777" w:rsidR="000E4132" w:rsidRDefault="000E4132" w:rsidP="000E4132">
      <w:pPr>
        <w:spacing w:after="0"/>
      </w:pPr>
      <w:r>
        <w:t xml:space="preserve">2. Risk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7FF888F6" w14:textId="77777777" w:rsidR="000E4132" w:rsidRDefault="000E4132" w:rsidP="000E4132">
      <w:pPr>
        <w:spacing w:after="0"/>
      </w:pPr>
      <w:r>
        <w:t xml:space="preserve">   •   Maximum </w:t>
      </w:r>
      <w:proofErr w:type="spellStart"/>
      <w:r>
        <w:t>Drawdown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trough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backtesting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</w:p>
    <w:p w14:paraId="7CAB3A1A" w14:textId="77777777" w:rsidR="000E4132" w:rsidRDefault="000E4132" w:rsidP="000E4132">
      <w:pPr>
        <w:spacing w:after="0"/>
      </w:pPr>
      <w:r>
        <w:t xml:space="preserve">   •   Value at Risk (</w:t>
      </w:r>
      <w:proofErr w:type="spellStart"/>
      <w:r>
        <w:t>VaR</w:t>
      </w:r>
      <w:proofErr w:type="spellEnd"/>
      <w:r>
        <w:t xml:space="preserve">):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)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time </w:t>
      </w:r>
      <w:proofErr w:type="spellStart"/>
      <w:r>
        <w:t>period</w:t>
      </w:r>
      <w:proofErr w:type="spellEnd"/>
      <w:r>
        <w:t>.</w:t>
      </w:r>
    </w:p>
    <w:p w14:paraId="4FE0F7A6" w14:textId="77777777" w:rsidR="000E4132" w:rsidRPr="000E4132" w:rsidRDefault="000E4132" w:rsidP="000E4132">
      <w:pPr>
        <w:spacing w:after="0"/>
        <w:rPr>
          <w:b/>
          <w:bCs/>
        </w:rPr>
      </w:pPr>
      <w:r>
        <w:t xml:space="preserve">   •   </w:t>
      </w:r>
      <w:r w:rsidRPr="000E4132">
        <w:rPr>
          <w:b/>
          <w:bCs/>
        </w:rPr>
        <w:t xml:space="preserve">Beta: </w:t>
      </w:r>
      <w:proofErr w:type="spellStart"/>
      <w:r w:rsidRPr="000E4132">
        <w:rPr>
          <w:b/>
          <w:bCs/>
        </w:rPr>
        <w:t>Measures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the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volatility</w:t>
      </w:r>
      <w:proofErr w:type="spellEnd"/>
      <w:r w:rsidRPr="000E4132">
        <w:rPr>
          <w:b/>
          <w:bCs/>
        </w:rPr>
        <w:t xml:space="preserve"> of </w:t>
      </w:r>
      <w:proofErr w:type="spellStart"/>
      <w:r w:rsidRPr="000E4132">
        <w:rPr>
          <w:b/>
          <w:bCs/>
        </w:rPr>
        <w:t>the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trading</w:t>
      </w:r>
      <w:proofErr w:type="spellEnd"/>
      <w:r w:rsidRPr="000E4132">
        <w:rPr>
          <w:b/>
          <w:bCs/>
        </w:rPr>
        <w:t xml:space="preserve"> model </w:t>
      </w:r>
      <w:proofErr w:type="spellStart"/>
      <w:r w:rsidRPr="000E4132">
        <w:rPr>
          <w:b/>
          <w:bCs/>
        </w:rPr>
        <w:t>relative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to</w:t>
      </w:r>
      <w:proofErr w:type="spellEnd"/>
      <w:r w:rsidRPr="000E4132">
        <w:rPr>
          <w:b/>
          <w:bCs/>
        </w:rPr>
        <w:t xml:space="preserve"> a </w:t>
      </w:r>
      <w:proofErr w:type="spellStart"/>
      <w:r w:rsidRPr="000E4132">
        <w:rPr>
          <w:b/>
          <w:bCs/>
        </w:rPr>
        <w:t>benchmark</w:t>
      </w:r>
      <w:proofErr w:type="spellEnd"/>
      <w:r w:rsidRPr="000E4132">
        <w:rPr>
          <w:b/>
          <w:bCs/>
        </w:rPr>
        <w:t xml:space="preserve">, </w:t>
      </w:r>
      <w:proofErr w:type="spellStart"/>
      <w:r w:rsidRPr="000E4132">
        <w:rPr>
          <w:b/>
          <w:bCs/>
        </w:rPr>
        <w:t>like</w:t>
      </w:r>
      <w:proofErr w:type="spellEnd"/>
      <w:r w:rsidRPr="000E4132">
        <w:rPr>
          <w:b/>
          <w:bCs/>
        </w:rPr>
        <w:t xml:space="preserve"> </w:t>
      </w:r>
      <w:proofErr w:type="spellStart"/>
      <w:r w:rsidRPr="000E4132">
        <w:rPr>
          <w:b/>
          <w:bCs/>
        </w:rPr>
        <w:t>the</w:t>
      </w:r>
      <w:proofErr w:type="spellEnd"/>
      <w:r w:rsidRPr="000E4132">
        <w:rPr>
          <w:b/>
          <w:bCs/>
        </w:rPr>
        <w:t xml:space="preserve"> market </w:t>
      </w:r>
      <w:proofErr w:type="spellStart"/>
      <w:r w:rsidRPr="000E4132">
        <w:rPr>
          <w:b/>
          <w:bCs/>
        </w:rPr>
        <w:t>index</w:t>
      </w:r>
      <w:proofErr w:type="spellEnd"/>
      <w:r w:rsidRPr="000E4132">
        <w:rPr>
          <w:b/>
          <w:bCs/>
        </w:rPr>
        <w:t>.</w:t>
      </w:r>
    </w:p>
    <w:p w14:paraId="04896D0E" w14:textId="77777777" w:rsidR="000E4132" w:rsidRDefault="000E4132" w:rsidP="000E4132">
      <w:pPr>
        <w:spacing w:after="0"/>
      </w:pPr>
      <w:r>
        <w:t xml:space="preserve">   •   Alpha: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model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.</w:t>
      </w:r>
    </w:p>
    <w:p w14:paraId="27296C15" w14:textId="77777777" w:rsidR="000E4132" w:rsidRDefault="000E4132" w:rsidP="000E4132">
      <w:pPr>
        <w:spacing w:after="0"/>
      </w:pPr>
      <w:r>
        <w:t xml:space="preserve">   •   Risk-</w:t>
      </w:r>
      <w:proofErr w:type="spellStart"/>
      <w:r>
        <w:t>to</w:t>
      </w:r>
      <w:proofErr w:type="spellEnd"/>
      <w:r>
        <w:t>-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: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of a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risk.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 a 2:1 risk/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risking</w:t>
      </w:r>
      <w:proofErr w:type="spellEnd"/>
      <w:r>
        <w:t xml:space="preserve"> $1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$2 in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profit</w:t>
      </w:r>
      <w:proofErr w:type="spellEnd"/>
      <w:r>
        <w:t>.</w:t>
      </w:r>
    </w:p>
    <w:p w14:paraId="7B242BBB" w14:textId="77777777" w:rsidR="000E4132" w:rsidRDefault="000E4132" w:rsidP="000E4132">
      <w:pPr>
        <w:spacing w:after="0"/>
      </w:pPr>
    </w:p>
    <w:p w14:paraId="35AE976D" w14:textId="77777777" w:rsidR="000E4132" w:rsidRDefault="000E4132" w:rsidP="000E4132">
      <w:pPr>
        <w:spacing w:after="0"/>
      </w:pPr>
      <w:r>
        <w:t xml:space="preserve">3.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7BA65A5C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Consistency</w:t>
      </w:r>
      <w:proofErr w:type="spellEnd"/>
      <w:r>
        <w:t xml:space="preserve"> of </w:t>
      </w:r>
      <w:proofErr w:type="spellStart"/>
      <w:r>
        <w:t>Returns</w:t>
      </w:r>
      <w:proofErr w:type="spellEnd"/>
      <w:r>
        <w:t xml:space="preserve">: </w:t>
      </w:r>
      <w:proofErr w:type="spellStart"/>
      <w:r>
        <w:t>Measures</w:t>
      </w:r>
      <w:proofErr w:type="spellEnd"/>
      <w:r>
        <w:t xml:space="preserve"> how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.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preferable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drawdowns</w:t>
      </w:r>
      <w:proofErr w:type="spellEnd"/>
      <w:r>
        <w:t>.</w:t>
      </w:r>
    </w:p>
    <w:p w14:paraId="37E5782E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Annualized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: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variation</w:t>
      </w:r>
      <w:proofErr w:type="spellEnd"/>
      <w:r>
        <w:t xml:space="preserve"> in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how “</w:t>
      </w:r>
      <w:proofErr w:type="spellStart"/>
      <w:r>
        <w:t>smooth</w:t>
      </w:r>
      <w:proofErr w:type="spellEnd"/>
      <w:r>
        <w:t xml:space="preserve">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model’s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are</w:t>
      </w:r>
      <w:proofErr w:type="spellEnd"/>
      <w:r>
        <w:t>.</w:t>
      </w:r>
    </w:p>
    <w:p w14:paraId="794040D1" w14:textId="77777777" w:rsidR="000E4132" w:rsidRDefault="000E4132" w:rsidP="000E4132">
      <w:pPr>
        <w:spacing w:after="0"/>
      </w:pPr>
      <w:r>
        <w:t xml:space="preserve">   •   Hit Rate of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: </w:t>
      </w:r>
      <w:proofErr w:type="spellStart"/>
      <w:r>
        <w:t>Measures</w:t>
      </w:r>
      <w:proofErr w:type="spellEnd"/>
      <w:r>
        <w:t xml:space="preserve"> how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(</w:t>
      </w:r>
      <w:proofErr w:type="spellStart"/>
      <w:r>
        <w:t>weekly</w:t>
      </w:r>
      <w:proofErr w:type="spellEnd"/>
      <w:r>
        <w:t xml:space="preserve">, </w:t>
      </w:r>
      <w:proofErr w:type="spellStart"/>
      <w:r>
        <w:t>monthly</w:t>
      </w:r>
      <w:proofErr w:type="spellEnd"/>
      <w:r>
        <w:t xml:space="preserve">, </w:t>
      </w:r>
      <w:proofErr w:type="spellStart"/>
      <w:r>
        <w:t>etc</w:t>
      </w:r>
      <w:proofErr w:type="spellEnd"/>
      <w:r>
        <w:t>.).</w:t>
      </w:r>
    </w:p>
    <w:p w14:paraId="31039666" w14:textId="77777777" w:rsidR="000E4132" w:rsidRDefault="000E4132" w:rsidP="000E4132">
      <w:pPr>
        <w:spacing w:after="0"/>
      </w:pPr>
    </w:p>
    <w:p w14:paraId="71ADA649" w14:textId="77777777" w:rsidR="000E4132" w:rsidRDefault="000E4132" w:rsidP="000E4132">
      <w:pPr>
        <w:spacing w:after="0"/>
      </w:pPr>
      <w:r>
        <w:t xml:space="preserve">4.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4E99B9F4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Return: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winners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losers</w:t>
      </w:r>
      <w:proofErr w:type="spellEnd"/>
      <w:r>
        <w:t>.</w:t>
      </w:r>
    </w:p>
    <w:p w14:paraId="7A7F9669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Average</w:t>
      </w:r>
      <w:proofErr w:type="spellEnd"/>
      <w:r>
        <w:t xml:space="preserve"> Holding </w:t>
      </w:r>
      <w:proofErr w:type="spellStart"/>
      <w:r>
        <w:t>Period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time a </w:t>
      </w:r>
      <w:proofErr w:type="spellStart"/>
      <w:r>
        <w:t>trade</w:t>
      </w:r>
      <w:proofErr w:type="spellEnd"/>
      <w:r>
        <w:t xml:space="preserve"> is </w:t>
      </w:r>
      <w:proofErr w:type="spellStart"/>
      <w:r>
        <w:t>held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risk </w:t>
      </w:r>
      <w:proofErr w:type="spellStart"/>
      <w:r>
        <w:t>exposure</w:t>
      </w:r>
      <w:proofErr w:type="spellEnd"/>
      <w:r>
        <w:t>.</w:t>
      </w:r>
    </w:p>
    <w:p w14:paraId="0BBA3302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Slippage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a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at </w:t>
      </w:r>
      <w:proofErr w:type="spellStart"/>
      <w:r>
        <w:t>which</w:t>
      </w:r>
      <w:proofErr w:type="spellEnd"/>
      <w:r>
        <w:t xml:space="preserve"> it is </w:t>
      </w:r>
      <w:proofErr w:type="spellStart"/>
      <w:r>
        <w:t>executed</w:t>
      </w:r>
      <w:proofErr w:type="spellEnd"/>
      <w:r>
        <w:t>.</w:t>
      </w:r>
    </w:p>
    <w:p w14:paraId="014386C2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cumulative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commissions</w:t>
      </w:r>
      <w:proofErr w:type="spellEnd"/>
      <w:r>
        <w:t xml:space="preserve">, </w:t>
      </w:r>
      <w:proofErr w:type="spellStart"/>
      <w:r>
        <w:t>spreads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fees</w:t>
      </w:r>
      <w:proofErr w:type="spellEnd"/>
      <w:r>
        <w:t>.</w:t>
      </w:r>
    </w:p>
    <w:p w14:paraId="16956857" w14:textId="77777777" w:rsidR="000E4132" w:rsidRDefault="000E4132" w:rsidP="000E4132">
      <w:pPr>
        <w:spacing w:after="0"/>
      </w:pPr>
    </w:p>
    <w:p w14:paraId="7CD09D5B" w14:textId="77777777" w:rsidR="000E4132" w:rsidRDefault="000E4132" w:rsidP="000E4132">
      <w:pPr>
        <w:spacing w:after="0"/>
      </w:pPr>
      <w:r>
        <w:t>5. Risk-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0E4FCC20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Calmar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annualized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drawdown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how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losses</w:t>
      </w:r>
      <w:proofErr w:type="spellEnd"/>
      <w:r>
        <w:t>.</w:t>
      </w:r>
    </w:p>
    <w:p w14:paraId="2656ACDC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Treynor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: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in </w:t>
      </w:r>
      <w:proofErr w:type="spellStart"/>
      <w:r>
        <w:t>excess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on a risk-</w:t>
      </w:r>
      <w:proofErr w:type="spellStart"/>
      <w:r>
        <w:t>free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of market risk </w:t>
      </w:r>
      <w:proofErr w:type="spellStart"/>
      <w:r>
        <w:t>taken</w:t>
      </w:r>
      <w:proofErr w:type="spellEnd"/>
      <w:r>
        <w:t>.</w:t>
      </w:r>
    </w:p>
    <w:p w14:paraId="66324777" w14:textId="77777777" w:rsidR="000E4132" w:rsidRDefault="000E4132" w:rsidP="000E4132">
      <w:pPr>
        <w:spacing w:after="0"/>
      </w:pPr>
    </w:p>
    <w:p w14:paraId="31EC8E60" w14:textId="77777777" w:rsidR="000E4132" w:rsidRDefault="000E4132" w:rsidP="000E4132">
      <w:pPr>
        <w:spacing w:after="0"/>
      </w:pPr>
      <w:r>
        <w:t xml:space="preserve">6.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>:</w:t>
      </w:r>
    </w:p>
    <w:p w14:paraId="4897C760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Outperformance</w:t>
      </w:r>
      <w:proofErr w:type="spellEnd"/>
      <w:r>
        <w:t xml:space="preserve"> (Alpha):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model </w:t>
      </w:r>
      <w:proofErr w:type="spellStart"/>
      <w:r>
        <w:t>outperforms</w:t>
      </w:r>
      <w:proofErr w:type="spellEnd"/>
      <w:r>
        <w:t xml:space="preserve"> a </w:t>
      </w:r>
      <w:proofErr w:type="spellStart"/>
      <w:r>
        <w:t>benchmark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S&amp;P 500,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index</w:t>
      </w:r>
      <w:proofErr w:type="spellEnd"/>
      <w:r>
        <w:t>).</w:t>
      </w:r>
    </w:p>
    <w:p w14:paraId="01C894E8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.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divergence</w:t>
      </w:r>
      <w:proofErr w:type="spellEnd"/>
      <w:r>
        <w:t>.</w:t>
      </w:r>
    </w:p>
    <w:p w14:paraId="07053265" w14:textId="77777777" w:rsidR="000E4132" w:rsidRDefault="000E4132" w:rsidP="000E4132">
      <w:pPr>
        <w:spacing w:after="0"/>
      </w:pPr>
    </w:p>
    <w:p w14:paraId="6D6B0350" w14:textId="77777777" w:rsidR="000E4132" w:rsidRDefault="000E4132" w:rsidP="000E4132">
      <w:pPr>
        <w:spacing w:after="0"/>
      </w:pPr>
      <w:r>
        <w:t xml:space="preserve">7. </w:t>
      </w:r>
      <w:proofErr w:type="spellStart"/>
      <w:r>
        <w:t>Tail</w:t>
      </w:r>
      <w:proofErr w:type="spellEnd"/>
      <w:r>
        <w:t xml:space="preserve"> Risk </w:t>
      </w:r>
      <w:proofErr w:type="spellStart"/>
      <w:r>
        <w:t>Metrics</w:t>
      </w:r>
      <w:proofErr w:type="spellEnd"/>
      <w:r>
        <w:t>:</w:t>
      </w:r>
    </w:p>
    <w:p w14:paraId="500BE967" w14:textId="77777777" w:rsidR="000E4132" w:rsidRDefault="000E4132" w:rsidP="000E4132">
      <w:pPr>
        <w:spacing w:after="0"/>
      </w:pPr>
      <w:r>
        <w:t xml:space="preserve">   •   </w:t>
      </w:r>
      <w:proofErr w:type="spellStart"/>
      <w:r>
        <w:t>Conditional</w:t>
      </w:r>
      <w:proofErr w:type="spellEnd"/>
      <w:r>
        <w:t xml:space="preserve"> Value at Risk (</w:t>
      </w:r>
      <w:proofErr w:type="spellStart"/>
      <w:r>
        <w:t>CVaR</w:t>
      </w:r>
      <w:proofErr w:type="spellEnd"/>
      <w:r>
        <w:t xml:space="preserve">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worst-case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>.</w:t>
      </w:r>
    </w:p>
    <w:p w14:paraId="7C0CA65A" w14:textId="7405F812" w:rsidR="00530801" w:rsidRDefault="000E4132" w:rsidP="000E4132">
      <w:pPr>
        <w:spacing w:after="0"/>
      </w:pPr>
      <w:r>
        <w:t xml:space="preserve">   •   </w:t>
      </w:r>
      <w:proofErr w:type="spellStart"/>
      <w:r>
        <w:t>Downside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: </w:t>
      </w:r>
      <w:proofErr w:type="spellStart"/>
      <w:r>
        <w:t>Measures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deviate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risk-</w:t>
      </w:r>
      <w:proofErr w:type="spellStart"/>
      <w:r>
        <w:t>free</w:t>
      </w:r>
      <w:proofErr w:type="spellEnd"/>
      <w:r>
        <w:t xml:space="preserve"> rate),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>.</w:t>
      </w:r>
    </w:p>
    <w:sectPr w:rsidR="00530801" w:rsidSect="000E41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11DA" w14:textId="77777777" w:rsidR="000E4132" w:rsidRDefault="000E4132" w:rsidP="000E4132">
      <w:pPr>
        <w:spacing w:after="0" w:line="240" w:lineRule="auto"/>
      </w:pPr>
      <w:r>
        <w:separator/>
      </w:r>
    </w:p>
  </w:endnote>
  <w:endnote w:type="continuationSeparator" w:id="0">
    <w:p w14:paraId="3A9070BE" w14:textId="77777777" w:rsidR="000E4132" w:rsidRDefault="000E4132" w:rsidP="000E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301F" w14:textId="77777777" w:rsidR="000E4132" w:rsidRDefault="000E4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A0EF" w14:textId="77777777" w:rsidR="000E4132" w:rsidRDefault="000E4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84CB" w14:textId="768519CE" w:rsidR="000E4132" w:rsidRPr="000E4132" w:rsidRDefault="000E4132" w:rsidP="000E4132">
    <w:pPr>
      <w:pStyle w:val="Footer"/>
      <w:rPr>
        <w:rFonts w:ascii="Tahoma" w:hAnsi="Tahoma" w:cs="Tahoma"/>
        <w:color w:val="000000"/>
        <w:sz w:val="17"/>
        <w:shd w:val="clear" w:color="auto" w:fill="FFFFFF"/>
      </w:rPr>
    </w:pPr>
    <w:bookmarkStart w:id="0" w:name="DocumentMarkings1FooterFirstPage"/>
  </w:p>
  <w:p w14:paraId="4487B7F9" w14:textId="77777777" w:rsidR="000E4132" w:rsidRPr="000E4132" w:rsidRDefault="000E4132" w:rsidP="000E4132">
    <w:pPr>
      <w:pStyle w:val="Footer"/>
      <w:rPr>
        <w:rFonts w:ascii="Tahoma" w:hAnsi="Tahoma" w:cs="Tahoma"/>
        <w:color w:val="000000"/>
        <w:sz w:val="17"/>
        <w:shd w:val="clear" w:color="auto" w:fill="FFFFFF"/>
      </w:rPr>
    </w:pPr>
    <w:r w:rsidRPr="000E4132">
      <w:rPr>
        <w:rFonts w:ascii="Tahoma" w:hAnsi="Tahoma" w:cs="Tahoma"/>
        <w:color w:val="000000"/>
        <w:sz w:val="16"/>
        <w:shd w:val="clear" w:color="auto" w:fill="FFFFFF"/>
      </w:rPr>
      <w:t xml:space="preserve">Sınıflandırma: </w:t>
    </w:r>
    <w:r w:rsidRPr="000E4132">
      <w:rPr>
        <w:rFonts w:ascii="Tahoma" w:hAnsi="Tahoma" w:cs="Tahoma"/>
        <w:b/>
        <w:color w:val="009900"/>
        <w:sz w:val="16"/>
        <w:shd w:val="clear" w:color="auto" w:fill="FFFFFF"/>
      </w:rPr>
      <w:t>Açık</w:t>
    </w:r>
  </w:p>
  <w:p w14:paraId="0B083446" w14:textId="6B3BFC0E" w:rsidR="000E4132" w:rsidRDefault="000E4132" w:rsidP="000E4132">
    <w:pPr>
      <w:pStyle w:val="Footer"/>
    </w:pPr>
    <w:r w:rsidRPr="000E4132">
      <w:rPr>
        <w:color w:val="000000"/>
        <w:sz w:val="17"/>
        <w:shd w:val="clear" w:color="auto" w:fill="FFFFFF"/>
      </w:rPr>
      <w:t xml:space="preserve"> 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2A1B" w14:textId="77777777" w:rsidR="000E4132" w:rsidRDefault="000E4132" w:rsidP="000E4132">
      <w:pPr>
        <w:spacing w:after="0" w:line="240" w:lineRule="auto"/>
      </w:pPr>
      <w:r>
        <w:separator/>
      </w:r>
    </w:p>
  </w:footnote>
  <w:footnote w:type="continuationSeparator" w:id="0">
    <w:p w14:paraId="29F4F112" w14:textId="77777777" w:rsidR="000E4132" w:rsidRDefault="000E4132" w:rsidP="000E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B87F" w14:textId="77777777" w:rsidR="000E4132" w:rsidRDefault="000E4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3D49" w14:textId="77777777" w:rsidR="000E4132" w:rsidRDefault="000E4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802C" w14:textId="77777777" w:rsidR="000E4132" w:rsidRDefault="000E41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32"/>
    <w:rsid w:val="000E4132"/>
    <w:rsid w:val="00530801"/>
    <w:rsid w:val="0056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3B3C6-1EBF-4425-92CD-07556D0D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32"/>
  </w:style>
  <w:style w:type="paragraph" w:styleId="Footer">
    <w:name w:val="footer"/>
    <w:basedOn w:val="Normal"/>
    <w:link w:val="FooterChar"/>
    <w:uiPriority w:val="99"/>
    <w:unhideWhenUsed/>
    <w:rsid w:val="000E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0973c7fe-b4cc-4dce-8fcd-1c06d5a35a22</TitusGUID>
  <TitusMetadata xmlns="">eyJucyI6Imh0dHBzOlwvXC90aXR1cy5jb20iLCJwcm9wcyI6W3sibiI6IkNsYXNzaWZpY2F0aW9uIiwidmFscyI6W3sidmFsdWUiOiJHLTZhNTM0YWI4In1dfSx7Im4iOiJZYXJkaW0iLCJ2YWxzIjpbXX0seyJuIjoiS1ZLSyIsInZhbHMiOlt7InZhbHVlIjoiTi1jNWI5M2M3OSJ9XX0seyJuIjoiWWFyZGltMiIsInZhbHMiOltdfSx7Im4iOiJWaXN1YWxNYXJraW5nIiwidmFscyI6W3sidmFsdWUiOiJBcHBseVRhZyJ9XX1dfQ==</TitusMetadata>
</titus>
</file>

<file path=customXml/itemProps1.xml><?xml version="1.0" encoding="utf-8"?>
<ds:datastoreItem xmlns:ds="http://schemas.openxmlformats.org/officeDocument/2006/customXml" ds:itemID="{A1EC21EC-E6C5-48C1-9493-5730FAFC87B2}">
  <ds:schemaRefs>
    <ds:schemaRef ds:uri="http://schemas.titus.com/TitusPropertie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524</Words>
  <Characters>2913</Characters>
  <Application>Microsoft Office Word</Application>
  <DocSecurity>0</DocSecurity>
  <Lines>61</Lines>
  <Paragraphs>31</Paragraphs>
  <ScaleCrop>false</ScaleCrop>
  <Company>GarantiBBVA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Kose (Garanti Teknoloji)</dc:creator>
  <cp:keywords>G-6a534ab8, N-c5b93c79</cp:keywords>
  <dc:description/>
  <cp:lastModifiedBy>Batuhan Kose (Garanti Teknoloji)</cp:lastModifiedBy>
  <cp:revision>2</cp:revision>
  <dcterms:created xsi:type="dcterms:W3CDTF">2024-10-23T11:50:00Z</dcterms:created>
  <dcterms:modified xsi:type="dcterms:W3CDTF">2024-10-23T11:51:00Z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0973c7fe-b4cc-4dce-8fcd-1c06d5a35a22</vt:lpwstr>
  </property>
  <property fmtid="{D5CDD505-2E9C-101B-9397-08002B2CF9AE}" pid="3" name="Classification">
    <vt:lpwstr>G-6a534ab8</vt:lpwstr>
  </property>
  <property fmtid="{D5CDD505-2E9C-101B-9397-08002B2CF9AE}" pid="4" name="KVKK">
    <vt:lpwstr>N-c5b93c79</vt:lpwstr>
  </property>
  <property fmtid="{D5CDD505-2E9C-101B-9397-08002B2CF9AE}" pid="5" name="VisualMarking">
    <vt:lpwstr>ApplyTag</vt:lpwstr>
  </property>
</Properties>
</file>