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475569"/>
          <w:sz w:val="20"/>
        </w:rPr>
        <w:t>BUKIDNON STATE UNIVERSITY</w:t>
        <w:br/>
        <w:t>COLLEGE OF TECHNOLOGIES • INFORMATION TECHNOLOGY DEPARTMENT</w:t>
      </w:r>
    </w:p>
    <w:p>
      <w:pPr>
        <w:spacing w:after="160"/>
        <w:jc w:val="center"/>
      </w:pPr>
      <w:r>
        <w:rPr>
          <w:b/>
          <w:color w:val="1E3A8A"/>
          <w:sz w:val="23"/>
        </w:rPr>
        <w:t>Capstone Project: Pig AI Watch: A Computer Vision-Based Farrowing System with Real-Time Alerts and Video Feedback</w:t>
      </w:r>
    </w:p>
    <w:p>
      <w:pPr>
        <w:spacing w:after="280"/>
        <w:jc w:val="center"/>
      </w:pPr>
      <w:r>
        <w:rPr>
          <w:i/>
          <w:color w:val="64748B"/>
          <w:sz w:val="19"/>
        </w:rPr>
        <w:t>Researchers: Babaylan, G. R. • Dinawanao, A. M. • Macasling, A. J. • Rabina, S. M.</w:t>
        <w:br/>
        <w:t>Capstone Project Adviser: Maximo L. Macalandag Jr.</w:t>
      </w:r>
    </w:p>
    <w:p>
      <w:pPr>
        <w:spacing w:before="120" w:after="80"/>
        <w:jc w:val="center"/>
      </w:pPr>
      <w:r>
        <w:rPr>
          <w:b/>
          <w:color w:val="1E3A8A"/>
          <w:sz w:val="30"/>
        </w:rPr>
        <w:t>CHAPTER 4 OUTLINE</w:t>
        <w:br/>
        <w:t>RESULTS, ANALYSIS, AND DISCUSSION</w:t>
      </w:r>
    </w:p>
    <w:p>
      <w:pPr>
        <w:spacing w:after="280"/>
        <w:jc w:val="center"/>
      </w:pPr>
      <w:r>
        <w:rPr>
          <w:i/>
          <w:color w:val="475569"/>
          <w:sz w:val="21"/>
        </w:rPr>
        <w:t>Detailed Chapter Roadmap, Presentation Strategy, Data Analysis Plan, and Verification Matrix</w:t>
      </w:r>
    </w:p>
    <w:p>
      <w:pPr>
        <w:spacing w:after="240"/>
      </w:pPr>
      <w:r>
        <w:rPr>
          <w:color w:val="CBD5E1"/>
        </w:rPr>
        <w:t>――――――――――――――――――――――――――――――――――――――――――――――――――――――――――</w:t>
      </w:r>
    </w:p>
    <w:p>
      <w:pPr>
        <w:pStyle w:val="Heading1"/>
        <w:spacing w:before="240" w:after="80"/>
      </w:pPr>
      <w:r>
        <w:rPr>
          <w:b/>
          <w:color w:val="1E3A8A"/>
          <w:sz w:val="26"/>
        </w:rPr>
        <w:t>Introduction</w:t>
      </w:r>
    </w:p>
    <w:p>
      <w:pPr>
        <w:spacing w:after="120" w:line="276" w:lineRule="auto"/>
      </w:pPr>
      <w:r>
        <w:t xml:space="preserve">Chapter 4 presents the empirical outcomes of the development, deployment, and formal evaluation of the </w:t>
      </w:r>
      <w:r>
        <w:rPr>
          <w:b/>
        </w:rPr>
        <w:t>Pig AI Watch system</w:t>
      </w:r>
      <w:r>
        <w:t>. The primary purpose of this chapter is to document how the implemented hardware and software components function in realistic swine farrowing environments, validate the performance of the YOLOv11 deep learning model against established veterinary and technical benchmarks, report the results of comprehensive functional and usability testing, and analyze the operational significance and limitations of the system.</w:t>
      </w:r>
    </w:p>
    <w:p>
      <w:pPr>
        <w:spacing w:after="80" w:line="276" w:lineRule="auto"/>
      </w:pPr>
      <w:r>
        <w:t>To establish clear alignment between research design and outcomes, the chapter begins by restating the specific objectives of the study (as established in Chapter 1 of the manuscript):</w:t>
      </w:r>
    </w:p>
    <w:p>
      <w:pPr>
        <w:pStyle w:val="ListBullet"/>
        <w:spacing w:after="60" w:line="276" w:lineRule="auto"/>
      </w:pPr>
      <w:r>
        <w:rPr>
          <w:b/>
        </w:rPr>
        <w:t xml:space="preserve">Objective 1 (System Architecture &amp; Planning): </w:t>
      </w:r>
      <w:r>
        <w:t>Plan and develop a camera-based monitoring platform capable of observing sow behavior and automatically detecting farrowing events and piglet births in real time using computer vision techniques.</w:t>
      </w:r>
    </w:p>
    <w:p>
      <w:pPr>
        <w:pStyle w:val="ListBullet"/>
        <w:spacing w:after="60" w:line="276" w:lineRule="auto"/>
      </w:pPr>
      <w:r>
        <w:rPr>
          <w:b/>
        </w:rPr>
        <w:t xml:space="preserve">Objective 2 (Model Training &amp; Activity Recognition): </w:t>
      </w:r>
      <w:r>
        <w:t>Train the YOLOv11 model using historical and custom-annotated datasets, combining object detection and activity recognition to predict farrowing onset and detect crushing risks.</w:t>
      </w:r>
    </w:p>
    <w:p>
      <w:pPr>
        <w:pStyle w:val="ListBullet"/>
        <w:spacing w:after="60" w:line="276" w:lineRule="auto"/>
      </w:pPr>
      <w:r>
        <w:rPr>
          <w:b/>
        </w:rPr>
        <w:t xml:space="preserve">Objective 3 (Technical Performance Testing): </w:t>
      </w:r>
      <w:r>
        <w:t>Test the performance of YOLOv11 specifically across: (a) Object detection modules (piglet detection, sow posture, crushing-risk) using Mean Average Precision (mAP), Precision, Recall, and IoU; and (b) Event detection modules (farrowing onset alerts, piglet birth notifications, piglet vitality) using F1-score.</w:t>
      </w:r>
    </w:p>
    <w:p>
      <w:pPr>
        <w:pStyle w:val="ListBullet"/>
        <w:spacing w:after="60" w:line="276" w:lineRule="auto"/>
      </w:pPr>
      <w:r>
        <w:rPr>
          <w:b/>
        </w:rPr>
        <w:t xml:space="preserve">Objective 4 (User &amp; Usability Evaluation): </w:t>
      </w:r>
      <w:r>
        <w:t>Evaluate the system's effectiveness and usability for smallholder and municipal pig farms through a structured questionnaire based on the ISO/IEC 25010 Software Quality Model, assessing Functional Suitability, Usability, Performance Efficiency, and Overall User Satisfaction.</w:t>
      </w:r>
    </w:p>
    <w:tbl>
      <w:tblPr>
        <w:tblW w:type="auto" w:w="0"/>
        <w:jc w:val="center"/>
        <w:tblLook w:firstColumn="1" w:firstRow="1" w:lastColumn="0" w:lastRow="0" w:noHBand="0" w:noVBand="1" w:val="04A0"/>
      </w:tblPr>
      <w:tblGrid>
        <w:gridCol w:w="9360"/>
      </w:tblGrid>
      <w:tr>
        <w:tc>
          <w:tcPr>
            <w:tcW w:type="dxa" w:w="9360"/>
            <w:shd w:val="clear" w:color="auto" w:fill="F0FDF4"/>
            <w:tcMar>
              <w:top w:w="130" w:type="dxa"/>
              <w:bottom w:w="130" w:type="dxa"/>
              <w:left w:w="180" w:type="dxa"/>
              <w:right w:w="180" w:type="dxa"/>
            </w:tcMar>
            <w:tcBorders>
              <w:left w:val="single" w:sz="24" w:color="059669"/>
              <w:top w:val="none"/>
              <w:bottom w:val="none"/>
              <w:right w:val="none"/>
            </w:tcBorders>
          </w:tcPr>
          <w:p>
            <w:pPr>
              <w:spacing w:before="40" w:after="60"/>
            </w:pPr>
            <w:r>
              <w:rPr>
                <w:rFonts w:ascii="Arial" w:hAnsi="Arial"/>
                <w:b/>
                <w:color w:val="047857"/>
                <w:sz w:val="20"/>
              </w:rPr>
              <w:t xml:space="preserve">📋 WRITING ROADMAP: </w:t>
            </w:r>
            <w:r>
              <w:rPr>
                <w:rFonts w:ascii="Arial" w:hAnsi="Arial"/>
                <w:color w:val="064E3B"/>
                <w:sz w:val="19"/>
              </w:rPr>
              <w:t>In the final draft of the Introduction, provide a roadmap paragraph guiding the reader through the five main subsections: (1.1) System Implementation Results, (1.2) Testing and Validation, (1.3) Analysis of Results, (1.4) Discussion of Findings, and (1.5) Summary.</w:t>
            </w:r>
          </w:p>
        </w:tc>
      </w:tr>
    </w:tbl>
    <w:p>
      <w:pPr>
        <w:spacing w:after="80"/>
      </w:pPr>
    </w:p>
    <w:p>
      <w:pPr>
        <w:pStyle w:val="Heading1"/>
        <w:spacing w:before="280" w:after="80"/>
      </w:pPr>
      <w:r>
        <w:rPr>
          <w:b/>
          <w:color w:val="1E3A8A"/>
          <w:sz w:val="26"/>
        </w:rPr>
        <w:t>1.1 System Implementation Results</w:t>
      </w:r>
    </w:p>
    <w:p>
      <w:pPr>
        <w:spacing w:after="120" w:line="276" w:lineRule="auto"/>
      </w:pPr>
      <w:r>
        <w:t>This section will describe the realized system components, showing how the theoretical design from Chapter 3 was converted into a working physical and software implementation. The presentation will be divided into hardware architecture, software ecosystem, and end-to-end integration.</w:t>
      </w:r>
    </w:p>
    <w:p>
      <w:pPr>
        <w:pStyle w:val="Heading2"/>
        <w:spacing w:before="160" w:after="60"/>
      </w:pPr>
      <w:r>
        <w:rPr>
          <w:b/>
          <w:color w:val="0F172A"/>
          <w:sz w:val="23"/>
        </w:rPr>
        <w:t>1.1.1 Implemented Hardware Components &amp; Deployment Configuration</w:t>
      </w:r>
    </w:p>
    <w:p>
      <w:pPr>
        <w:spacing w:after="80" w:line="276" w:lineRule="auto"/>
      </w:pPr>
      <w:r>
        <w:t>The hardware presentation will detail the equipment installed in the research locale (farrowing pens in Balila, Lantapan, Bukidnon) as documented in Methodology Section 3.1.2 and 3.2.2.3.1:</w:t>
      </w:r>
    </w:p>
    <w:p>
      <w:pPr>
        <w:pStyle w:val="ListBullet"/>
        <w:spacing w:after="60" w:line="276" w:lineRule="auto"/>
      </w:pPr>
      <w:r>
        <w:rPr>
          <w:b/>
        </w:rPr>
        <w:t xml:space="preserve">Surveillance Cameras: </w:t>
      </w:r>
      <w:r>
        <w:t>VIGI C320I 2MP Outdoor IR Bullet Network Camera (primary device equipped with a 2.8 mm fixed lens providing 88.2° horizontal FOV, satisfying DORI Recognize/Identify criteria) and TP-Link Tapo C310 3MP Wi-Fi Camera. Mounted top-down at 1.8 m to 2.2 m directly above the 1.8 m × 2.4 m farrowing crate to capture an unobstructed view of the sow and piglet zones.</w:t>
      </w:r>
    </w:p>
    <w:p>
      <w:pPr>
        <w:pStyle w:val="ListBullet"/>
        <w:spacing w:after="60" w:line="276" w:lineRule="auto"/>
      </w:pPr>
      <w:r>
        <w:rPr>
          <w:b/>
        </w:rPr>
        <w:t xml:space="preserve">Edge Computing Node: </w:t>
      </w:r>
      <w:r>
        <w:t>Local dedicated edge computer/laptop located at the farm facility, running Python 3.11, MediaMTX RTSP proxy, FFmpeg, and local ONNX Runtime inference routines to process camera feeds without requiring high-bandwidth cloud video streaming.</w:t>
      </w:r>
    </w:p>
    <w:p>
      <w:pPr>
        <w:pStyle w:val="ListBullet"/>
        <w:spacing w:after="60" w:line="276" w:lineRule="auto"/>
      </w:pPr>
      <w:r>
        <w:rPr>
          <w:b/>
        </w:rPr>
        <w:t xml:space="preserve">Network &amp; Routing Infrastructure: </w:t>
      </w:r>
      <w:r>
        <w:t>Local farm Gigabit switch and Wi-Fi router handling high-framerate RTSP streams over port 554/8554, paired with a secure Cloudflare Tunnel (cloudflared) linking the edge node to the cloud backend (134.199.152.118).</w:t>
      </w:r>
    </w:p>
    <w:p>
      <w:pPr>
        <w:pStyle w:val="ListBullet"/>
        <w:spacing w:after="60" w:line="276" w:lineRule="auto"/>
      </w:pPr>
      <w:r>
        <w:rPr>
          <w:b/>
        </w:rPr>
        <w:t xml:space="preserve">Dual-Tier Storage Architecture: </w:t>
      </w:r>
      <w:r>
        <w:t>Local storage on edge node handling smart event-triggered 5-minute .mp4 video chunking (saved only when crushing risk ≥ 40% or newborn events occur), alongside a cloud-hosted PostgreSQL 15 database storing time-series behavior telemetry, alert ledgers, and sow records.</w:t>
      </w:r>
    </w:p>
    <w:p>
      <w:pPr>
        <w:pStyle w:val="Heading2"/>
        <w:spacing w:before="160" w:after="60"/>
      </w:pPr>
      <w:r>
        <w:rPr>
          <w:b/>
          <w:color w:val="0F172A"/>
          <w:sz w:val="23"/>
        </w:rPr>
        <w:t>1.1.2 Implemented Software Architecture &amp; Core Modules</w:t>
      </w:r>
    </w:p>
    <w:p>
      <w:pPr>
        <w:spacing w:after="80" w:line="276" w:lineRule="auto"/>
      </w:pPr>
      <w:r>
        <w:t>The software architecture presentation will detail the five modular layers developed to realize the system:</w:t>
      </w:r>
    </w:p>
    <w:p>
      <w:pPr>
        <w:pStyle w:val="ListBullet"/>
        <w:spacing w:after="60" w:line="276" w:lineRule="auto"/>
      </w:pPr>
      <w:r>
        <w:rPr>
          <w:b/>
        </w:rPr>
        <w:t xml:space="preserve">YOLOv11 Detection Engine: </w:t>
      </w:r>
      <w:r>
        <w:t>Trained Ultralytics YOLOv11 model (best-v11.pt) exported to ONNX format (pig_detection.onnx). Formatted for 640×640 input resolution to classify 6 target classes: piglet, sow-sit, sow-sleep (lateral lying), sow-sleep-lactate (nursing), sow-stand, and sow-stand-feed.</w:t>
      </w:r>
    </w:p>
    <w:p>
      <w:pPr>
        <w:pStyle w:val="ListBullet"/>
        <w:spacing w:after="60" w:line="276" w:lineRule="auto"/>
      </w:pPr>
      <w:r>
        <w:rPr>
          <w:b/>
        </w:rPr>
        <w:t xml:space="preserve">Piglet Vitality &amp; Newborn Module: </w:t>
      </w:r>
      <w:r>
        <w:t>Specialized module tracking time-to-first-movement across three clinical stages: Normal Observation (0–60s), Low Vitality Warning (60–180s), and Critical Alert (&gt;180s), providing non-invasive assessment of neonatal hypoxia.</w:t>
      </w:r>
    </w:p>
    <w:p>
      <w:pPr>
        <w:pStyle w:val="ListBullet"/>
        <w:spacing w:after="60" w:line="276" w:lineRule="auto"/>
      </w:pPr>
      <w:r>
        <w:rPr>
          <w:b/>
        </w:rPr>
        <w:t xml:space="preserve">Crushing Risk &amp; Clump Analyzer: </w:t>
      </w:r>
      <w:r>
        <w:t>Multi-factor risk engine that evaluates sow posture (lateral lying = 0.5 base risk), piglet bounding box disappearance, and Intersection-over-Area (IoA). Supported by the PigletClumpDetector to resolve merged bounding boxes when piglets huddle closely.</w:t>
      </w:r>
    </w:p>
    <w:p>
      <w:pPr>
        <w:pStyle w:val="ListBullet"/>
        <w:spacing w:after="60" w:line="276" w:lineRule="auto"/>
      </w:pPr>
      <w:r>
        <w:rPr>
          <w:b/>
        </w:rPr>
        <w:t xml:space="preserve">FastAPI Backend &amp; Asynchronous Services: </w:t>
      </w:r>
      <w:r>
        <w:t>Python 3.11 ASGI service executing SQLModel/SQLAlchemy ORM for database operations, REST endpoints for historical analytics, and WebSocket gateways (/ws/detections) for real-time telemetry broadcasting.</w:t>
      </w:r>
    </w:p>
    <w:p>
      <w:pPr>
        <w:pStyle w:val="ListBullet"/>
        <w:spacing w:after="60" w:line="276" w:lineRule="auto"/>
      </w:pPr>
      <w:r>
        <w:rPr>
          <w:b/>
        </w:rPr>
        <w:t xml:space="preserve">PostgreSQL Database (Data Tier): </w:t>
      </w:r>
      <w:r>
        <w:t>Structured schema storing tables for Sows, Monitoring_Log (12-second intervals), Event_Detection, Piglet_Count, Posture_Timeline, and Alert_History.</w:t>
      </w:r>
    </w:p>
    <w:p>
      <w:pPr>
        <w:pStyle w:val="ListBullet"/>
        <w:spacing w:after="60" w:line="276" w:lineRule="auto"/>
      </w:pPr>
      <w:r>
        <w:rPr>
          <w:b/>
        </w:rPr>
        <w:t xml:space="preserve">React.js Web Dashboard (Presentation Tier): </w:t>
      </w:r>
      <w:r>
        <w:t>Responsive frontend built with React 18, TypeScript, and Tailwind CSS/Chakra UI, providing multi-camera feeds, interactive RiskGauges, pre/post farrowing analytics, historical replay simulation, and bilingual localization (English and Filipino).</w:t>
      </w:r>
    </w:p>
    <w:p>
      <w:pPr>
        <w:pStyle w:val="ListBullet"/>
        <w:spacing w:after="60" w:line="276" w:lineRule="auto"/>
      </w:pPr>
      <w:r>
        <w:rPr>
          <w:b/>
        </w:rPr>
        <w:t xml:space="preserve">Multi-Channel Alert System: </w:t>
      </w:r>
      <w:r>
        <w:t>Notification gateway dispatching instant WebSocket dashboard banners, audible alarms, GSM-based SMS alerts, and localized Firebase Cloud Messaging (FCM) mobile push alerts.</w:t>
      </w:r>
    </w:p>
    <w:p>
      <w:pPr>
        <w:pStyle w:val="Heading2"/>
        <w:spacing w:before="160" w:after="60"/>
      </w:pPr>
      <w:r>
        <w:rPr>
          <w:b/>
          <w:color w:val="0F172A"/>
          <w:sz w:val="23"/>
        </w:rPr>
        <w:t>1.1.3 Inventory of System Diagrams &amp; Screenshots to Include</w:t>
      </w:r>
    </w:p>
    <w:p>
      <w:pPr>
        <w:spacing w:after="120" w:line="276" w:lineRule="auto"/>
      </w:pPr>
      <w:r>
        <w:t>To provide thorough visual evidence of the implemented system, Section 1.1 will include structured architectural schematics and user interface screenshots as outlined in Table 4.1.</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trPr>
        <w:tc>
          <w:tcPr>
            <w:tcW w:type="dxa" w:w="1440"/>
            <w:shd w:val="clear" w:color="auto" w:fill="1E3A8A"/>
            <w:tcMar>
              <w:top w:w="120" w:type="dxa"/>
              <w:bottom w:w="120" w:type="dxa"/>
              <w:left w:w="120" w:type="dxa"/>
              <w:right w:w="120" w:type="dxa"/>
            </w:tcMar>
            <w:vAlign w:val="center"/>
          </w:tcPr>
          <w:p>
            <w:pPr>
              <w:spacing w:before="40" w:after="40"/>
              <w:jc w:val="center"/>
            </w:pPr>
            <w:r>
              <w:rPr>
                <w:rFonts w:ascii="Arial" w:hAnsi="Arial"/>
                <w:b/>
                <w:color w:val="FFFFFF"/>
                <w:sz w:val="19"/>
              </w:rPr>
              <w:t>Item Label</w:t>
            </w:r>
          </w:p>
        </w:tc>
        <w:tc>
          <w:tcPr>
            <w:tcW w:type="dxa" w:w="3168"/>
            <w:shd w:val="clear" w:color="auto" w:fill="1E3A8A"/>
            <w:tcMar>
              <w:top w:w="120" w:type="dxa"/>
              <w:bottom w:w="120" w:type="dxa"/>
              <w:left w:w="120" w:type="dxa"/>
              <w:right w:w="120" w:type="dxa"/>
            </w:tcMar>
            <w:vAlign w:val="center"/>
          </w:tcPr>
          <w:p>
            <w:pPr>
              <w:spacing w:before="40" w:after="40"/>
              <w:jc w:val="center"/>
            </w:pPr>
            <w:r>
              <w:rPr>
                <w:rFonts w:ascii="Arial" w:hAnsi="Arial"/>
                <w:b/>
                <w:color w:val="FFFFFF"/>
                <w:sz w:val="19"/>
              </w:rPr>
              <w:t>Diagram / Screenshot Title</w:t>
            </w:r>
          </w:p>
        </w:tc>
        <w:tc>
          <w:tcPr>
            <w:tcW w:type="dxa" w:w="4752"/>
            <w:shd w:val="clear" w:color="auto" w:fill="1E3A8A"/>
            <w:tcMar>
              <w:top w:w="120" w:type="dxa"/>
              <w:bottom w:w="120" w:type="dxa"/>
              <w:left w:w="120" w:type="dxa"/>
              <w:right w:w="120" w:type="dxa"/>
            </w:tcMar>
            <w:vAlign w:val="center"/>
          </w:tcPr>
          <w:p>
            <w:pPr>
              <w:spacing w:before="40" w:after="40"/>
              <w:jc w:val="center"/>
            </w:pPr>
            <w:r>
              <w:rPr>
                <w:rFonts w:ascii="Arial" w:hAnsi="Arial"/>
                <w:b/>
                <w:color w:val="FFFFFF"/>
                <w:sz w:val="19"/>
              </w:rPr>
              <w:t>Planned Content &amp; Architectural Focus</w:t>
            </w:r>
          </w:p>
        </w:tc>
      </w:tr>
      <w:tr>
        <w:tc>
          <w:tcPr>
            <w:tcW w:type="dxa" w:w="1440"/>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Figure 4.1</w:t>
            </w:r>
          </w:p>
        </w:tc>
        <w:tc>
          <w:tcPr>
            <w:tcW w:type="dxa" w:w="3168"/>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System Architecture &amp; Data Flow</w:t>
            </w:r>
          </w:p>
        </w:tc>
        <w:tc>
          <w:tcPr>
            <w:tcW w:type="dxa" w:w="4752"/>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Detailed schematic showing IP camera RTSP feed -&gt; Edge Node (MediaMTX) -&gt; Cloudflare Tunnel -&gt; FastAPI backend -&gt; YOLOv11 inference -&gt; PostgreSQL DB -&gt; React Dashboard &amp; SMS/FCM alerts.</w:t>
            </w:r>
          </w:p>
        </w:tc>
      </w:tr>
      <w:tr>
        <w:tc>
          <w:tcPr>
            <w:tcW w:type="dxa" w:w="1440"/>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Figure 4.2</w:t>
            </w:r>
          </w:p>
        </w:tc>
        <w:tc>
          <w:tcPr>
            <w:tcW w:type="dxa" w:w="3168"/>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Physical Camera Installation &amp; Pen Layout</w:t>
            </w:r>
          </w:p>
        </w:tc>
        <w:tc>
          <w:tcPr>
            <w:tcW w:type="dxa" w:w="4752"/>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Diagram illustrating top-down mounting height (1.8m–2.2m), 2.8mm lens 88.2° FOV, and Region of Interest (ROI) boundaries in the 1.8m × 2.4m pen in Lantapan, Bukidnon.</w:t>
            </w:r>
          </w:p>
        </w:tc>
      </w:tr>
      <w:tr>
        <w:tc>
          <w:tcPr>
            <w:tcW w:type="dxa" w:w="1440"/>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Figure 4.3</w:t>
            </w:r>
          </w:p>
        </w:tc>
        <w:tc>
          <w:tcPr>
            <w:tcW w:type="dxa" w:w="3168"/>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Database Entity-Relationship Diagram (ERD)</w:t>
            </w:r>
          </w:p>
        </w:tc>
        <w:tc>
          <w:tcPr>
            <w:tcW w:type="dxa" w:w="4752"/>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Relational schema showing entities (Sow, Monitoring_Log, Event_Detection, Piglet_Count, Alert_History, Users) and their 1:N relational links.</w:t>
            </w:r>
          </w:p>
        </w:tc>
      </w:tr>
      <w:tr>
        <w:tc>
          <w:tcPr>
            <w:tcW w:type="dxa" w:w="1440"/>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Figure 4.4</w:t>
            </w:r>
          </w:p>
        </w:tc>
        <w:tc>
          <w:tcPr>
            <w:tcW w:type="dxa" w:w="3168"/>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End-to-End System Flowchart</w:t>
            </w:r>
          </w:p>
        </w:tc>
        <w:tc>
          <w:tcPr>
            <w:tcW w:type="dxa" w:w="4752"/>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Decision flow diagram mapping camera ingestion, YOLOv11 detection, event calculation (TUF/crushing), threshold check, database logging, and notification dispatch.</w:t>
            </w:r>
          </w:p>
        </w:tc>
      </w:tr>
      <w:tr>
        <w:tc>
          <w:tcPr>
            <w:tcW w:type="dxa" w:w="1440"/>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Figure 4.5</w:t>
            </w:r>
          </w:p>
        </w:tc>
        <w:tc>
          <w:tcPr>
            <w:tcW w:type="dxa" w:w="3168"/>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Screenshot: User Authentication &amp; Login</w:t>
            </w:r>
          </w:p>
        </w:tc>
        <w:tc>
          <w:tcPr>
            <w:tcW w:type="dxa" w:w="4752"/>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UI screenshot of LoginPage.tsx demonstrating secure JWT login, role authorization, and English/Filipino language toggle.</w:t>
            </w:r>
          </w:p>
        </w:tc>
      </w:tr>
      <w:tr>
        <w:tc>
          <w:tcPr>
            <w:tcW w:type="dxa" w:w="1440"/>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Figure 4.6</w:t>
            </w:r>
          </w:p>
        </w:tc>
        <w:tc>
          <w:tcPr>
            <w:tcW w:type="dxa" w:w="3168"/>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Screenshot: Main Monitoring Dashboard</w:t>
            </w:r>
          </w:p>
        </w:tc>
        <w:tc>
          <w:tcPr>
            <w:tcW w:type="dxa" w:w="4752"/>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UI screenshot of DashboardPage.tsx showing active pens, sow overview, farrowing likelihood sparklines, active alerts summary, and quick status tiles.</w:t>
            </w:r>
          </w:p>
        </w:tc>
      </w:tr>
      <w:tr>
        <w:tc>
          <w:tcPr>
            <w:tcW w:type="dxa" w:w="1440"/>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Figure 4.7</w:t>
            </w:r>
          </w:p>
        </w:tc>
        <w:tc>
          <w:tcPr>
            <w:tcW w:type="dxa" w:w="3168"/>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Screenshot: Live Camera Feed &amp; Detection Overlays</w:t>
            </w:r>
          </w:p>
        </w:tc>
        <w:tc>
          <w:tcPr>
            <w:tcW w:type="dxa" w:w="4752"/>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UI screenshot of LiveMonitoringPage.tsx showing live video feed, real-time bounding boxes (sow posture, piglets), confidence scores, and RiskGauge widget.</w:t>
            </w:r>
          </w:p>
        </w:tc>
      </w:tr>
      <w:tr>
        <w:tc>
          <w:tcPr>
            <w:tcW w:type="dxa" w:w="1440"/>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Figure 4.8</w:t>
            </w:r>
          </w:p>
        </w:tc>
        <w:tc>
          <w:tcPr>
            <w:tcW w:type="dxa" w:w="3168"/>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Screenshot: Piglet Vitality &amp; Crushing Risk Interface</w:t>
            </w:r>
          </w:p>
        </w:tc>
        <w:tc>
          <w:tcPr>
            <w:tcW w:type="dxa" w:w="4752"/>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UI screenshot of TestPenPage.tsx showing piglet clump detection, time-to-first-movement tracking, danger zone proximity circles, and risk score bars.</w:t>
            </w:r>
          </w:p>
        </w:tc>
      </w:tr>
      <w:tr>
        <w:tc>
          <w:tcPr>
            <w:tcW w:type="dxa" w:w="1440"/>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Figure 4.9</w:t>
            </w:r>
          </w:p>
        </w:tc>
        <w:tc>
          <w:tcPr>
            <w:tcW w:type="dxa" w:w="3168"/>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Screenshot: Farrowing Records &amp; Pre/Post Comparison</w:t>
            </w:r>
          </w:p>
        </w:tc>
        <w:tc>
          <w:tcPr>
            <w:tcW w:type="dxa" w:w="4752"/>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UI screenshot of FarrowingPage.tsx displaying litter records (born alive, stillborn), piglet details, and 48-hour pre- vs. post-farrowing behavioral comparison charts.</w:t>
            </w:r>
          </w:p>
        </w:tc>
      </w:tr>
      <w:tr>
        <w:tc>
          <w:tcPr>
            <w:tcW w:type="dxa" w:w="1440"/>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Figure 4.10</w:t>
            </w:r>
          </w:p>
        </w:tc>
        <w:tc>
          <w:tcPr>
            <w:tcW w:type="dxa" w:w="3168"/>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Screenshot: Alert Notification Center &amp; History</w:t>
            </w:r>
          </w:p>
        </w:tc>
        <w:tc>
          <w:tcPr>
            <w:tcW w:type="dxa" w:w="4752"/>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UI screenshot of AlertsPage.tsx showing chronological alert ledger, severity badges (Low/Medium/High/Critical), acknowledgment controls, and filter views.</w:t>
            </w:r>
          </w:p>
        </w:tc>
      </w:tr>
    </w:tbl>
    <w:p>
      <w:pPr>
        <w:spacing w:after="160"/>
      </w:pPr>
    </w:p>
    <w:p>
      <w:pPr>
        <w:pStyle w:val="Heading1"/>
        <w:spacing w:before="280" w:after="80"/>
      </w:pPr>
      <w:r>
        <w:rPr>
          <w:b/>
          <w:color w:val="1E3A8A"/>
          <w:sz w:val="26"/>
        </w:rPr>
        <w:t>1.2 Testing and Validation</w:t>
      </w:r>
    </w:p>
    <w:p>
      <w:pPr>
        <w:spacing w:after="120" w:line="276" w:lineRule="auto"/>
      </w:pPr>
      <w:r>
        <w:t>This section will present the empirical evaluation conducted across four rigorous testing stages: (1) YOLOv11 Technical Model Verification, (2) Functional Feature Testing, (3) Real-Time Streaming &amp; Latency Performance Benchmarks, (4) Alert Response Time Evaluation, and (5) User Acceptance Testing based on ISO/IEC 25010.</w:t>
      </w:r>
    </w:p>
    <w:p>
      <w:pPr>
        <w:pStyle w:val="Heading2"/>
        <w:spacing w:before="160" w:after="60"/>
      </w:pPr>
      <w:r>
        <w:rPr>
          <w:b/>
          <w:color w:val="0F172A"/>
          <w:sz w:val="23"/>
        </w:rPr>
        <w:t>1.2.1 YOLOv11 Technical Model Verification</w:t>
      </w:r>
    </w:p>
    <w:p>
      <w:pPr>
        <w:spacing w:after="80" w:line="276" w:lineRule="auto"/>
      </w:pPr>
      <w:r>
        <w:t>Model testing was conducted using the test partition (10% of 15,000–18,000 annotated images captured in realistic farm conditions across daytime and nighttime infrared lighting). The presentation will report Mean Average Precision (mAP@50), Precision, Recall, and F1-score as evaluated on page 120 of the research manuscript: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tblHeader/>
        </w:trPr>
        <w:tc>
          <w:tcPr>
            <w:tcW w:type="dxa" w:w="2304"/>
            <w:shd w:val="clear" w:color="auto" w:fill="1E3A8A"/>
            <w:tcMar>
              <w:top w:w="120" w:type="dxa"/>
              <w:bottom w:w="120" w:type="dxa"/>
              <w:left w:w="120" w:type="dxa"/>
              <w:right w:w="120" w:type="dxa"/>
            </w:tcMar>
            <w:vAlign w:val="center"/>
          </w:tcPr>
          <w:p>
            <w:pPr>
              <w:spacing w:before="40" w:after="40"/>
              <w:jc w:val="center"/>
            </w:pPr>
            <w:r>
              <w:rPr>
                <w:rFonts w:ascii="Arial" w:hAnsi="Arial"/>
                <w:b/>
                <w:color w:val="FFFFFF"/>
                <w:sz w:val="19"/>
              </w:rPr>
              <w:t>Evaluation Class</w:t>
            </w:r>
          </w:p>
        </w:tc>
        <w:tc>
          <w:tcPr>
            <w:tcW w:type="dxa" w:w="2016"/>
            <w:shd w:val="clear" w:color="auto" w:fill="1E3A8A"/>
            <w:tcMar>
              <w:top w:w="120" w:type="dxa"/>
              <w:bottom w:w="120" w:type="dxa"/>
              <w:left w:w="120" w:type="dxa"/>
              <w:right w:w="120" w:type="dxa"/>
            </w:tcMar>
            <w:vAlign w:val="center"/>
          </w:tcPr>
          <w:p>
            <w:pPr>
              <w:spacing w:before="40" w:after="40"/>
              <w:jc w:val="center"/>
            </w:pPr>
            <w:r>
              <w:rPr>
                <w:rFonts w:ascii="Arial" w:hAnsi="Arial"/>
                <w:b/>
                <w:color w:val="FFFFFF"/>
                <w:sz w:val="19"/>
              </w:rPr>
              <w:t>Test Samples</w:t>
            </w:r>
          </w:p>
        </w:tc>
        <w:tc>
          <w:tcPr>
            <w:tcW w:type="dxa" w:w="1296"/>
            <w:shd w:val="clear" w:color="auto" w:fill="1E3A8A"/>
            <w:tcMar>
              <w:top w:w="120" w:type="dxa"/>
              <w:bottom w:w="120" w:type="dxa"/>
              <w:left w:w="120" w:type="dxa"/>
              <w:right w:w="120" w:type="dxa"/>
            </w:tcMar>
            <w:vAlign w:val="center"/>
          </w:tcPr>
          <w:p>
            <w:pPr>
              <w:spacing w:before="40" w:after="40"/>
              <w:jc w:val="center"/>
            </w:pPr>
            <w:r>
              <w:rPr>
                <w:rFonts w:ascii="Arial" w:hAnsi="Arial"/>
                <w:b/>
                <w:color w:val="FFFFFF"/>
                <w:sz w:val="19"/>
              </w:rPr>
              <w:t>mAP@50 (%)</w:t>
            </w:r>
          </w:p>
        </w:tc>
        <w:tc>
          <w:tcPr>
            <w:tcW w:type="dxa" w:w="1296"/>
            <w:shd w:val="clear" w:color="auto" w:fill="1E3A8A"/>
            <w:tcMar>
              <w:top w:w="120" w:type="dxa"/>
              <w:bottom w:w="120" w:type="dxa"/>
              <w:left w:w="120" w:type="dxa"/>
              <w:right w:w="120" w:type="dxa"/>
            </w:tcMar>
            <w:vAlign w:val="center"/>
          </w:tcPr>
          <w:p>
            <w:pPr>
              <w:spacing w:before="40" w:after="40"/>
              <w:jc w:val="center"/>
            </w:pPr>
            <w:r>
              <w:rPr>
                <w:rFonts w:ascii="Arial" w:hAnsi="Arial"/>
                <w:b/>
                <w:color w:val="FFFFFF"/>
                <w:sz w:val="19"/>
              </w:rPr>
              <w:t>Precision (%)</w:t>
            </w:r>
          </w:p>
        </w:tc>
        <w:tc>
          <w:tcPr>
            <w:tcW w:type="dxa" w:w="1296"/>
            <w:shd w:val="clear" w:color="auto" w:fill="1E3A8A"/>
            <w:tcMar>
              <w:top w:w="120" w:type="dxa"/>
              <w:bottom w:w="120" w:type="dxa"/>
              <w:left w:w="120" w:type="dxa"/>
              <w:right w:w="120" w:type="dxa"/>
            </w:tcMar>
            <w:vAlign w:val="center"/>
          </w:tcPr>
          <w:p>
            <w:pPr>
              <w:spacing w:before="40" w:after="40"/>
              <w:jc w:val="center"/>
            </w:pPr>
            <w:r>
              <w:rPr>
                <w:rFonts w:ascii="Arial" w:hAnsi="Arial"/>
                <w:b/>
                <w:color w:val="FFFFFF"/>
                <w:sz w:val="19"/>
              </w:rPr>
              <w:t>Recall (%)</w:t>
            </w:r>
          </w:p>
        </w:tc>
        <w:tc>
          <w:tcPr>
            <w:tcW w:type="dxa" w:w="1152"/>
            <w:shd w:val="clear" w:color="auto" w:fill="1E3A8A"/>
            <w:tcMar>
              <w:top w:w="120" w:type="dxa"/>
              <w:bottom w:w="120" w:type="dxa"/>
              <w:left w:w="120" w:type="dxa"/>
              <w:right w:w="120" w:type="dxa"/>
            </w:tcMar>
            <w:vAlign w:val="center"/>
          </w:tcPr>
          <w:p>
            <w:pPr>
              <w:spacing w:before="40" w:after="40"/>
              <w:jc w:val="center"/>
            </w:pPr>
            <w:r>
              <w:rPr>
                <w:rFonts w:ascii="Arial" w:hAnsi="Arial"/>
                <w:b/>
                <w:color w:val="FFFFFF"/>
                <w:sz w:val="19"/>
              </w:rPr>
              <w:t>F1-Score (%)</w:t>
            </w:r>
          </w:p>
        </w:tc>
      </w:tr>
      <w:tr>
        <w:tc>
          <w:tcPr>
            <w:tcW w:type="dxa" w:w="2304"/>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Overall Model (Test Set)</w:t>
            </w:r>
          </w:p>
        </w:tc>
        <w:tc>
          <w:tcPr>
            <w:tcW w:type="dxa" w:w="2016"/>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1,500 – 1,800 frames</w:t>
            </w:r>
          </w:p>
        </w:tc>
        <w:tc>
          <w:tcPr>
            <w:tcW w:type="dxa" w:w="1296"/>
            <w:shd w:val="clear" w:color="auto" w:fill="FFFFFF"/>
            <w:tcMar>
              <w:top w:w="90" w:type="dxa"/>
              <w:bottom w:w="90" w:type="dxa"/>
              <w:left w:w="110" w:type="dxa"/>
              <w:right w:w="110" w:type="dxa"/>
            </w:tcMar>
            <w:vAlign w:val="center"/>
          </w:tcPr>
          <w:p>
            <w:pPr>
              <w:spacing w:before="40" w:after="40"/>
              <w:jc w:val="center"/>
            </w:pPr>
            <w:r>
              <w:rPr>
                <w:rFonts w:ascii="Arial" w:hAnsi="Arial"/>
                <w:color w:val="1E293B"/>
                <w:sz w:val="18"/>
              </w:rPr>
              <w:t>96.6%</w:t>
            </w:r>
          </w:p>
        </w:tc>
        <w:tc>
          <w:tcPr>
            <w:tcW w:type="dxa" w:w="1296"/>
            <w:shd w:val="clear" w:color="auto" w:fill="FFFFFF"/>
            <w:tcMar>
              <w:top w:w="90" w:type="dxa"/>
              <w:bottom w:w="90" w:type="dxa"/>
              <w:left w:w="110" w:type="dxa"/>
              <w:right w:w="110" w:type="dxa"/>
            </w:tcMar>
            <w:vAlign w:val="center"/>
          </w:tcPr>
          <w:p>
            <w:pPr>
              <w:spacing w:before="40" w:after="40"/>
              <w:jc w:val="center"/>
            </w:pPr>
            <w:r>
              <w:rPr>
                <w:rFonts w:ascii="Arial" w:hAnsi="Arial"/>
                <w:color w:val="1E293B"/>
                <w:sz w:val="18"/>
              </w:rPr>
              <w:t>97.6%</w:t>
            </w:r>
          </w:p>
        </w:tc>
        <w:tc>
          <w:tcPr>
            <w:tcW w:type="dxa" w:w="1296"/>
            <w:shd w:val="clear" w:color="auto" w:fill="FFFFFF"/>
            <w:tcMar>
              <w:top w:w="90" w:type="dxa"/>
              <w:bottom w:w="90" w:type="dxa"/>
              <w:left w:w="110" w:type="dxa"/>
              <w:right w:w="110" w:type="dxa"/>
            </w:tcMar>
            <w:vAlign w:val="center"/>
          </w:tcPr>
          <w:p>
            <w:pPr>
              <w:spacing w:before="40" w:after="40"/>
              <w:jc w:val="center"/>
            </w:pPr>
            <w:r>
              <w:rPr>
                <w:rFonts w:ascii="Arial" w:hAnsi="Arial"/>
                <w:color w:val="1E293B"/>
                <w:sz w:val="18"/>
              </w:rPr>
              <w:t>97.2%</w:t>
            </w:r>
          </w:p>
        </w:tc>
        <w:tc>
          <w:tcPr>
            <w:tcW w:type="dxa" w:w="1152"/>
            <w:shd w:val="clear" w:color="auto" w:fill="FFFFFF"/>
            <w:tcMar>
              <w:top w:w="90" w:type="dxa"/>
              <w:bottom w:w="90" w:type="dxa"/>
              <w:left w:w="110" w:type="dxa"/>
              <w:right w:w="110" w:type="dxa"/>
            </w:tcMar>
            <w:vAlign w:val="center"/>
          </w:tcPr>
          <w:p>
            <w:pPr>
              <w:spacing w:before="40" w:after="40"/>
              <w:jc w:val="center"/>
            </w:pPr>
            <w:r>
              <w:rPr>
                <w:rFonts w:ascii="Arial" w:hAnsi="Arial"/>
                <w:color w:val="1E293B"/>
                <w:sz w:val="18"/>
              </w:rPr>
              <w:t>97.4%</w:t>
            </w:r>
          </w:p>
        </w:tc>
      </w:tr>
      <w:tr>
        <w:tc>
          <w:tcPr>
            <w:tcW w:type="dxa" w:w="2304"/>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piglet (Newborn &amp; Nursing)</w:t>
            </w:r>
          </w:p>
        </w:tc>
        <w:tc>
          <w:tcPr>
            <w:tcW w:type="dxa" w:w="2016"/>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Custom Annotated</w:t>
            </w:r>
          </w:p>
        </w:tc>
        <w:tc>
          <w:tcPr>
            <w:tcW w:type="dxa" w:w="1296"/>
            <w:shd w:val="clear" w:color="auto" w:fill="F8FAFC"/>
            <w:tcMar>
              <w:top w:w="90" w:type="dxa"/>
              <w:bottom w:w="90" w:type="dxa"/>
              <w:left w:w="110" w:type="dxa"/>
              <w:right w:w="110" w:type="dxa"/>
            </w:tcMar>
            <w:vAlign w:val="center"/>
          </w:tcPr>
          <w:p>
            <w:pPr>
              <w:spacing w:before="40" w:after="40"/>
              <w:jc w:val="center"/>
            </w:pPr>
            <w:r>
              <w:rPr>
                <w:rFonts w:ascii="Arial" w:hAnsi="Arial"/>
                <w:color w:val="1E293B"/>
                <w:sz w:val="18"/>
              </w:rPr>
              <w:t>90.1% – 95.2%</w:t>
            </w:r>
          </w:p>
        </w:tc>
        <w:tc>
          <w:tcPr>
            <w:tcW w:type="dxa" w:w="1296"/>
            <w:shd w:val="clear" w:color="auto" w:fill="F8FAFC"/>
            <w:tcMar>
              <w:top w:w="90" w:type="dxa"/>
              <w:bottom w:w="90" w:type="dxa"/>
              <w:left w:w="110" w:type="dxa"/>
              <w:right w:w="110" w:type="dxa"/>
            </w:tcMar>
            <w:vAlign w:val="center"/>
          </w:tcPr>
          <w:p>
            <w:pPr>
              <w:spacing w:before="40" w:after="40"/>
              <w:jc w:val="center"/>
            </w:pPr>
            <w:r>
              <w:rPr>
                <w:rFonts w:ascii="Arial" w:hAnsi="Arial"/>
                <w:color w:val="1E293B"/>
                <w:sz w:val="18"/>
              </w:rPr>
              <w:t>94.5%</w:t>
            </w:r>
          </w:p>
        </w:tc>
        <w:tc>
          <w:tcPr>
            <w:tcW w:type="dxa" w:w="1296"/>
            <w:shd w:val="clear" w:color="auto" w:fill="F8FAFC"/>
            <w:tcMar>
              <w:top w:w="90" w:type="dxa"/>
              <w:bottom w:w="90" w:type="dxa"/>
              <w:left w:w="110" w:type="dxa"/>
              <w:right w:w="110" w:type="dxa"/>
            </w:tcMar>
            <w:vAlign w:val="center"/>
          </w:tcPr>
          <w:p>
            <w:pPr>
              <w:spacing w:before="40" w:after="40"/>
              <w:jc w:val="center"/>
            </w:pPr>
            <w:r>
              <w:rPr>
                <w:rFonts w:ascii="Arial" w:hAnsi="Arial"/>
                <w:color w:val="1E293B"/>
                <w:sz w:val="18"/>
              </w:rPr>
              <w:t>93.8%</w:t>
            </w:r>
          </w:p>
        </w:tc>
        <w:tc>
          <w:tcPr>
            <w:tcW w:type="dxa" w:w="1152"/>
            <w:shd w:val="clear" w:color="auto" w:fill="F8FAFC"/>
            <w:tcMar>
              <w:top w:w="90" w:type="dxa"/>
              <w:bottom w:w="90" w:type="dxa"/>
              <w:left w:w="110" w:type="dxa"/>
              <w:right w:w="110" w:type="dxa"/>
            </w:tcMar>
            <w:vAlign w:val="center"/>
          </w:tcPr>
          <w:p>
            <w:pPr>
              <w:spacing w:before="40" w:after="40"/>
              <w:jc w:val="center"/>
            </w:pPr>
            <w:r>
              <w:rPr>
                <w:rFonts w:ascii="Arial" w:hAnsi="Arial"/>
                <w:color w:val="1E293B"/>
                <w:sz w:val="18"/>
              </w:rPr>
              <w:t>94.1%</w:t>
            </w:r>
          </w:p>
        </w:tc>
      </w:tr>
      <w:tr>
        <w:tc>
          <w:tcPr>
            <w:tcW w:type="dxa" w:w="2304"/>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sow-stand (Standing)</w:t>
            </w:r>
          </w:p>
        </w:tc>
        <w:tc>
          <w:tcPr>
            <w:tcW w:type="dxa" w:w="2016"/>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Custom Annotated</w:t>
            </w:r>
          </w:p>
        </w:tc>
        <w:tc>
          <w:tcPr>
            <w:tcW w:type="dxa" w:w="1296"/>
            <w:shd w:val="clear" w:color="auto" w:fill="FFFFFF"/>
            <w:tcMar>
              <w:top w:w="90" w:type="dxa"/>
              <w:bottom w:w="90" w:type="dxa"/>
              <w:left w:w="110" w:type="dxa"/>
              <w:right w:w="110" w:type="dxa"/>
            </w:tcMar>
            <w:vAlign w:val="center"/>
          </w:tcPr>
          <w:p>
            <w:pPr>
              <w:spacing w:before="40" w:after="40"/>
              <w:jc w:val="center"/>
            </w:pPr>
            <w:r>
              <w:rPr>
                <w:rFonts w:ascii="Arial" w:hAnsi="Arial"/>
                <w:color w:val="1E293B"/>
                <w:sz w:val="18"/>
              </w:rPr>
              <w:t>95.8%</w:t>
            </w:r>
          </w:p>
        </w:tc>
        <w:tc>
          <w:tcPr>
            <w:tcW w:type="dxa" w:w="1296"/>
            <w:shd w:val="clear" w:color="auto" w:fill="FFFFFF"/>
            <w:tcMar>
              <w:top w:w="90" w:type="dxa"/>
              <w:bottom w:w="90" w:type="dxa"/>
              <w:left w:w="110" w:type="dxa"/>
              <w:right w:w="110" w:type="dxa"/>
            </w:tcMar>
            <w:vAlign w:val="center"/>
          </w:tcPr>
          <w:p>
            <w:pPr>
              <w:spacing w:before="40" w:after="40"/>
              <w:jc w:val="center"/>
            </w:pPr>
            <w:r>
              <w:rPr>
                <w:rFonts w:ascii="Arial" w:hAnsi="Arial"/>
                <w:color w:val="1E293B"/>
                <w:sz w:val="18"/>
              </w:rPr>
              <w:t>96.4%</w:t>
            </w:r>
          </w:p>
        </w:tc>
        <w:tc>
          <w:tcPr>
            <w:tcW w:type="dxa" w:w="1296"/>
            <w:shd w:val="clear" w:color="auto" w:fill="FFFFFF"/>
            <w:tcMar>
              <w:top w:w="90" w:type="dxa"/>
              <w:bottom w:w="90" w:type="dxa"/>
              <w:left w:w="110" w:type="dxa"/>
              <w:right w:w="110" w:type="dxa"/>
            </w:tcMar>
            <w:vAlign w:val="center"/>
          </w:tcPr>
          <w:p>
            <w:pPr>
              <w:spacing w:before="40" w:after="40"/>
              <w:jc w:val="center"/>
            </w:pPr>
            <w:r>
              <w:rPr>
                <w:rFonts w:ascii="Arial" w:hAnsi="Arial"/>
                <w:color w:val="1E293B"/>
                <w:sz w:val="18"/>
              </w:rPr>
              <w:t>95.1%</w:t>
            </w:r>
          </w:p>
        </w:tc>
        <w:tc>
          <w:tcPr>
            <w:tcW w:type="dxa" w:w="1152"/>
            <w:shd w:val="clear" w:color="auto" w:fill="FFFFFF"/>
            <w:tcMar>
              <w:top w:w="90" w:type="dxa"/>
              <w:bottom w:w="90" w:type="dxa"/>
              <w:left w:w="110" w:type="dxa"/>
              <w:right w:w="110" w:type="dxa"/>
            </w:tcMar>
            <w:vAlign w:val="center"/>
          </w:tcPr>
          <w:p>
            <w:pPr>
              <w:spacing w:before="40" w:after="40"/>
              <w:jc w:val="center"/>
            </w:pPr>
            <w:r>
              <w:rPr>
                <w:rFonts w:ascii="Arial" w:hAnsi="Arial"/>
                <w:color w:val="1E293B"/>
                <w:sz w:val="18"/>
              </w:rPr>
              <w:t>95.7%</w:t>
            </w:r>
          </w:p>
        </w:tc>
      </w:tr>
      <w:tr>
        <w:tc>
          <w:tcPr>
            <w:tcW w:type="dxa" w:w="2304"/>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sow-sit (Sitting)</w:t>
            </w:r>
          </w:p>
        </w:tc>
        <w:tc>
          <w:tcPr>
            <w:tcW w:type="dxa" w:w="2016"/>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Custom Annotated</w:t>
            </w:r>
          </w:p>
        </w:tc>
        <w:tc>
          <w:tcPr>
            <w:tcW w:type="dxa" w:w="1296"/>
            <w:shd w:val="clear" w:color="auto" w:fill="F8FAFC"/>
            <w:tcMar>
              <w:top w:w="90" w:type="dxa"/>
              <w:bottom w:w="90" w:type="dxa"/>
              <w:left w:w="110" w:type="dxa"/>
              <w:right w:w="110" w:type="dxa"/>
            </w:tcMar>
            <w:vAlign w:val="center"/>
          </w:tcPr>
          <w:p>
            <w:pPr>
              <w:spacing w:before="40" w:after="40"/>
              <w:jc w:val="center"/>
            </w:pPr>
            <w:r>
              <w:rPr>
                <w:rFonts w:ascii="Arial" w:hAnsi="Arial"/>
                <w:color w:val="1E293B"/>
                <w:sz w:val="18"/>
              </w:rPr>
              <w:t>91.2%</w:t>
            </w:r>
          </w:p>
        </w:tc>
        <w:tc>
          <w:tcPr>
            <w:tcW w:type="dxa" w:w="1296"/>
            <w:shd w:val="clear" w:color="auto" w:fill="F8FAFC"/>
            <w:tcMar>
              <w:top w:w="90" w:type="dxa"/>
              <w:bottom w:w="90" w:type="dxa"/>
              <w:left w:w="110" w:type="dxa"/>
              <w:right w:w="110" w:type="dxa"/>
            </w:tcMar>
            <w:vAlign w:val="center"/>
          </w:tcPr>
          <w:p>
            <w:pPr>
              <w:spacing w:before="40" w:after="40"/>
              <w:jc w:val="center"/>
            </w:pPr>
            <w:r>
              <w:rPr>
                <w:rFonts w:ascii="Arial" w:hAnsi="Arial"/>
                <w:color w:val="1E293B"/>
                <w:sz w:val="18"/>
              </w:rPr>
              <w:t>93.0%</w:t>
            </w:r>
          </w:p>
        </w:tc>
        <w:tc>
          <w:tcPr>
            <w:tcW w:type="dxa" w:w="1296"/>
            <w:shd w:val="clear" w:color="auto" w:fill="F8FAFC"/>
            <w:tcMar>
              <w:top w:w="90" w:type="dxa"/>
              <w:bottom w:w="90" w:type="dxa"/>
              <w:left w:w="110" w:type="dxa"/>
              <w:right w:w="110" w:type="dxa"/>
            </w:tcMar>
            <w:vAlign w:val="center"/>
          </w:tcPr>
          <w:p>
            <w:pPr>
              <w:spacing w:before="40" w:after="40"/>
              <w:jc w:val="center"/>
            </w:pPr>
            <w:r>
              <w:rPr>
                <w:rFonts w:ascii="Arial" w:hAnsi="Arial"/>
                <w:color w:val="1E293B"/>
                <w:sz w:val="18"/>
              </w:rPr>
              <w:t>90.5%</w:t>
            </w:r>
          </w:p>
        </w:tc>
        <w:tc>
          <w:tcPr>
            <w:tcW w:type="dxa" w:w="1152"/>
            <w:shd w:val="clear" w:color="auto" w:fill="F8FAFC"/>
            <w:tcMar>
              <w:top w:w="90" w:type="dxa"/>
              <w:bottom w:w="90" w:type="dxa"/>
              <w:left w:w="110" w:type="dxa"/>
              <w:right w:w="110" w:type="dxa"/>
            </w:tcMar>
            <w:vAlign w:val="center"/>
          </w:tcPr>
          <w:p>
            <w:pPr>
              <w:spacing w:before="40" w:after="40"/>
              <w:jc w:val="center"/>
            </w:pPr>
            <w:r>
              <w:rPr>
                <w:rFonts w:ascii="Arial" w:hAnsi="Arial"/>
                <w:color w:val="1E293B"/>
                <w:sz w:val="18"/>
              </w:rPr>
              <w:t>91.7%</w:t>
            </w:r>
          </w:p>
        </w:tc>
      </w:tr>
      <w:tr>
        <w:tc>
          <w:tcPr>
            <w:tcW w:type="dxa" w:w="2304"/>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sow-sleep (Lateral Lying)</w:t>
            </w:r>
          </w:p>
        </w:tc>
        <w:tc>
          <w:tcPr>
            <w:tcW w:type="dxa" w:w="2016"/>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Custom Annotated</w:t>
            </w:r>
          </w:p>
        </w:tc>
        <w:tc>
          <w:tcPr>
            <w:tcW w:type="dxa" w:w="1296"/>
            <w:shd w:val="clear" w:color="auto" w:fill="FFFFFF"/>
            <w:tcMar>
              <w:top w:w="90" w:type="dxa"/>
              <w:bottom w:w="90" w:type="dxa"/>
              <w:left w:w="110" w:type="dxa"/>
              <w:right w:w="110" w:type="dxa"/>
            </w:tcMar>
            <w:vAlign w:val="center"/>
          </w:tcPr>
          <w:p>
            <w:pPr>
              <w:spacing w:before="40" w:after="40"/>
              <w:jc w:val="center"/>
            </w:pPr>
            <w:r>
              <w:rPr>
                <w:rFonts w:ascii="Arial" w:hAnsi="Arial"/>
                <w:color w:val="1E293B"/>
                <w:sz w:val="18"/>
              </w:rPr>
              <w:t>96.4%</w:t>
            </w:r>
          </w:p>
        </w:tc>
        <w:tc>
          <w:tcPr>
            <w:tcW w:type="dxa" w:w="1296"/>
            <w:shd w:val="clear" w:color="auto" w:fill="FFFFFF"/>
            <w:tcMar>
              <w:top w:w="90" w:type="dxa"/>
              <w:bottom w:w="90" w:type="dxa"/>
              <w:left w:w="110" w:type="dxa"/>
              <w:right w:w="110" w:type="dxa"/>
            </w:tcMar>
            <w:vAlign w:val="center"/>
          </w:tcPr>
          <w:p>
            <w:pPr>
              <w:spacing w:before="40" w:after="40"/>
              <w:jc w:val="center"/>
            </w:pPr>
            <w:r>
              <w:rPr>
                <w:rFonts w:ascii="Arial" w:hAnsi="Arial"/>
                <w:color w:val="1E293B"/>
                <w:sz w:val="18"/>
              </w:rPr>
              <w:t>97.8%</w:t>
            </w:r>
          </w:p>
        </w:tc>
        <w:tc>
          <w:tcPr>
            <w:tcW w:type="dxa" w:w="1296"/>
            <w:shd w:val="clear" w:color="auto" w:fill="FFFFFF"/>
            <w:tcMar>
              <w:top w:w="90" w:type="dxa"/>
              <w:bottom w:w="90" w:type="dxa"/>
              <w:left w:w="110" w:type="dxa"/>
              <w:right w:w="110" w:type="dxa"/>
            </w:tcMar>
            <w:vAlign w:val="center"/>
          </w:tcPr>
          <w:p>
            <w:pPr>
              <w:spacing w:before="40" w:after="40"/>
              <w:jc w:val="center"/>
            </w:pPr>
            <w:r>
              <w:rPr>
                <w:rFonts w:ascii="Arial" w:hAnsi="Arial"/>
                <w:color w:val="1E293B"/>
                <w:sz w:val="18"/>
              </w:rPr>
              <w:t>96.5%</w:t>
            </w:r>
          </w:p>
        </w:tc>
        <w:tc>
          <w:tcPr>
            <w:tcW w:type="dxa" w:w="1152"/>
            <w:shd w:val="clear" w:color="auto" w:fill="FFFFFF"/>
            <w:tcMar>
              <w:top w:w="90" w:type="dxa"/>
              <w:bottom w:w="90" w:type="dxa"/>
              <w:left w:w="110" w:type="dxa"/>
              <w:right w:w="110" w:type="dxa"/>
            </w:tcMar>
            <w:vAlign w:val="center"/>
          </w:tcPr>
          <w:p>
            <w:pPr>
              <w:spacing w:before="40" w:after="40"/>
              <w:jc w:val="center"/>
            </w:pPr>
            <w:r>
              <w:rPr>
                <w:rFonts w:ascii="Arial" w:hAnsi="Arial"/>
                <w:color w:val="1E293B"/>
                <w:sz w:val="18"/>
              </w:rPr>
              <w:t>97.1%</w:t>
            </w:r>
          </w:p>
        </w:tc>
      </w:tr>
      <w:tr>
        <w:tc>
          <w:tcPr>
            <w:tcW w:type="dxa" w:w="2304"/>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sow-sleep-lactate (Nursing)</w:t>
            </w:r>
          </w:p>
        </w:tc>
        <w:tc>
          <w:tcPr>
            <w:tcW w:type="dxa" w:w="2016"/>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Custom Annotated</w:t>
            </w:r>
          </w:p>
        </w:tc>
        <w:tc>
          <w:tcPr>
            <w:tcW w:type="dxa" w:w="1296"/>
            <w:shd w:val="clear" w:color="auto" w:fill="F8FAFC"/>
            <w:tcMar>
              <w:top w:w="90" w:type="dxa"/>
              <w:bottom w:w="90" w:type="dxa"/>
              <w:left w:w="110" w:type="dxa"/>
              <w:right w:w="110" w:type="dxa"/>
            </w:tcMar>
            <w:vAlign w:val="center"/>
          </w:tcPr>
          <w:p>
            <w:pPr>
              <w:spacing w:before="40" w:after="40"/>
              <w:jc w:val="center"/>
            </w:pPr>
            <w:r>
              <w:rPr>
                <w:rFonts w:ascii="Arial" w:hAnsi="Arial"/>
                <w:color w:val="1E293B"/>
                <w:sz w:val="18"/>
              </w:rPr>
              <w:t>93.5%</w:t>
            </w:r>
          </w:p>
        </w:tc>
        <w:tc>
          <w:tcPr>
            <w:tcW w:type="dxa" w:w="1296"/>
            <w:shd w:val="clear" w:color="auto" w:fill="F8FAFC"/>
            <w:tcMar>
              <w:top w:w="90" w:type="dxa"/>
              <w:bottom w:w="90" w:type="dxa"/>
              <w:left w:w="110" w:type="dxa"/>
              <w:right w:w="110" w:type="dxa"/>
            </w:tcMar>
            <w:vAlign w:val="center"/>
          </w:tcPr>
          <w:p>
            <w:pPr>
              <w:spacing w:before="40" w:after="40"/>
              <w:jc w:val="center"/>
            </w:pPr>
            <w:r>
              <w:rPr>
                <w:rFonts w:ascii="Arial" w:hAnsi="Arial"/>
                <w:color w:val="1E293B"/>
                <w:sz w:val="18"/>
              </w:rPr>
              <w:t>95.2%</w:t>
            </w:r>
          </w:p>
        </w:tc>
        <w:tc>
          <w:tcPr>
            <w:tcW w:type="dxa" w:w="1296"/>
            <w:shd w:val="clear" w:color="auto" w:fill="F8FAFC"/>
            <w:tcMar>
              <w:top w:w="90" w:type="dxa"/>
              <w:bottom w:w="90" w:type="dxa"/>
              <w:left w:w="110" w:type="dxa"/>
              <w:right w:w="110" w:type="dxa"/>
            </w:tcMar>
            <w:vAlign w:val="center"/>
          </w:tcPr>
          <w:p>
            <w:pPr>
              <w:spacing w:before="40" w:after="40"/>
              <w:jc w:val="center"/>
            </w:pPr>
            <w:r>
              <w:rPr>
                <w:rFonts w:ascii="Arial" w:hAnsi="Arial"/>
                <w:color w:val="1E293B"/>
                <w:sz w:val="18"/>
              </w:rPr>
              <w:t>94.0%</w:t>
            </w:r>
          </w:p>
        </w:tc>
        <w:tc>
          <w:tcPr>
            <w:tcW w:type="dxa" w:w="1152"/>
            <w:shd w:val="clear" w:color="auto" w:fill="F8FAFC"/>
            <w:tcMar>
              <w:top w:w="90" w:type="dxa"/>
              <w:bottom w:w="90" w:type="dxa"/>
              <w:left w:w="110" w:type="dxa"/>
              <w:right w:w="110" w:type="dxa"/>
            </w:tcMar>
            <w:vAlign w:val="center"/>
          </w:tcPr>
          <w:p>
            <w:pPr>
              <w:spacing w:before="40" w:after="40"/>
              <w:jc w:val="center"/>
            </w:pPr>
            <w:r>
              <w:rPr>
                <w:rFonts w:ascii="Arial" w:hAnsi="Arial"/>
                <w:color w:val="1E293B"/>
                <w:sz w:val="18"/>
              </w:rPr>
              <w:t>94.6%</w:t>
            </w:r>
          </w:p>
        </w:tc>
      </w:tr>
      <w:tr>
        <w:tc>
          <w:tcPr>
            <w:tcW w:type="dxa" w:w="2304"/>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sow-stand-feed (Feeding)</w:t>
            </w:r>
          </w:p>
        </w:tc>
        <w:tc>
          <w:tcPr>
            <w:tcW w:type="dxa" w:w="2016"/>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Custom Annotated</w:t>
            </w:r>
          </w:p>
        </w:tc>
        <w:tc>
          <w:tcPr>
            <w:tcW w:type="dxa" w:w="1296"/>
            <w:shd w:val="clear" w:color="auto" w:fill="FFFFFF"/>
            <w:tcMar>
              <w:top w:w="90" w:type="dxa"/>
              <w:bottom w:w="90" w:type="dxa"/>
              <w:left w:w="110" w:type="dxa"/>
              <w:right w:w="110" w:type="dxa"/>
            </w:tcMar>
            <w:vAlign w:val="center"/>
          </w:tcPr>
          <w:p>
            <w:pPr>
              <w:spacing w:before="40" w:after="40"/>
              <w:jc w:val="center"/>
            </w:pPr>
            <w:r>
              <w:rPr>
                <w:rFonts w:ascii="Arial" w:hAnsi="Arial"/>
                <w:color w:val="1E293B"/>
                <w:sz w:val="18"/>
              </w:rPr>
              <w:t>94.8%</w:t>
            </w:r>
          </w:p>
        </w:tc>
        <w:tc>
          <w:tcPr>
            <w:tcW w:type="dxa" w:w="1296"/>
            <w:shd w:val="clear" w:color="auto" w:fill="FFFFFF"/>
            <w:tcMar>
              <w:top w:w="90" w:type="dxa"/>
              <w:bottom w:w="90" w:type="dxa"/>
              <w:left w:w="110" w:type="dxa"/>
              <w:right w:w="110" w:type="dxa"/>
            </w:tcMar>
            <w:vAlign w:val="center"/>
          </w:tcPr>
          <w:p>
            <w:pPr>
              <w:spacing w:before="40" w:after="40"/>
              <w:jc w:val="center"/>
            </w:pPr>
            <w:r>
              <w:rPr>
                <w:rFonts w:ascii="Arial" w:hAnsi="Arial"/>
                <w:color w:val="1E293B"/>
                <w:sz w:val="18"/>
              </w:rPr>
              <w:t>96.0%</w:t>
            </w:r>
          </w:p>
        </w:tc>
        <w:tc>
          <w:tcPr>
            <w:tcW w:type="dxa" w:w="1296"/>
            <w:shd w:val="clear" w:color="auto" w:fill="FFFFFF"/>
            <w:tcMar>
              <w:top w:w="90" w:type="dxa"/>
              <w:bottom w:w="90" w:type="dxa"/>
              <w:left w:w="110" w:type="dxa"/>
              <w:right w:w="110" w:type="dxa"/>
            </w:tcMar>
            <w:vAlign w:val="center"/>
          </w:tcPr>
          <w:p>
            <w:pPr>
              <w:spacing w:before="40" w:after="40"/>
              <w:jc w:val="center"/>
            </w:pPr>
            <w:r>
              <w:rPr>
                <w:rFonts w:ascii="Arial" w:hAnsi="Arial"/>
                <w:color w:val="1E293B"/>
                <w:sz w:val="18"/>
              </w:rPr>
              <w:t>95.3%</w:t>
            </w:r>
          </w:p>
        </w:tc>
        <w:tc>
          <w:tcPr>
            <w:tcW w:type="dxa" w:w="1152"/>
            <w:shd w:val="clear" w:color="auto" w:fill="FFFFFF"/>
            <w:tcMar>
              <w:top w:w="90" w:type="dxa"/>
              <w:bottom w:w="90" w:type="dxa"/>
              <w:left w:w="110" w:type="dxa"/>
              <w:right w:w="110" w:type="dxa"/>
            </w:tcMar>
            <w:vAlign w:val="center"/>
          </w:tcPr>
          <w:p>
            <w:pPr>
              <w:spacing w:before="40" w:after="40"/>
              <w:jc w:val="center"/>
            </w:pPr>
            <w:r>
              <w:rPr>
                <w:rFonts w:ascii="Arial" w:hAnsi="Arial"/>
                <w:color w:val="1E293B"/>
                <w:sz w:val="18"/>
              </w:rPr>
              <w:t>95.6%</w:t>
            </w:r>
          </w:p>
        </w:tc>
      </w:tr>
    </w:tbl>
    <w:p>
      <w:pPr>
        <w:spacing w:before="60" w:after="120"/>
      </w:pPr>
      <w:r>
        <w:rPr>
          <w:i/>
          <w:color w:val="475569"/>
          <w:sz w:val="18"/>
        </w:rPr>
        <w:t>Note: The overall test set achieved mAP@50 = 96.6%, Precision = 97.6%, Recall = 97.2%, and F1 = 97.4%, comfortably exceeding the project's target threshold of 95.0% mAP.</w:t>
      </w:r>
    </w:p>
    <w:p>
      <w:pPr>
        <w:pStyle w:val="Heading2"/>
        <w:spacing w:before="160" w:after="60"/>
      </w:pPr>
      <w:r>
        <w:rPr>
          <w:b/>
          <w:color w:val="0F172A"/>
          <w:sz w:val="23"/>
        </w:rPr>
        <w:t>1.2.2 Functional Testing Presentation Strategy</w:t>
      </w:r>
    </w:p>
    <w:p>
      <w:pPr>
        <w:spacing w:after="80" w:line="276" w:lineRule="auto"/>
      </w:pPr>
      <w:r>
        <w:t>Functional testing will be presented in a structured test matrix comparing expected vs. actual outcomes for all 7 primary system capabilities (Table 4.2 in manuscript, verified via test_fire.py integration tests):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tblHeader/>
        </w:trPr>
        <w:tc>
          <w:tcPr>
            <w:tcW w:type="dxa" w:w="1872"/>
            <w:shd w:val="clear" w:color="auto" w:fill="1E3A8A"/>
            <w:tcMar>
              <w:top w:w="120" w:type="dxa"/>
              <w:bottom w:w="120" w:type="dxa"/>
              <w:left w:w="120" w:type="dxa"/>
              <w:right w:w="120" w:type="dxa"/>
            </w:tcMar>
            <w:vAlign w:val="center"/>
          </w:tcPr>
          <w:p>
            <w:pPr>
              <w:spacing w:before="40" w:after="40"/>
              <w:jc w:val="center"/>
            </w:pPr>
            <w:r>
              <w:rPr>
                <w:rFonts w:ascii="Arial" w:hAnsi="Arial"/>
                <w:b/>
                <w:color w:val="FFFFFF"/>
                <w:sz w:val="19"/>
              </w:rPr>
              <w:t>Feature Category</w:t>
            </w:r>
          </w:p>
        </w:tc>
        <w:tc>
          <w:tcPr>
            <w:tcW w:type="dxa" w:w="2016"/>
            <w:shd w:val="clear" w:color="auto" w:fill="1E3A8A"/>
            <w:tcMar>
              <w:top w:w="120" w:type="dxa"/>
              <w:bottom w:w="120" w:type="dxa"/>
              <w:left w:w="120" w:type="dxa"/>
              <w:right w:w="120" w:type="dxa"/>
            </w:tcMar>
            <w:vAlign w:val="center"/>
          </w:tcPr>
          <w:p>
            <w:pPr>
              <w:spacing w:before="40" w:after="40"/>
              <w:jc w:val="center"/>
            </w:pPr>
            <w:r>
              <w:rPr>
                <w:rFonts w:ascii="Arial" w:hAnsi="Arial"/>
                <w:b/>
                <w:color w:val="FFFFFF"/>
                <w:sz w:val="19"/>
              </w:rPr>
              <w:t>Test Procedure</w:t>
            </w:r>
          </w:p>
        </w:tc>
        <w:tc>
          <w:tcPr>
            <w:tcW w:type="dxa" w:w="2016"/>
            <w:shd w:val="clear" w:color="auto" w:fill="1E3A8A"/>
            <w:tcMar>
              <w:top w:w="120" w:type="dxa"/>
              <w:bottom w:w="120" w:type="dxa"/>
              <w:left w:w="120" w:type="dxa"/>
              <w:right w:w="120" w:type="dxa"/>
            </w:tcMar>
            <w:vAlign w:val="center"/>
          </w:tcPr>
          <w:p>
            <w:pPr>
              <w:spacing w:before="40" w:after="40"/>
              <w:jc w:val="center"/>
            </w:pPr>
            <w:r>
              <w:rPr>
                <w:rFonts w:ascii="Arial" w:hAnsi="Arial"/>
                <w:b/>
                <w:color w:val="FFFFFF"/>
                <w:sz w:val="19"/>
              </w:rPr>
              <w:t>Expected Behavior</w:t>
            </w:r>
          </w:p>
        </w:tc>
        <w:tc>
          <w:tcPr>
            <w:tcW w:type="dxa" w:w="2592"/>
            <w:shd w:val="clear" w:color="auto" w:fill="1E3A8A"/>
            <w:tcMar>
              <w:top w:w="120" w:type="dxa"/>
              <w:bottom w:w="120" w:type="dxa"/>
              <w:left w:w="120" w:type="dxa"/>
              <w:right w:w="120" w:type="dxa"/>
            </w:tcMar>
            <w:vAlign w:val="center"/>
          </w:tcPr>
          <w:p>
            <w:pPr>
              <w:spacing w:before="40" w:after="40"/>
              <w:jc w:val="center"/>
            </w:pPr>
            <w:r>
              <w:rPr>
                <w:rFonts w:ascii="Arial" w:hAnsi="Arial"/>
                <w:b/>
                <w:color w:val="FFFFFF"/>
                <w:sz w:val="19"/>
              </w:rPr>
              <w:t>Actual Observed Outcome</w:t>
            </w:r>
          </w:p>
        </w:tc>
        <w:tc>
          <w:tcPr>
            <w:tcW w:type="dxa" w:w="864"/>
            <w:shd w:val="clear" w:color="auto" w:fill="1E3A8A"/>
            <w:tcMar>
              <w:top w:w="120" w:type="dxa"/>
              <w:bottom w:w="120" w:type="dxa"/>
              <w:left w:w="120" w:type="dxa"/>
              <w:right w:w="120" w:type="dxa"/>
            </w:tcMar>
            <w:vAlign w:val="center"/>
          </w:tcPr>
          <w:p>
            <w:pPr>
              <w:spacing w:before="40" w:after="40"/>
              <w:jc w:val="center"/>
            </w:pPr>
            <w:r>
              <w:rPr>
                <w:rFonts w:ascii="Arial" w:hAnsi="Arial"/>
                <w:b/>
                <w:color w:val="FFFFFF"/>
                <w:sz w:val="19"/>
              </w:rPr>
              <w:t>Verdict</w:t>
            </w:r>
          </w:p>
        </w:tc>
      </w:tr>
      <w:tr>
        <w:tc>
          <w:tcPr>
            <w:tcW w:type="dxa" w:w="1872"/>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Real-Time Video Monitoring</w:t>
            </w:r>
          </w:p>
        </w:tc>
        <w:tc>
          <w:tcPr>
            <w:tcW w:type="dxa" w:w="2016"/>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Connect RTSP feeds from pen cameras and observe continuous stream stability.</w:t>
            </w:r>
          </w:p>
        </w:tc>
        <w:tc>
          <w:tcPr>
            <w:tcW w:type="dxa" w:w="2016"/>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Smooth, uninterrupted video displayed on canvas with minimal lag.</w:t>
            </w:r>
          </w:p>
        </w:tc>
        <w:tc>
          <w:tcPr>
            <w:tcW w:type="dxa" w:w="2592"/>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Stream remained stable and displayed in real time without connection drops.</w:t>
            </w:r>
          </w:p>
        </w:tc>
        <w:tc>
          <w:tcPr>
            <w:tcW w:type="dxa" w:w="864"/>
            <w:shd w:val="clear" w:color="auto" w:fill="FFFFFF"/>
            <w:tcMar>
              <w:top w:w="90" w:type="dxa"/>
              <w:bottom w:w="90" w:type="dxa"/>
              <w:left w:w="110" w:type="dxa"/>
              <w:right w:w="110" w:type="dxa"/>
            </w:tcMar>
            <w:vAlign w:val="center"/>
          </w:tcPr>
          <w:p>
            <w:pPr>
              <w:spacing w:before="40" w:after="40"/>
              <w:jc w:val="center"/>
            </w:pPr>
            <w:r>
              <w:rPr>
                <w:rFonts w:ascii="Arial" w:hAnsi="Arial"/>
                <w:b/>
                <w:color w:val="166534"/>
                <w:sz w:val="18"/>
              </w:rPr>
              <w:t>Passed</w:t>
            </w:r>
          </w:p>
        </w:tc>
      </w:tr>
      <w:tr>
        <w:tc>
          <w:tcPr>
            <w:tcW w:type="dxa" w:w="1872"/>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Animal &amp; Object Detection</w:t>
            </w:r>
          </w:p>
        </w:tc>
        <w:tc>
          <w:tcPr>
            <w:tcW w:type="dxa" w:w="2016"/>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Pass live pen footage containing sows and piglets through YOLOv11.</w:t>
            </w:r>
          </w:p>
        </w:tc>
        <w:tc>
          <w:tcPr>
            <w:tcW w:type="dxa" w:w="2016"/>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Correctly detect and locate animals with accurate bounding box classes.</w:t>
            </w:r>
          </w:p>
        </w:tc>
        <w:tc>
          <w:tcPr>
            <w:tcW w:type="dxa" w:w="2592"/>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Sow postures and piglets detected consistently across varied crate positions.</w:t>
            </w:r>
          </w:p>
        </w:tc>
        <w:tc>
          <w:tcPr>
            <w:tcW w:type="dxa" w:w="864"/>
            <w:shd w:val="clear" w:color="auto" w:fill="F8FAFC"/>
            <w:tcMar>
              <w:top w:w="90" w:type="dxa"/>
              <w:bottom w:w="90" w:type="dxa"/>
              <w:left w:w="110" w:type="dxa"/>
              <w:right w:w="110" w:type="dxa"/>
            </w:tcMar>
            <w:vAlign w:val="center"/>
          </w:tcPr>
          <w:p>
            <w:pPr>
              <w:spacing w:before="40" w:after="40"/>
              <w:jc w:val="center"/>
            </w:pPr>
            <w:r>
              <w:rPr>
                <w:rFonts w:ascii="Arial" w:hAnsi="Arial"/>
                <w:b/>
                <w:color w:val="166534"/>
                <w:sz w:val="18"/>
              </w:rPr>
              <w:t>Passed</w:t>
            </w:r>
          </w:p>
        </w:tc>
      </w:tr>
      <w:tr>
        <w:tc>
          <w:tcPr>
            <w:tcW w:type="dxa" w:w="1872"/>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Event Recognition &amp; Labor Tracking</w:t>
            </w:r>
          </w:p>
        </w:tc>
        <w:tc>
          <w:tcPr>
            <w:tcW w:type="dxa" w:w="2016"/>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Simulate labor progression, posture switches, and piglet count increments.</w:t>
            </w:r>
          </w:p>
        </w:tc>
        <w:tc>
          <w:tcPr>
            <w:tcW w:type="dxa" w:w="2016"/>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Identify farrowing onset, birth events, and sow restlessness.</w:t>
            </w:r>
          </w:p>
        </w:tc>
        <w:tc>
          <w:tcPr>
            <w:tcW w:type="dxa" w:w="2592"/>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Correctly recognized birth sequence and flagged behavioral shifts.</w:t>
            </w:r>
          </w:p>
        </w:tc>
        <w:tc>
          <w:tcPr>
            <w:tcW w:type="dxa" w:w="864"/>
            <w:shd w:val="clear" w:color="auto" w:fill="FFFFFF"/>
            <w:tcMar>
              <w:top w:w="90" w:type="dxa"/>
              <w:bottom w:w="90" w:type="dxa"/>
              <w:left w:w="110" w:type="dxa"/>
              <w:right w:w="110" w:type="dxa"/>
            </w:tcMar>
            <w:vAlign w:val="center"/>
          </w:tcPr>
          <w:p>
            <w:pPr>
              <w:spacing w:before="40" w:after="40"/>
              <w:jc w:val="center"/>
            </w:pPr>
            <w:r>
              <w:rPr>
                <w:rFonts w:ascii="Arial" w:hAnsi="Arial"/>
                <w:b/>
                <w:color w:val="166534"/>
                <w:sz w:val="18"/>
              </w:rPr>
              <w:t>Passed</w:t>
            </w:r>
          </w:p>
        </w:tc>
      </w:tr>
      <w:tr>
        <w:tc>
          <w:tcPr>
            <w:tcW w:type="dxa" w:w="1872"/>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Alert &amp; Notification Delivery</w:t>
            </w:r>
          </w:p>
        </w:tc>
        <w:tc>
          <w:tcPr>
            <w:tcW w:type="dxa" w:w="2016"/>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Trigger simulated crushing risk (lateral lying + proximity) and delayed piglet movement.</w:t>
            </w:r>
          </w:p>
        </w:tc>
        <w:tc>
          <w:tcPr>
            <w:tcW w:type="dxa" w:w="2016"/>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Issue instant dashboard banner, audible alarm, and SMS/push notification.</w:t>
            </w:r>
          </w:p>
        </w:tc>
        <w:tc>
          <w:tcPr>
            <w:tcW w:type="dxa" w:w="2592"/>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Alerts dispatched within 5–15 seconds; received on dashboard and mobile device.</w:t>
            </w:r>
          </w:p>
        </w:tc>
        <w:tc>
          <w:tcPr>
            <w:tcW w:type="dxa" w:w="864"/>
            <w:shd w:val="clear" w:color="auto" w:fill="F8FAFC"/>
            <w:tcMar>
              <w:top w:w="90" w:type="dxa"/>
              <w:bottom w:w="90" w:type="dxa"/>
              <w:left w:w="110" w:type="dxa"/>
              <w:right w:w="110" w:type="dxa"/>
            </w:tcMar>
            <w:vAlign w:val="center"/>
          </w:tcPr>
          <w:p>
            <w:pPr>
              <w:spacing w:before="40" w:after="40"/>
              <w:jc w:val="center"/>
            </w:pPr>
            <w:r>
              <w:rPr>
                <w:rFonts w:ascii="Arial" w:hAnsi="Arial"/>
                <w:b/>
                <w:color w:val="166534"/>
                <w:sz w:val="18"/>
              </w:rPr>
              <w:t>Passed</w:t>
            </w:r>
          </w:p>
        </w:tc>
      </w:tr>
      <w:tr>
        <w:tc>
          <w:tcPr>
            <w:tcW w:type="dxa" w:w="1872"/>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Data Logging &amp; Persistence</w:t>
            </w:r>
          </w:p>
        </w:tc>
        <w:tc>
          <w:tcPr>
            <w:tcW w:type="dxa" w:w="2016"/>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Ingest 12-second behavioral telemetry into PostgreSQL database.</w:t>
            </w:r>
          </w:p>
        </w:tc>
        <w:tc>
          <w:tcPr>
            <w:tcW w:type="dxa" w:w="2016"/>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Store accurate timestamps, posture, piglet counts, and risk scores.</w:t>
            </w:r>
          </w:p>
        </w:tc>
        <w:tc>
          <w:tcPr>
            <w:tcW w:type="dxa" w:w="2592"/>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Records stored with relational integrity; retrievable via REST API.</w:t>
            </w:r>
          </w:p>
        </w:tc>
        <w:tc>
          <w:tcPr>
            <w:tcW w:type="dxa" w:w="864"/>
            <w:shd w:val="clear" w:color="auto" w:fill="FFFFFF"/>
            <w:tcMar>
              <w:top w:w="90" w:type="dxa"/>
              <w:bottom w:w="90" w:type="dxa"/>
              <w:left w:w="110" w:type="dxa"/>
              <w:right w:w="110" w:type="dxa"/>
            </w:tcMar>
            <w:vAlign w:val="center"/>
          </w:tcPr>
          <w:p>
            <w:pPr>
              <w:spacing w:before="40" w:after="40"/>
              <w:jc w:val="center"/>
            </w:pPr>
            <w:r>
              <w:rPr>
                <w:rFonts w:ascii="Arial" w:hAnsi="Arial"/>
                <w:b/>
                <w:color w:val="166534"/>
                <w:sz w:val="18"/>
              </w:rPr>
              <w:t>Passed</w:t>
            </w:r>
          </w:p>
        </w:tc>
      </w:tr>
      <w:tr>
        <w:tc>
          <w:tcPr>
            <w:tcW w:type="dxa" w:w="1872"/>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Dashboard Presentation</w:t>
            </w:r>
          </w:p>
        </w:tc>
        <w:tc>
          <w:tcPr>
            <w:tcW w:type="dxa" w:w="2016"/>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Verify data visualization across live feeds, sparklines, and tables.</w:t>
            </w:r>
          </w:p>
        </w:tc>
        <w:tc>
          <w:tcPr>
            <w:tcW w:type="dxa" w:w="2016"/>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Present real-time and historical analytics in a clean, legible layout.</w:t>
            </w:r>
          </w:p>
        </w:tc>
        <w:tc>
          <w:tcPr>
            <w:tcW w:type="dxa" w:w="2592"/>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Dashboard rendered charts, pen cards, and alert history without UI lag.</w:t>
            </w:r>
          </w:p>
        </w:tc>
        <w:tc>
          <w:tcPr>
            <w:tcW w:type="dxa" w:w="864"/>
            <w:shd w:val="clear" w:color="auto" w:fill="F8FAFC"/>
            <w:tcMar>
              <w:top w:w="90" w:type="dxa"/>
              <w:bottom w:w="90" w:type="dxa"/>
              <w:left w:w="110" w:type="dxa"/>
              <w:right w:w="110" w:type="dxa"/>
            </w:tcMar>
            <w:vAlign w:val="center"/>
          </w:tcPr>
          <w:p>
            <w:pPr>
              <w:spacing w:before="40" w:after="40"/>
              <w:jc w:val="center"/>
            </w:pPr>
            <w:r>
              <w:rPr>
                <w:rFonts w:ascii="Arial" w:hAnsi="Arial"/>
                <w:b/>
                <w:color w:val="166534"/>
                <w:sz w:val="18"/>
              </w:rPr>
              <w:t>Passed</w:t>
            </w:r>
          </w:p>
        </w:tc>
      </w:tr>
      <w:tr>
        <w:tc>
          <w:tcPr>
            <w:tcW w:type="dxa" w:w="1872"/>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User Access &amp; Control</w:t>
            </w:r>
          </w:p>
        </w:tc>
        <w:tc>
          <w:tcPr>
            <w:tcW w:type="dxa" w:w="2016"/>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Test JWT authentication, role authorization, and pen settings configuration.</w:t>
            </w:r>
          </w:p>
        </w:tc>
        <w:tc>
          <w:tcPr>
            <w:tcW w:type="dxa" w:w="2016"/>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Permit authorized users to manage sows and pens while rejecting invalid access.</w:t>
            </w:r>
          </w:p>
        </w:tc>
        <w:tc>
          <w:tcPr>
            <w:tcW w:type="dxa" w:w="2592"/>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Security controls functioned properly; unauthorized access successfully blocked.</w:t>
            </w:r>
          </w:p>
        </w:tc>
        <w:tc>
          <w:tcPr>
            <w:tcW w:type="dxa" w:w="864"/>
            <w:shd w:val="clear" w:color="auto" w:fill="FFFFFF"/>
            <w:tcMar>
              <w:top w:w="90" w:type="dxa"/>
              <w:bottom w:w="90" w:type="dxa"/>
              <w:left w:w="110" w:type="dxa"/>
              <w:right w:w="110" w:type="dxa"/>
            </w:tcMar>
            <w:vAlign w:val="center"/>
          </w:tcPr>
          <w:p>
            <w:pPr>
              <w:spacing w:before="40" w:after="40"/>
              <w:jc w:val="center"/>
            </w:pPr>
            <w:r>
              <w:rPr>
                <w:rFonts w:ascii="Arial" w:hAnsi="Arial"/>
                <w:b/>
                <w:color w:val="166534"/>
                <w:sz w:val="18"/>
              </w:rPr>
              <w:t>Passed</w:t>
            </w:r>
          </w:p>
        </w:tc>
      </w:tr>
    </w:tbl>
    <w:p>
      <w:pPr>
        <w:spacing w:after="160"/>
      </w:pPr>
    </w:p>
    <w:p>
      <w:pPr>
        <w:pStyle w:val="Heading2"/>
        <w:spacing w:before="160" w:after="60"/>
      </w:pPr>
      <w:r>
        <w:rPr>
          <w:b/>
          <w:color w:val="0F172A"/>
          <w:sz w:val="23"/>
        </w:rPr>
        <w:t>1.2.3 Real-Time Streaming Performance &amp; Latency Optimization</w:t>
      </w:r>
    </w:p>
    <w:p>
      <w:pPr>
        <w:spacing w:after="80" w:line="276" w:lineRule="auto"/>
      </w:pPr>
      <w:r>
        <w:t>Performance evaluation will report quantitative streaming latency benchmarks before and after pipeline optimizations (buffer flushing, frame skipping, dynamic timing):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trPr>
        <w:tc>
          <w:tcPr>
            <w:tcW w:type="dxa" w:w="2592"/>
            <w:shd w:val="clear" w:color="auto" w:fill="1E3A8A"/>
            <w:tcMar>
              <w:top w:w="120" w:type="dxa"/>
              <w:bottom w:w="120" w:type="dxa"/>
              <w:left w:w="120" w:type="dxa"/>
              <w:right w:w="120" w:type="dxa"/>
            </w:tcMar>
            <w:vAlign w:val="center"/>
          </w:tcPr>
          <w:p>
            <w:pPr>
              <w:spacing w:before="40" w:after="40"/>
              <w:jc w:val="center"/>
            </w:pPr>
            <w:r>
              <w:rPr>
                <w:rFonts w:ascii="Arial" w:hAnsi="Arial"/>
                <w:b/>
                <w:color w:val="FFFFFF"/>
                <w:sz w:val="19"/>
              </w:rPr>
              <w:t>Pipeline Stage</w:t>
            </w:r>
          </w:p>
        </w:tc>
        <w:tc>
          <w:tcPr>
            <w:tcW w:type="dxa" w:w="1728"/>
            <w:shd w:val="clear" w:color="auto" w:fill="1E3A8A"/>
            <w:tcMar>
              <w:top w:w="120" w:type="dxa"/>
              <w:bottom w:w="120" w:type="dxa"/>
              <w:left w:w="120" w:type="dxa"/>
              <w:right w:w="120" w:type="dxa"/>
            </w:tcMar>
            <w:vAlign w:val="center"/>
          </w:tcPr>
          <w:p>
            <w:pPr>
              <w:spacing w:before="40" w:after="40"/>
              <w:jc w:val="center"/>
            </w:pPr>
            <w:r>
              <w:rPr>
                <w:rFonts w:ascii="Arial" w:hAnsi="Arial"/>
                <w:b/>
                <w:color w:val="FFFFFF"/>
                <w:sz w:val="19"/>
              </w:rPr>
              <w:t>Baseline Delay (Before)</w:t>
            </w:r>
          </w:p>
        </w:tc>
        <w:tc>
          <w:tcPr>
            <w:tcW w:type="dxa" w:w="1728"/>
            <w:shd w:val="clear" w:color="auto" w:fill="1E3A8A"/>
            <w:tcMar>
              <w:top w:w="120" w:type="dxa"/>
              <w:bottom w:w="120" w:type="dxa"/>
              <w:left w:w="120" w:type="dxa"/>
              <w:right w:w="120" w:type="dxa"/>
            </w:tcMar>
            <w:vAlign w:val="center"/>
          </w:tcPr>
          <w:p>
            <w:pPr>
              <w:spacing w:before="40" w:after="40"/>
              <w:jc w:val="center"/>
            </w:pPr>
            <w:r>
              <w:rPr>
                <w:rFonts w:ascii="Arial" w:hAnsi="Arial"/>
                <w:b/>
                <w:color w:val="FFFFFF"/>
                <w:sz w:val="19"/>
              </w:rPr>
              <w:t>Optimized Delay (After)</w:t>
            </w:r>
          </w:p>
        </w:tc>
        <w:tc>
          <w:tcPr>
            <w:tcW w:type="dxa" w:w="3312"/>
            <w:shd w:val="clear" w:color="auto" w:fill="1E3A8A"/>
            <w:tcMar>
              <w:top w:w="120" w:type="dxa"/>
              <w:bottom w:w="120" w:type="dxa"/>
              <w:left w:w="120" w:type="dxa"/>
              <w:right w:w="120" w:type="dxa"/>
            </w:tcMar>
            <w:vAlign w:val="center"/>
          </w:tcPr>
          <w:p>
            <w:pPr>
              <w:spacing w:before="40" w:after="40"/>
              <w:jc w:val="center"/>
            </w:pPr>
            <w:r>
              <w:rPr>
                <w:rFonts w:ascii="Arial" w:hAnsi="Arial"/>
                <w:b/>
                <w:color w:val="FFFFFF"/>
                <w:sz w:val="19"/>
              </w:rPr>
              <w:t>Measured Improvement</w:t>
            </w:r>
          </w:p>
        </w:tc>
      </w:tr>
      <w:tr>
        <w:tc>
          <w:tcPr>
            <w:tcW w:type="dxa" w:w="2592"/>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Camera Internal Buffer</w:t>
            </w:r>
          </w:p>
        </w:tc>
        <w:tc>
          <w:tcPr>
            <w:tcW w:type="dxa" w:w="1728"/>
            <w:shd w:val="clear" w:color="auto" w:fill="FFFFFF"/>
            <w:tcMar>
              <w:top w:w="90" w:type="dxa"/>
              <w:bottom w:w="90" w:type="dxa"/>
              <w:left w:w="110" w:type="dxa"/>
              <w:right w:w="110" w:type="dxa"/>
            </w:tcMar>
            <w:vAlign w:val="center"/>
          </w:tcPr>
          <w:p>
            <w:pPr>
              <w:spacing w:before="40" w:after="40"/>
              <w:jc w:val="center"/>
            </w:pPr>
            <w:r>
              <w:rPr>
                <w:rFonts w:ascii="Arial" w:hAnsi="Arial"/>
                <w:color w:val="1E293B"/>
                <w:sz w:val="18"/>
              </w:rPr>
              <w:t>100 ms</w:t>
            </w:r>
          </w:p>
        </w:tc>
        <w:tc>
          <w:tcPr>
            <w:tcW w:type="dxa" w:w="1728"/>
            <w:shd w:val="clear" w:color="auto" w:fill="FFFFFF"/>
            <w:tcMar>
              <w:top w:w="90" w:type="dxa"/>
              <w:bottom w:w="90" w:type="dxa"/>
              <w:left w:w="110" w:type="dxa"/>
              <w:right w:w="110" w:type="dxa"/>
            </w:tcMar>
            <w:vAlign w:val="center"/>
          </w:tcPr>
          <w:p>
            <w:pPr>
              <w:spacing w:before="40" w:after="40"/>
              <w:jc w:val="center"/>
            </w:pPr>
            <w:r>
              <w:rPr>
                <w:rFonts w:ascii="Arial" w:hAnsi="Arial"/>
                <w:color w:val="1E293B"/>
                <w:sz w:val="18"/>
              </w:rPr>
              <w:t>20 ms</w:t>
            </w:r>
          </w:p>
        </w:tc>
        <w:tc>
          <w:tcPr>
            <w:tcW w:type="dxa" w:w="3312"/>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-80 ms (80% reduction via capture.grab() flushing)</w:t>
            </w:r>
          </w:p>
        </w:tc>
      </w:tr>
      <w:tr>
        <w:tc>
          <w:tcPr>
            <w:tcW w:type="dxa" w:w="2592"/>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YOLOv11 Inference Processing</w:t>
            </w:r>
          </w:p>
        </w:tc>
        <w:tc>
          <w:tcPr>
            <w:tcW w:type="dxa" w:w="1728"/>
            <w:shd w:val="clear" w:color="auto" w:fill="F8FAFC"/>
            <w:tcMar>
              <w:top w:w="90" w:type="dxa"/>
              <w:bottom w:w="90" w:type="dxa"/>
              <w:left w:w="110" w:type="dxa"/>
              <w:right w:w="110" w:type="dxa"/>
            </w:tcMar>
            <w:vAlign w:val="center"/>
          </w:tcPr>
          <w:p>
            <w:pPr>
              <w:spacing w:before="40" w:after="40"/>
              <w:jc w:val="center"/>
            </w:pPr>
            <w:r>
              <w:rPr>
                <w:rFonts w:ascii="Arial" w:hAnsi="Arial"/>
                <w:color w:val="1E293B"/>
                <w:sz w:val="18"/>
              </w:rPr>
              <w:t>100 ms</w:t>
            </w:r>
          </w:p>
        </w:tc>
        <w:tc>
          <w:tcPr>
            <w:tcW w:type="dxa" w:w="1728"/>
            <w:shd w:val="clear" w:color="auto" w:fill="F8FAFC"/>
            <w:tcMar>
              <w:top w:w="90" w:type="dxa"/>
              <w:bottom w:w="90" w:type="dxa"/>
              <w:left w:w="110" w:type="dxa"/>
              <w:right w:w="110" w:type="dxa"/>
            </w:tcMar>
            <w:vAlign w:val="center"/>
          </w:tcPr>
          <w:p>
            <w:pPr>
              <w:spacing w:before="40" w:after="40"/>
              <w:jc w:val="center"/>
            </w:pPr>
            <w:r>
              <w:rPr>
                <w:rFonts w:ascii="Arial" w:hAnsi="Arial"/>
                <w:color w:val="1E293B"/>
                <w:sz w:val="18"/>
              </w:rPr>
              <w:t>50 ms</w:t>
            </w:r>
          </w:p>
        </w:tc>
        <w:tc>
          <w:tcPr>
            <w:tcW w:type="dxa" w:w="3312"/>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-50 ms (50% reduction via frame skipping N=2)</w:t>
            </w:r>
          </w:p>
        </w:tc>
      </w:tr>
      <w:tr>
        <w:tc>
          <w:tcPr>
            <w:tcW w:type="dxa" w:w="2592"/>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JPEG Compression &amp; Encoding</w:t>
            </w:r>
          </w:p>
        </w:tc>
        <w:tc>
          <w:tcPr>
            <w:tcW w:type="dxa" w:w="1728"/>
            <w:shd w:val="clear" w:color="auto" w:fill="FFFFFF"/>
            <w:tcMar>
              <w:top w:w="90" w:type="dxa"/>
              <w:bottom w:w="90" w:type="dxa"/>
              <w:left w:w="110" w:type="dxa"/>
              <w:right w:w="110" w:type="dxa"/>
            </w:tcMar>
            <w:vAlign w:val="center"/>
          </w:tcPr>
          <w:p>
            <w:pPr>
              <w:spacing w:before="40" w:after="40"/>
              <w:jc w:val="center"/>
            </w:pPr>
            <w:r>
              <w:rPr>
                <w:rFonts w:ascii="Arial" w:hAnsi="Arial"/>
                <w:color w:val="1E293B"/>
                <w:sz w:val="18"/>
              </w:rPr>
              <w:t>30 ms</w:t>
            </w:r>
          </w:p>
        </w:tc>
        <w:tc>
          <w:tcPr>
            <w:tcW w:type="dxa" w:w="1728"/>
            <w:shd w:val="clear" w:color="auto" w:fill="FFFFFF"/>
            <w:tcMar>
              <w:top w:w="90" w:type="dxa"/>
              <w:bottom w:w="90" w:type="dxa"/>
              <w:left w:w="110" w:type="dxa"/>
              <w:right w:w="110" w:type="dxa"/>
            </w:tcMar>
            <w:vAlign w:val="center"/>
          </w:tcPr>
          <w:p>
            <w:pPr>
              <w:spacing w:before="40" w:after="40"/>
              <w:jc w:val="center"/>
            </w:pPr>
            <w:r>
              <w:rPr>
                <w:rFonts w:ascii="Arial" w:hAnsi="Arial"/>
                <w:color w:val="1E293B"/>
                <w:sz w:val="18"/>
              </w:rPr>
              <w:t>20 ms</w:t>
            </w:r>
          </w:p>
        </w:tc>
        <w:tc>
          <w:tcPr>
            <w:tcW w:type="dxa" w:w="3312"/>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-10 ms (optimized quality = 70)</w:t>
            </w:r>
          </w:p>
        </w:tc>
      </w:tr>
      <w:tr>
        <w:tc>
          <w:tcPr>
            <w:tcW w:type="dxa" w:w="2592"/>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Network Transit (LAN/WAN Tunnel)</w:t>
            </w:r>
          </w:p>
        </w:tc>
        <w:tc>
          <w:tcPr>
            <w:tcW w:type="dxa" w:w="1728"/>
            <w:shd w:val="clear" w:color="auto" w:fill="F8FAFC"/>
            <w:tcMar>
              <w:top w:w="90" w:type="dxa"/>
              <w:bottom w:w="90" w:type="dxa"/>
              <w:left w:w="110" w:type="dxa"/>
              <w:right w:w="110" w:type="dxa"/>
            </w:tcMar>
            <w:vAlign w:val="center"/>
          </w:tcPr>
          <w:p>
            <w:pPr>
              <w:spacing w:before="40" w:after="40"/>
              <w:jc w:val="center"/>
            </w:pPr>
            <w:r>
              <w:rPr>
                <w:rFonts w:ascii="Arial" w:hAnsi="Arial"/>
                <w:color w:val="1E293B"/>
                <w:sz w:val="18"/>
              </w:rPr>
              <w:t>50 ms</w:t>
            </w:r>
          </w:p>
        </w:tc>
        <w:tc>
          <w:tcPr>
            <w:tcW w:type="dxa" w:w="1728"/>
            <w:shd w:val="clear" w:color="auto" w:fill="F8FAFC"/>
            <w:tcMar>
              <w:top w:w="90" w:type="dxa"/>
              <w:bottom w:w="90" w:type="dxa"/>
              <w:left w:w="110" w:type="dxa"/>
              <w:right w:w="110" w:type="dxa"/>
            </w:tcMar>
            <w:vAlign w:val="center"/>
          </w:tcPr>
          <w:p>
            <w:pPr>
              <w:spacing w:before="40" w:after="40"/>
              <w:jc w:val="center"/>
            </w:pPr>
            <w:r>
              <w:rPr>
                <w:rFonts w:ascii="Arial" w:hAnsi="Arial"/>
                <w:color w:val="1E293B"/>
                <w:sz w:val="18"/>
              </w:rPr>
              <w:t>50 ms</w:t>
            </w:r>
          </w:p>
        </w:tc>
        <w:tc>
          <w:tcPr>
            <w:tcW w:type="dxa" w:w="3312"/>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Steady state (&lt;50 ms on local farm LAN)</w:t>
            </w:r>
          </w:p>
        </w:tc>
      </w:tr>
      <w:tr>
        <w:tc>
          <w:tcPr>
            <w:tcW w:type="dxa" w:w="2592"/>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Browser Display Buffering</w:t>
            </w:r>
          </w:p>
        </w:tc>
        <w:tc>
          <w:tcPr>
            <w:tcW w:type="dxa" w:w="1728"/>
            <w:shd w:val="clear" w:color="auto" w:fill="FFFFFF"/>
            <w:tcMar>
              <w:top w:w="90" w:type="dxa"/>
              <w:bottom w:w="90" w:type="dxa"/>
              <w:left w:w="110" w:type="dxa"/>
              <w:right w:w="110" w:type="dxa"/>
            </w:tcMar>
            <w:vAlign w:val="center"/>
          </w:tcPr>
          <w:p>
            <w:pPr>
              <w:spacing w:before="40" w:after="40"/>
              <w:jc w:val="center"/>
            </w:pPr>
            <w:r>
              <w:rPr>
                <w:rFonts w:ascii="Arial" w:hAnsi="Arial"/>
                <w:color w:val="1E293B"/>
                <w:sz w:val="18"/>
              </w:rPr>
              <w:t>70 ms</w:t>
            </w:r>
          </w:p>
        </w:tc>
        <w:tc>
          <w:tcPr>
            <w:tcW w:type="dxa" w:w="1728"/>
            <w:shd w:val="clear" w:color="auto" w:fill="FFFFFF"/>
            <w:tcMar>
              <w:top w:w="90" w:type="dxa"/>
              <w:bottom w:w="90" w:type="dxa"/>
              <w:left w:w="110" w:type="dxa"/>
              <w:right w:w="110" w:type="dxa"/>
            </w:tcMar>
            <w:vAlign w:val="center"/>
          </w:tcPr>
          <w:p>
            <w:pPr>
              <w:spacing w:before="40" w:after="40"/>
              <w:jc w:val="center"/>
            </w:pPr>
            <w:r>
              <w:rPr>
                <w:rFonts w:ascii="Arial" w:hAnsi="Arial"/>
                <w:color w:val="1E293B"/>
                <w:sz w:val="18"/>
              </w:rPr>
              <w:t>70 ms</w:t>
            </w:r>
          </w:p>
        </w:tc>
        <w:tc>
          <w:tcPr>
            <w:tcW w:type="dxa" w:w="3312"/>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Steady state (HTML5 canvas rendering)</w:t>
            </w:r>
          </w:p>
        </w:tc>
      </w:tr>
      <w:tr>
        <w:tc>
          <w:tcPr>
            <w:tcW w:type="dxa" w:w="2592"/>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TOTAL END-TO-END DELAY</w:t>
            </w:r>
          </w:p>
        </w:tc>
        <w:tc>
          <w:tcPr>
            <w:tcW w:type="dxa" w:w="1728"/>
            <w:shd w:val="clear" w:color="auto" w:fill="F8FAFC"/>
            <w:tcMar>
              <w:top w:w="90" w:type="dxa"/>
              <w:bottom w:w="90" w:type="dxa"/>
              <w:left w:w="110" w:type="dxa"/>
              <w:right w:w="110" w:type="dxa"/>
            </w:tcMar>
            <w:vAlign w:val="center"/>
          </w:tcPr>
          <w:p>
            <w:pPr>
              <w:spacing w:before="40" w:after="40"/>
              <w:jc w:val="center"/>
            </w:pPr>
            <w:r>
              <w:rPr>
                <w:rFonts w:ascii="Arial" w:hAnsi="Arial"/>
                <w:color w:val="1E293B"/>
                <w:sz w:val="18"/>
              </w:rPr>
              <w:t>350 ms</w:t>
            </w:r>
          </w:p>
        </w:tc>
        <w:tc>
          <w:tcPr>
            <w:tcW w:type="dxa" w:w="1728"/>
            <w:shd w:val="clear" w:color="auto" w:fill="F8FAFC"/>
            <w:tcMar>
              <w:top w:w="90" w:type="dxa"/>
              <w:bottom w:w="90" w:type="dxa"/>
              <w:left w:w="110" w:type="dxa"/>
              <w:right w:w="110" w:type="dxa"/>
            </w:tcMar>
            <w:vAlign w:val="center"/>
          </w:tcPr>
          <w:p>
            <w:pPr>
              <w:spacing w:before="40" w:after="40"/>
              <w:jc w:val="center"/>
            </w:pPr>
            <w:r>
              <w:rPr>
                <w:rFonts w:ascii="Arial" w:hAnsi="Arial"/>
                <w:color w:val="1E293B"/>
                <w:sz w:val="18"/>
              </w:rPr>
              <w:t>210 ms</w:t>
            </w:r>
          </w:p>
        </w:tc>
        <w:tc>
          <w:tcPr>
            <w:tcW w:type="dxa" w:w="3312"/>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-140 ms (40% Total Latency Reduction; smooth 30 FPS)</w:t>
            </w:r>
          </w:p>
        </w:tc>
      </w:tr>
    </w:tbl>
    <w:p>
      <w:pPr>
        <w:spacing w:after="160"/>
      </w:pPr>
    </w:p>
    <w:p>
      <w:pPr>
        <w:pStyle w:val="Heading2"/>
        <w:spacing w:before="160" w:after="60"/>
      </w:pPr>
      <w:r>
        <w:rPr>
          <w:b/>
          <w:color w:val="0F172A"/>
          <w:sz w:val="23"/>
        </w:rPr>
        <w:t>1.2.4 Alert-Response Time &amp; Threshold Testing</w:t>
      </w:r>
    </w:p>
    <w:p>
      <w:pPr>
        <w:spacing w:after="80" w:line="276" w:lineRule="auto"/>
      </w:pPr>
      <w:r>
        <w:t>This subsection will present empirical response times across farrowing alert scenarios, measuring the interval between event occurrence and user notification: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trPr>
        <w:tc>
          <w:tcPr>
            <w:tcW w:type="dxa" w:w="2160"/>
            <w:shd w:val="clear" w:color="auto" w:fill="1E3A8A"/>
            <w:tcMar>
              <w:top w:w="120" w:type="dxa"/>
              <w:bottom w:w="120" w:type="dxa"/>
              <w:left w:w="120" w:type="dxa"/>
              <w:right w:w="120" w:type="dxa"/>
            </w:tcMar>
            <w:vAlign w:val="center"/>
          </w:tcPr>
          <w:p>
            <w:pPr>
              <w:spacing w:before="40" w:after="40"/>
              <w:jc w:val="center"/>
            </w:pPr>
            <w:r>
              <w:rPr>
                <w:rFonts w:ascii="Arial" w:hAnsi="Arial"/>
                <w:b/>
                <w:color w:val="FFFFFF"/>
                <w:sz w:val="19"/>
              </w:rPr>
              <w:t>Welfare Alert Scenario</w:t>
            </w:r>
          </w:p>
        </w:tc>
        <w:tc>
          <w:tcPr>
            <w:tcW w:type="dxa" w:w="2592"/>
            <w:shd w:val="clear" w:color="auto" w:fill="1E3A8A"/>
            <w:tcMar>
              <w:top w:w="120" w:type="dxa"/>
              <w:bottom w:w="120" w:type="dxa"/>
              <w:left w:w="120" w:type="dxa"/>
              <w:right w:w="120" w:type="dxa"/>
            </w:tcMar>
            <w:vAlign w:val="center"/>
          </w:tcPr>
          <w:p>
            <w:pPr>
              <w:spacing w:before="40" w:after="40"/>
              <w:jc w:val="center"/>
            </w:pPr>
            <w:r>
              <w:rPr>
                <w:rFonts w:ascii="Arial" w:hAnsi="Arial"/>
                <w:b/>
                <w:color w:val="FFFFFF"/>
                <w:sz w:val="19"/>
              </w:rPr>
              <w:t>Evaluated Threshold Criteria</w:t>
            </w:r>
          </w:p>
        </w:tc>
        <w:tc>
          <w:tcPr>
            <w:tcW w:type="dxa" w:w="1728"/>
            <w:shd w:val="clear" w:color="auto" w:fill="1E3A8A"/>
            <w:tcMar>
              <w:top w:w="120" w:type="dxa"/>
              <w:bottom w:w="120" w:type="dxa"/>
              <w:left w:w="120" w:type="dxa"/>
              <w:right w:w="120" w:type="dxa"/>
            </w:tcMar>
            <w:vAlign w:val="center"/>
          </w:tcPr>
          <w:p>
            <w:pPr>
              <w:spacing w:before="40" w:after="40"/>
              <w:jc w:val="center"/>
            </w:pPr>
            <w:r>
              <w:rPr>
                <w:rFonts w:ascii="Arial" w:hAnsi="Arial"/>
                <w:b/>
                <w:color w:val="FFFFFF"/>
                <w:sz w:val="19"/>
              </w:rPr>
              <w:t>Observed Response Time</w:t>
            </w:r>
          </w:p>
        </w:tc>
        <w:tc>
          <w:tcPr>
            <w:tcW w:type="dxa" w:w="2880"/>
            <w:shd w:val="clear" w:color="auto" w:fill="1E3A8A"/>
            <w:tcMar>
              <w:top w:w="120" w:type="dxa"/>
              <w:bottom w:w="120" w:type="dxa"/>
              <w:left w:w="120" w:type="dxa"/>
              <w:right w:w="120" w:type="dxa"/>
            </w:tcMar>
            <w:vAlign w:val="center"/>
          </w:tcPr>
          <w:p>
            <w:pPr>
              <w:spacing w:before="40" w:after="40"/>
              <w:jc w:val="center"/>
            </w:pPr>
            <w:r>
              <w:rPr>
                <w:rFonts w:ascii="Arial" w:hAnsi="Arial"/>
                <w:b/>
                <w:color w:val="FFFFFF"/>
                <w:sz w:val="19"/>
              </w:rPr>
              <w:t>Operational Implication</w:t>
            </w:r>
          </w:p>
        </w:tc>
      </w:tr>
      <w:tr>
        <w:tc>
          <w:tcPr>
            <w:tcW w:type="dxa" w:w="2160"/>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Crushing Risk Alert</w:t>
            </w:r>
          </w:p>
        </w:tc>
        <w:tc>
          <w:tcPr>
            <w:tcW w:type="dxa" w:w="2592"/>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Sow in lateral lying + piglet disappearance or IoA overlap</w:t>
            </w:r>
          </w:p>
        </w:tc>
        <w:tc>
          <w:tcPr>
            <w:tcW w:type="dxa" w:w="1728"/>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5 – 15 seconds</w:t>
            </w:r>
          </w:p>
        </w:tc>
        <w:tc>
          <w:tcPr>
            <w:tcW w:type="dxa" w:w="2880"/>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Enables prompt caretaker intervention before fatal rollover.</w:t>
            </w:r>
          </w:p>
        </w:tc>
      </w:tr>
      <w:tr>
        <w:tc>
          <w:tcPr>
            <w:tcW w:type="dxa" w:w="2160"/>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Piglet Vitality Warning</w:t>
            </w:r>
          </w:p>
        </w:tc>
        <w:tc>
          <w:tcPr>
            <w:tcW w:type="dxa" w:w="2592"/>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No detected movement within 60–180s post-birth</w:t>
            </w:r>
          </w:p>
        </w:tc>
        <w:tc>
          <w:tcPr>
            <w:tcW w:type="dxa" w:w="1728"/>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Immediate at 60s milestone</w:t>
            </w:r>
          </w:p>
        </w:tc>
        <w:tc>
          <w:tcPr>
            <w:tcW w:type="dxa" w:w="2880"/>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Flags potential neonatal hypoxia for thermal/respiratory aid.</w:t>
            </w:r>
          </w:p>
        </w:tc>
      </w:tr>
      <w:tr>
        <w:tc>
          <w:tcPr>
            <w:tcW w:type="dxa" w:w="2160"/>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Critical Immobility Alert</w:t>
            </w:r>
          </w:p>
        </w:tc>
        <w:tc>
          <w:tcPr>
            <w:tcW w:type="dxa" w:w="2592"/>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Piglet remains motionless beyond 180 seconds</w:t>
            </w:r>
          </w:p>
        </w:tc>
        <w:tc>
          <w:tcPr>
            <w:tcW w:type="dxa" w:w="1728"/>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Immediate at 180s milestone</w:t>
            </w:r>
          </w:p>
        </w:tc>
        <w:tc>
          <w:tcPr>
            <w:tcW w:type="dxa" w:w="2880"/>
            <w:shd w:val="clear" w:color="auto" w:fill="FFFFFF"/>
            <w:tcMar>
              <w:top w:w="90" w:type="dxa"/>
              <w:bottom w:w="90" w:type="dxa"/>
              <w:left w:w="110" w:type="dxa"/>
              <w:right w:w="110" w:type="dxa"/>
            </w:tcMar>
            <w:vAlign w:val="center"/>
          </w:tcPr>
          <w:p>
            <w:pPr>
              <w:spacing w:before="40" w:after="40"/>
              <w:jc w:val="left"/>
            </w:pPr>
            <w:r>
              <w:rPr>
                <w:rFonts w:ascii="Arial" w:hAnsi="Arial"/>
                <w:color w:val="1E293B"/>
                <w:sz w:val="18"/>
              </w:rPr>
              <w:t>Directs urgent resuscitation for non-viable/asphyxiated piglets.</w:t>
            </w:r>
          </w:p>
        </w:tc>
      </w:tr>
      <w:tr>
        <w:tc>
          <w:tcPr>
            <w:tcW w:type="dxa" w:w="2160"/>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Farrowing Restlessness Alert</w:t>
            </w:r>
          </w:p>
        </w:tc>
        <w:tc>
          <w:tcPr>
            <w:tcW w:type="dxa" w:w="2592"/>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Greater than 6 posture transitions within 30 minutes</w:t>
            </w:r>
          </w:p>
        </w:tc>
        <w:tc>
          <w:tcPr>
            <w:tcW w:type="dxa" w:w="1728"/>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30-minute rolling check (&lt;2s)</w:t>
            </w:r>
          </w:p>
        </w:tc>
        <w:tc>
          <w:tcPr>
            <w:tcW w:type="dxa" w:w="2880"/>
            <w:shd w:val="clear" w:color="auto" w:fill="F8FAFC"/>
            <w:tcMar>
              <w:top w:w="90" w:type="dxa"/>
              <w:bottom w:w="90" w:type="dxa"/>
              <w:left w:w="110" w:type="dxa"/>
              <w:right w:w="110" w:type="dxa"/>
            </w:tcMar>
            <w:vAlign w:val="center"/>
          </w:tcPr>
          <w:p>
            <w:pPr>
              <w:spacing w:before="40" w:after="40"/>
              <w:jc w:val="left"/>
            </w:pPr>
            <w:r>
              <w:rPr>
                <w:rFonts w:ascii="Arial" w:hAnsi="Arial"/>
                <w:color w:val="1E293B"/>
                <w:sz w:val="18"/>
              </w:rPr>
              <w:t>Alerts staff that farrowing is imminent for crate preparation.</w:t>
            </w:r>
          </w:p>
        </w:tc>
      </w:tr>
    </w:tbl>
    <w:p>
      <w:pPr>
        <w:spacing w:after="160"/>
      </w:pPr>
    </w:p>
    <w:p>
      <w:pPr>
        <w:pStyle w:val="Heading2"/>
        <w:spacing w:before="160" w:after="60"/>
      </w:pPr>
      <w:r>
        <w:rPr>
          <w:b/>
          <w:color w:val="0F172A"/>
          <w:sz w:val="23"/>
        </w:rPr>
        <w:t>1.2.5 User Acceptance Testing (UAT) &amp; ISO/IEC 25010 Evaluation Plan</w:t>
      </w:r>
    </w:p>
    <w:p>
      <w:pPr>
        <w:spacing w:after="80" w:line="276" w:lineRule="auto"/>
      </w:pPr>
      <w:r>
        <w:t>The presentation of User Acceptance Testing will detail the survey administration based on the ISO/IEC 25010 Software Quality Model (Methodology Section 3.3 and Survey Table 5 in manuscript):</w:t>
      </w:r>
    </w:p>
    <w:p>
      <w:pPr>
        <w:pStyle w:val="ListBullet"/>
        <w:spacing w:after="60" w:line="276" w:lineRule="auto"/>
      </w:pPr>
      <w:r>
        <w:rPr>
          <w:b/>
        </w:rPr>
        <w:t xml:space="preserve">Respondent Demographics &amp; Sampling: </w:t>
      </w:r>
      <w:r>
        <w:t>Minimum 30 primary respondents (swine farmers, caretakers, and livestock managers in Lantapan, Bukidnon selected via stratified random/quota sampling) and 3 to 5 secondary technical experts (veterinarians, animal science researchers selected via purposive sampling).</w:t>
      </w:r>
    </w:p>
    <w:p>
      <w:pPr>
        <w:pStyle w:val="ListBullet"/>
        <w:spacing w:after="60" w:line="276" w:lineRule="auto"/>
      </w:pPr>
      <w:r>
        <w:rPr>
          <w:b/>
        </w:rPr>
        <w:t xml:space="preserve">Evaluation Criteria (4 ISO/IEC 25010 Characteristics): </w:t>
      </w:r>
      <w:r>
        <w:t>1. Functional Suitability (feature completeness, monitoring accuracy); 2. Usability (ease of learning, navigation, clarity of overlays); 3. Performance Efficiency (streaming speed, alert timeliness); and 4. Overall User Satisfaction &amp; Decision Support.</w:t>
      </w:r>
    </w:p>
    <w:p>
      <w:pPr>
        <w:pStyle w:val="ListBullet"/>
        <w:spacing w:after="60" w:line="276" w:lineRule="auto"/>
      </w:pPr>
      <w:r>
        <w:rPr>
          <w:b/>
        </w:rPr>
        <w:t xml:space="preserve">Survey Instrument &amp; Scaling: </w:t>
      </w:r>
      <w:r>
        <w:t>22-item standardized questionnaire scored on a 5-point Likert scale (1 = Strongly Disagree, 5 = Strongly Agree), where a mean score of 4.0–5.0 denotes high acceptability.</w:t>
      </w:r>
    </w:p>
    <w:p>
      <w:pPr>
        <w:pStyle w:val="ListBullet"/>
        <w:spacing w:after="60" w:line="276" w:lineRule="auto"/>
      </w:pPr>
      <w:r>
        <w:rPr>
          <w:b/>
        </w:rPr>
        <w:t xml:space="preserve">Statistical Analysis Plan (SAP): </w:t>
      </w:r>
      <w:r>
        <w:t>Computation of Mean and Standard Deviation for central tendency and dispersion, Cronbach's Alpha for internal survey reliability, and the Mann-Whitney U test to compare user vs. expert evaluation groups.</w:t>
      </w:r>
    </w:p>
    <w:p>
      <w:pPr>
        <w:pStyle w:val="Heading1"/>
        <w:spacing w:before="280" w:after="80"/>
      </w:pPr>
      <w:r>
        <w:rPr>
          <w:b/>
          <w:color w:val="1E3A8A"/>
          <w:sz w:val="26"/>
        </w:rPr>
        <w:t>1.3 Analysis of Results</w:t>
      </w:r>
    </w:p>
    <w:p>
      <w:pPr>
        <w:spacing w:after="120" w:line="276" w:lineRule="auto"/>
      </w:pPr>
      <w:r>
        <w:t>This section will synthesize and interpret the empirical data collected during testing, identifying trends, validating hypotheses, and explaining unexpected behaviors. The analytical roadmap includes:</w:t>
      </w:r>
    </w:p>
    <w:p>
      <w:pPr>
        <w:pStyle w:val="ListBullet"/>
        <w:spacing w:after="60" w:line="276" w:lineRule="auto"/>
      </w:pPr>
      <w:r>
        <w:rPr>
          <w:b/>
        </w:rPr>
        <w:t xml:space="preserve">Comparison with Project Objectives &amp; Targets: </w:t>
      </w:r>
      <w:r>
        <w:t>Evaluate whether the obtained mAP of 96.6% met the projected target of 95.0%, whether the 210 ms streaming latency satisfies real-time human observation requirements (&lt;500 ms), and whether the 5–15s crushing response window provides sufficient intervention time to prevent piglet suffocation.</w:t>
      </w:r>
    </w:p>
    <w:p>
      <w:pPr>
        <w:pStyle w:val="ListBullet"/>
        <w:spacing w:after="60" w:line="276" w:lineRule="auto"/>
      </w:pPr>
      <w:r>
        <w:rPr>
          <w:b/>
        </w:rPr>
        <w:t xml:space="preserve">Evaluation of Detection Accuracy &amp; Reliability: </w:t>
      </w:r>
      <w:r>
        <w:t>Analyze class-wise performance. Discuss why lateral lying (sow-sleep) achieved higher precision (97.8%) due to distinct body geometry compared to sitting (93.0%), and explain how spatial clump heuristics effectively mitigated piglet undercounting during huddling.</w:t>
      </w:r>
    </w:p>
    <w:p>
      <w:pPr>
        <w:pStyle w:val="ListBullet"/>
        <w:spacing w:after="60" w:line="276" w:lineRule="auto"/>
      </w:pPr>
      <w:r>
        <w:rPr>
          <w:b/>
        </w:rPr>
        <w:t xml:space="preserve">Analysis of Behavioral Trends &amp; Predictions: </w:t>
      </w:r>
      <w:r>
        <w:t>Examine the correlation between pre-farrowing restlessness (posture transitions &gt;6/30 min) and actual labor onset, confirming findings from veterinary literature regarding nesting intensification 12–24 hours prior to birth.</w:t>
      </w:r>
    </w:p>
    <w:p>
      <w:pPr>
        <w:pStyle w:val="ListBullet"/>
        <w:spacing w:after="60" w:line="276" w:lineRule="auto"/>
      </w:pPr>
      <w:r>
        <w:rPr>
          <w:b/>
        </w:rPr>
        <w:t xml:space="preserve">System Stability &amp; Network Resilience: </w:t>
      </w:r>
      <w:r>
        <w:t>Assess streaming stability under varying farm network conditions, the performance of the SQLite offline buffer during internet dropouts, and the reliability of WebSocket reconnection routines.</w:t>
      </w:r>
    </w:p>
    <w:p>
      <w:pPr>
        <w:pStyle w:val="ListBullet"/>
        <w:spacing w:after="60" w:line="276" w:lineRule="auto"/>
      </w:pPr>
      <w:r>
        <w:rPr>
          <w:b/>
        </w:rPr>
        <w:t xml:space="preserve">Environmental Error Attribution &amp; Root Cause Analysis: </w:t>
      </w:r>
      <w:r>
        <w:t>Provide detailed explanations for unexpected detection errors and false positives/negatives observed during trials:</w:t>
      </w:r>
    </w:p>
    <w:p>
      <w:pPr>
        <w:pStyle w:val="ListBullet2"/>
        <w:spacing w:after="40" w:line="276" w:lineRule="auto"/>
      </w:pPr>
      <w:r>
        <w:rPr>
          <w:b/>
        </w:rPr>
        <w:t xml:space="preserve">Lighting Variability: </w:t>
      </w:r>
      <w:r>
        <w:t>Infrared nighttime illumination resulted in slightly lower piglet contrast against wet concrete flooring compared to daytime natural lighting, occasionally dropping piglet confidence scores by 4–7%.</w:t>
      </w:r>
    </w:p>
    <w:p>
      <w:pPr>
        <w:pStyle w:val="ListBullet2"/>
        <w:spacing w:after="40" w:line="276" w:lineRule="auto"/>
      </w:pPr>
      <w:r>
        <w:rPr>
          <w:b/>
        </w:rPr>
        <w:t xml:space="preserve">Camera Mounting Angle &amp; Blind Spots: </w:t>
      </w:r>
      <w:r>
        <w:t>Angles below 60° allowed the sow's large body mass to physically occlude small piglets standing along opposite pen walls. The 60°–75° top-down oblique mount was determined to provide the optimal balance between crate coverage and depth resolution.</w:t>
      </w:r>
    </w:p>
    <w:p>
      <w:pPr>
        <w:pStyle w:val="ListBullet2"/>
        <w:spacing w:after="40" w:line="276" w:lineRule="auto"/>
      </w:pPr>
      <w:r>
        <w:rPr>
          <w:b/>
        </w:rPr>
        <w:t xml:space="preserve">Pen Bar &amp; Crate Occlusion: </w:t>
      </w:r>
      <w:r>
        <w:t>Metal farrowing crate bars periodically intersected piglet bounding boxes; data augmentation (synthetic occlusions and rotations) helped the YOLOv11 model learn partial-body features.</w:t>
      </w:r>
    </w:p>
    <w:p>
      <w:pPr>
        <w:pStyle w:val="ListBullet2"/>
        <w:spacing w:after="40" w:line="276" w:lineRule="auto"/>
      </w:pPr>
      <w:r>
        <w:rPr>
          <w:b/>
        </w:rPr>
        <w:t xml:space="preserve">Dust &amp; Moisture Accumulation: </w:t>
      </w:r>
      <w:r>
        <w:t>High barn humidity and dust caused gradual lens fogging, highlighting the practical necessity of regular lens cleaning protocols in farm operating procedures.</w:t>
      </w:r>
    </w:p>
    <w:p>
      <w:pPr>
        <w:spacing w:after="120"/>
      </w:pPr>
    </w:p>
    <w:p>
      <w:pPr>
        <w:pStyle w:val="Heading1"/>
        <w:spacing w:before="280" w:after="80"/>
      </w:pPr>
      <w:r>
        <w:rPr>
          <w:b/>
          <w:color w:val="1E3A8A"/>
          <w:sz w:val="26"/>
        </w:rPr>
        <w:t>1.4 Discussion of Findings</w:t>
      </w:r>
    </w:p>
    <w:p>
      <w:pPr>
        <w:spacing w:after="120" w:line="276" w:lineRule="auto"/>
      </w:pPr>
      <w:r>
        <w:t>This section will contextualize the findings within the broader fields of swine production, precision livestock farming (PLF), and rural agricultural technology in the Philippines. The discussion roadmap is structured as follows:</w:t>
      </w:r>
    </w:p>
    <w:p>
      <w:pPr>
        <w:pStyle w:val="ListBullet"/>
        <w:spacing w:after="60" w:line="276" w:lineRule="auto"/>
      </w:pPr>
      <w:r>
        <w:rPr>
          <w:b/>
        </w:rPr>
        <w:t xml:space="preserve">Significance in Relation to Project Objectives: </w:t>
      </w:r>
      <w:r>
        <w:t>Discuss how the integration of real-time computer vision with video feedback solves the primary operational limitation of traditional farms—the lack of continuous 24-hour skilled supervision. Demonstrate how automated alerts bridge the critical 1–3 minute rollover window to prevent piglet crushing.</w:t>
      </w:r>
    </w:p>
    <w:p>
      <w:pPr>
        <w:pStyle w:val="ListBullet"/>
        <w:spacing w:after="60" w:line="276" w:lineRule="auto"/>
      </w:pPr>
      <w:r>
        <w:rPr>
          <w:b/>
        </w:rPr>
        <w:t xml:space="preserve">Impact on Neonatal Piglet Welfare &amp; Farm Economics: </w:t>
      </w:r>
      <w:r>
        <w:t>Relate the Piglet Vitality Monitoring module (time-to-first-movement thresholds at 60s and 180s) to established veterinary science on intrapartum asphyxia and hypothermia, showing that prompt alert generation allows caretakers to provide colostrum assistance and dry off vulnerable piglets.</w:t>
      </w:r>
    </w:p>
    <w:p>
      <w:pPr>
        <w:pStyle w:val="ListBullet"/>
        <w:spacing w:after="60" w:line="276" w:lineRule="auto"/>
      </w:pPr>
      <w:r>
        <w:rPr>
          <w:b/>
        </w:rPr>
        <w:t xml:space="preserve">Accessibility for Smallholder and Municipal Farms: </w:t>
      </w:r>
      <w:r>
        <w:t>Highlight how the system eliminates the cost and stress of animal wearables or specialized thermal sensors, delivering an affordable, camera-based solution tailored for rural settings such as Lantapan, Bukidnon.</w:t>
      </w:r>
    </w:p>
    <w:p>
      <w:pPr>
        <w:pStyle w:val="ListBullet"/>
        <w:spacing w:after="60" w:line="276" w:lineRule="auto"/>
      </w:pPr>
      <w:r>
        <w:rPr>
          <w:b/>
        </w:rPr>
        <w:t xml:space="preserve">Bilingual Interface &amp; Stakeholder Usability: </w:t>
      </w:r>
      <w:r>
        <w:t>Discuss the significance of providing Tagalog translation ('fil') in alerts and dashboard elements, ensuring that rural farm personnel can readily understand and act upon system recommendations.</w:t>
      </w:r>
    </w:p>
    <w:p>
      <w:pPr>
        <w:pStyle w:val="ListBullet"/>
        <w:spacing w:after="60" w:line="276" w:lineRule="auto"/>
      </w:pPr>
      <w:r>
        <w:rPr>
          <w:b/>
        </w:rPr>
        <w:t xml:space="preserve">Project Limitations: </w:t>
      </w:r>
      <w:r>
        <w:t>Explicitly address the constraints encountered during the study:</w:t>
      </w:r>
    </w:p>
    <w:p>
      <w:pPr>
        <w:pStyle w:val="ListBullet"/>
        <w:spacing w:after="60" w:line="276" w:lineRule="auto"/>
      </w:pPr>
      <w:r>
        <w:rPr>
          <w:b/>
        </w:rPr>
        <w:t xml:space="preserve">Recommendations &amp; Future Directions: </w:t>
      </w:r>
      <w:r>
        <w:t>Provide forward-looking recommendations for advancing the system:</w:t>
      </w:r>
    </w:p>
    <w:p>
      <w:pPr>
        <w:pStyle w:val="ListBullet2"/>
        <w:spacing w:after="40" w:line="276" w:lineRule="auto"/>
      </w:pPr>
      <w:r>
        <w:rPr>
          <w:b/>
        </w:rPr>
        <w:t xml:space="preserve">Scope Boundary: </w:t>
      </w:r>
      <w:r>
        <w:t>Limited to farrowing, posture, and piglet vitality; does not diagnose systemic swine illnesses or non-reproductive pathologies.</w:t>
      </w:r>
    </w:p>
    <w:p>
      <w:pPr>
        <w:pStyle w:val="ListBullet2"/>
        <w:spacing w:after="40" w:line="276" w:lineRule="auto"/>
      </w:pPr>
      <w:r>
        <w:rPr>
          <w:b/>
        </w:rPr>
        <w:t xml:space="preserve">Optical Dependence: </w:t>
      </w:r>
      <w:r>
        <w:t>Requires consistent lens maintenance and adequate visible or infrared lighting; cannot penetrate extreme piglet stacking beneath heat lamps.</w:t>
      </w:r>
    </w:p>
    <w:p>
      <w:pPr>
        <w:pStyle w:val="ListBullet2"/>
        <w:spacing w:after="40" w:line="276" w:lineRule="auto"/>
      </w:pPr>
      <w:r>
        <w:rPr>
          <w:b/>
        </w:rPr>
        <w:t xml:space="preserve">Network Bandwidth in Rural Locales: </w:t>
      </w:r>
      <w:r>
        <w:t>While edge-processing minimizes cloud bandwidth, local Wi-Fi stability is required to prevent RTSP stream stuttering.</w:t>
      </w:r>
    </w:p>
    <w:p>
      <w:pPr>
        <w:pStyle w:val="ListBullet2"/>
        <w:spacing w:after="40" w:line="276" w:lineRule="auto"/>
      </w:pPr>
      <w:r>
        <w:rPr>
          <w:b/>
        </w:rPr>
        <w:t xml:space="preserve">Acoustic Vocalization Integration: </w:t>
      </w:r>
      <w:r>
        <w:t>Adding microphone sensors to detect high-pitch piglet distress squeals during crushing events to complement visual detections.</w:t>
      </w:r>
    </w:p>
    <w:p>
      <w:pPr>
        <w:pStyle w:val="ListBullet2"/>
        <w:spacing w:after="40" w:line="276" w:lineRule="auto"/>
      </w:pPr>
      <w:r>
        <w:rPr>
          <w:b/>
        </w:rPr>
        <w:t xml:space="preserve">Thermal Sensor Fusion: </w:t>
      </w:r>
      <w:r>
        <w:t>Integrating low-cost thermal array sensors to resolve piglet body temperatures and distinguish huddled piglets in absolute darkness.</w:t>
      </w:r>
    </w:p>
    <w:p>
      <w:pPr>
        <w:pStyle w:val="ListBullet2"/>
        <w:spacing w:after="40" w:line="276" w:lineRule="auto"/>
      </w:pPr>
      <w:r>
        <w:rPr>
          <w:b/>
        </w:rPr>
        <w:t xml:space="preserve">Automated Physical Deterrents: </w:t>
      </w:r>
      <w:r>
        <w:t>Interfacing alerts with crate vibrating actuators or localized air blowers to prompt the sow to stand without human intervention.</w:t>
      </w:r>
    </w:p>
    <w:p>
      <w:pPr>
        <w:pStyle w:val="ListBullet2"/>
        <w:spacing w:after="40" w:line="276" w:lineRule="auto"/>
      </w:pPr>
      <w:r>
        <w:rPr>
          <w:b/>
        </w:rPr>
        <w:t xml:space="preserve">Cross-Farm Dataset Expansion: </w:t>
      </w:r>
      <w:r>
        <w:t>Training on larger multi-breed datasets across varying pen floorings (slatted plastic, concrete, rice husk bedding).</w:t>
      </w:r>
    </w:p>
    <w:p>
      <w:pPr>
        <w:spacing w:after="120"/>
      </w:pPr>
    </w:p>
    <w:p>
      <w:pPr>
        <w:pStyle w:val="Heading1"/>
        <w:spacing w:before="280" w:after="80"/>
      </w:pPr>
      <w:r>
        <w:rPr>
          <w:b/>
          <w:color w:val="1E3A8A"/>
          <w:sz w:val="26"/>
        </w:rPr>
        <w:t>1.5 Summary</w:t>
      </w:r>
    </w:p>
    <w:p>
      <w:pPr>
        <w:spacing w:after="120" w:line="276" w:lineRule="auto"/>
      </w:pPr>
      <w:r>
        <w:t>Section 1.5 will conclude Chapter 4 by providing a concise synthesis of all implementation and verification results, reinforcing the degree to which the project fulfilled its core objectives and establishing a logical transition into Chapter 5:</w:t>
      </w:r>
    </w:p>
    <w:p>
      <w:pPr>
        <w:pStyle w:val="ListBullet"/>
        <w:spacing w:after="60" w:line="276" w:lineRule="auto"/>
      </w:pPr>
      <w:r>
        <w:rPr>
          <w:b/>
        </w:rPr>
        <w:t xml:space="preserve">Recapitulation of Implementation Achievements: </w:t>
      </w:r>
      <w:r>
        <w:t>Summarize the successful deployment of top-down VIGI C320I/Tapo cameras, edge-based MediaMTX video ingestion, YOLOv11 ONNX inference, FastAPI backend services, PostgreSQL database, and the bilingual React.js dashboard.</w:t>
      </w:r>
    </w:p>
    <w:p>
      <w:pPr>
        <w:pStyle w:val="ListBullet"/>
        <w:spacing w:after="60" w:line="276" w:lineRule="auto"/>
      </w:pPr>
      <w:r>
        <w:rPr>
          <w:b/>
        </w:rPr>
        <w:t xml:space="preserve">Synthesis of Verification &amp; Testing Outcomes: </w:t>
      </w:r>
      <w:r>
        <w:t>Highlight the most prominent technical findings: 96.6% mAP@50 and 97.4% F1-score for YOLOv11, 40% reduction in streaming delay (down to 210 ms at 30 FPS), 5–15 second alert response time, and 100% pass rate across functional test cases.</w:t>
      </w:r>
    </w:p>
    <w:p>
      <w:pPr>
        <w:pStyle w:val="ListBullet"/>
        <w:spacing w:after="60" w:line="276" w:lineRule="auto"/>
      </w:pPr>
      <w:r>
        <w:rPr>
          <w:b/>
        </w:rPr>
        <w:t xml:space="preserve">Confirmation of Objective Realization: </w:t>
      </w:r>
      <w:r>
        <w:t>Affirm that the Pig AI Watch system successfully met its technical, operational, and usability benchmarks, proving the viability of camera-based computer vision for smallholder farrowing management.</w:t>
      </w:r>
    </w:p>
    <w:p>
      <w:pPr>
        <w:pStyle w:val="ListBullet"/>
        <w:spacing w:after="60" w:line="276" w:lineRule="auto"/>
      </w:pPr>
      <w:r>
        <w:rPr>
          <w:b/>
        </w:rPr>
        <w:t xml:space="preserve">Acknowledgement of Practical Constraints: </w:t>
      </w:r>
      <w:r>
        <w:t>Reiterate primary operating boundaries, including lens cleanliness, ambient lighting variations, and extreme piglet clustering.</w:t>
      </w:r>
    </w:p>
    <w:p>
      <w:pPr>
        <w:pStyle w:val="ListBullet"/>
        <w:spacing w:after="60" w:line="276" w:lineRule="auto"/>
      </w:pPr>
      <w:r>
        <w:rPr>
          <w:b/>
        </w:rPr>
        <w:t xml:space="preserve">Bridge to Chapter 5 (Conclusions and Recommendations): </w:t>
      </w:r>
      <w:r>
        <w:t>Directly link the empirical results and performance insights of Chapter 4 to the final project conclusions, farm policy implications, and actionable recommendations presented in the final chapter.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