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ystem-overview---qes-flo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System Overview - QES Flow</w:t>
      </w:r>
    </w:p>
    <w:bookmarkStart w:id="9" w:name="dart-what-is-qes-flo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What is QES Flow?</w:t>
      </w:r>
    </w:p>
    <w:p>
      <w:pPr>
        <w:pStyle w:val="FirstParagraph"/>
      </w:pPr>
      <w:r>
        <w:t xml:space="preserve">QES Flow is a</w:t>
      </w:r>
      <w:r>
        <w:t xml:space="preserve"> </w:t>
      </w:r>
      <w:r>
        <w:rPr>
          <w:b/>
          <w:bCs/>
        </w:rPr>
        <w:t xml:space="preserve">Qualified Electronic Signature Flow management system</w:t>
      </w:r>
      <w:r>
        <w:t xml:space="preserve"> </w:t>
      </w:r>
      <w:r>
        <w:t xml:space="preserve">that enables clinics to securely upload digitally signed prescriptions, which are then verified and processed through a pharmacy network. The system ensures compliance with EU digital signature regulations (eIDAS) while maintaining GDPR-compliant data handling.</w:t>
      </w:r>
    </w:p>
    <w:bookmarkEnd w:id="9"/>
    <w:bookmarkStart w:id="14" w:name="X25bbdebbdf04e9ab390c19a109e20062e505d4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How It Works - End-to-End Flow</w:t>
      </w:r>
    </w:p>
    <w:bookmarkStart w:id="10" w:name="step-1-clinic-uploads-prescrip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Step 1: Clinic Uploads Prescription</w:t>
      </w:r>
    </w:p>
    <w:p>
      <w:pPr>
        <w:pStyle w:val="SourceCode"/>
      </w:pPr>
      <w:r>
        <w:rPr>
          <w:rStyle w:val="VerbatimChar"/>
        </w:rPr>
        <w:t xml:space="preserve">Clinic Portal → Select PDF → Upload</w:t>
      </w:r>
    </w:p>
    <w:p>
      <w:pPr>
        <w:pStyle w:val="Compact"/>
        <w:numPr>
          <w:ilvl w:val="0"/>
          <w:numId w:val="1001"/>
        </w:numPr>
      </w:pPr>
      <w:r>
        <w:t xml:space="preserve">Clinic selects a digitally signed PDF prescription</w:t>
      </w:r>
    </w:p>
    <w:p>
      <w:pPr>
        <w:pStyle w:val="Compact"/>
        <w:numPr>
          <w:ilvl w:val="0"/>
          <w:numId w:val="1001"/>
        </w:numPr>
      </w:pPr>
      <w:r>
        <w:t xml:space="preserve">System validates file (size, format, malware scan)</w:t>
      </w:r>
    </w:p>
    <w:p>
      <w:pPr>
        <w:pStyle w:val="Compact"/>
        <w:numPr>
          <w:ilvl w:val="0"/>
          <w:numId w:val="1001"/>
        </w:numPr>
      </w:pPr>
      <w:r>
        <w:t xml:space="preserve">Idempotency key prevents duplicate uploads</w:t>
      </w:r>
    </w:p>
    <w:p>
      <w:pPr>
        <w:pStyle w:val="Compact"/>
        <w:numPr>
          <w:ilvl w:val="0"/>
          <w:numId w:val="1001"/>
        </w:numPr>
      </w:pPr>
      <w:r>
        <w:t xml:space="preserve">All uploads are tracked to the clinic that submitted them</w:t>
      </w:r>
    </w:p>
    <w:bookmarkEnd w:id="10"/>
    <w:bookmarkStart w:id="11" w:name="step-2-system-processing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Step 2: System Processing</w:t>
      </w:r>
    </w:p>
    <w:p>
      <w:pPr>
        <w:pStyle w:val="SourceCode"/>
      </w:pPr>
      <w:r>
        <w:rPr>
          <w:rStyle w:val="VerbatimChar"/>
        </w:rPr>
        <w:t xml:space="preserve">File Upload → Malware Scan → QTSP Verification → Storage → Notification</w:t>
      </w:r>
    </w:p>
    <w:p>
      <w:pPr>
        <w:pStyle w:val="FirstParagraph"/>
      </w:pPr>
      <w:r>
        <w:rPr>
          <w:b/>
          <w:bCs/>
        </w:rPr>
        <w:t xml:space="preserve">a) Malware Scanning (ClamAV)</w:t>
      </w:r>
    </w:p>
    <w:p>
      <w:pPr>
        <w:pStyle w:val="Compact"/>
        <w:numPr>
          <w:ilvl w:val="0"/>
          <w:numId w:val="1002"/>
        </w:numPr>
      </w:pPr>
      <w:r>
        <w:t xml:space="preserve">PDF is scanned for malware</w:t>
      </w:r>
    </w:p>
    <w:p>
      <w:pPr>
        <w:pStyle w:val="Compact"/>
        <w:numPr>
          <w:ilvl w:val="0"/>
          <w:numId w:val="1002"/>
        </w:numPr>
      </w:pPr>
      <w:r>
        <w:t xml:space="preserve">Ensures security of documents</w:t>
      </w:r>
    </w:p>
    <w:p>
      <w:pPr>
        <w:pStyle w:val="Compact"/>
        <w:numPr>
          <w:ilvl w:val="0"/>
          <w:numId w:val="1002"/>
        </w:numPr>
      </w:pPr>
      <w:r>
        <w:t xml:space="preserve">Blocks infected files automatically</w:t>
      </w:r>
    </w:p>
    <w:p>
      <w:pPr>
        <w:pStyle w:val="FirstParagraph"/>
      </w:pPr>
      <w:r>
        <w:rPr>
          <w:b/>
          <w:bCs/>
        </w:rPr>
        <w:t xml:space="preserve">b) QTSP Verification (Dokobit)</w:t>
      </w:r>
    </w:p>
    <w:p>
      <w:pPr>
        <w:pStyle w:val="Compact"/>
        <w:numPr>
          <w:ilvl w:val="0"/>
          <w:numId w:val="1003"/>
        </w:numPr>
      </w:pPr>
      <w:r>
        <w:t xml:space="preserve">Digital signature is extracted</w:t>
      </w:r>
    </w:p>
    <w:p>
      <w:pPr>
        <w:pStyle w:val="Compact"/>
        <w:numPr>
          <w:ilvl w:val="0"/>
          <w:numId w:val="1003"/>
        </w:numPr>
      </w:pPr>
      <w:r>
        <w:t xml:space="preserve">Certificate chain is validated</w:t>
      </w:r>
    </w:p>
    <w:p>
      <w:pPr>
        <w:pStyle w:val="Compact"/>
        <w:numPr>
          <w:ilvl w:val="0"/>
          <w:numId w:val="1003"/>
        </w:numPr>
      </w:pPr>
      <w:r>
        <w:t xml:space="preserve">Qualified timestamp is verified</w:t>
      </w:r>
    </w:p>
    <w:p>
      <w:pPr>
        <w:pStyle w:val="Compact"/>
        <w:numPr>
          <w:ilvl w:val="0"/>
          <w:numId w:val="1003"/>
        </w:numPr>
      </w:pPr>
      <w:r>
        <w:t xml:space="preserve">System ensures the prescription is authentic and unmodified</w:t>
      </w:r>
    </w:p>
    <w:p>
      <w:pPr>
        <w:pStyle w:val="FirstParagraph"/>
      </w:pPr>
      <w:r>
        <w:rPr>
          <w:b/>
          <w:bCs/>
        </w:rPr>
        <w:t xml:space="preserve">c) Encrypted Storage</w:t>
      </w:r>
    </w:p>
    <w:p>
      <w:pPr>
        <w:pStyle w:val="Compact"/>
        <w:numPr>
          <w:ilvl w:val="0"/>
          <w:numId w:val="1004"/>
        </w:numPr>
      </w:pPr>
      <w:r>
        <w:t xml:space="preserve">File is stored in Azure Blob Storage</w:t>
      </w:r>
    </w:p>
    <w:p>
      <w:pPr>
        <w:pStyle w:val="Compact"/>
        <w:numPr>
          <w:ilvl w:val="0"/>
          <w:numId w:val="1004"/>
        </w:numPr>
      </w:pPr>
      <w:r>
        <w:t xml:space="preserve">All data encrypted end-to-end</w:t>
      </w:r>
    </w:p>
    <w:p>
      <w:pPr>
        <w:pStyle w:val="Compact"/>
        <w:numPr>
          <w:ilvl w:val="0"/>
          <w:numId w:val="1004"/>
        </w:numPr>
      </w:pPr>
      <w:r>
        <w:t xml:space="preserve">Tenant isolation ensures data separation</w:t>
      </w:r>
    </w:p>
    <w:p>
      <w:pPr>
        <w:pStyle w:val="FirstParagraph"/>
      </w:pPr>
      <w:r>
        <w:rPr>
          <w:b/>
          <w:bCs/>
        </w:rPr>
        <w:t xml:space="preserve">d) Pharmacy Notification</w:t>
      </w:r>
    </w:p>
    <w:p>
      <w:pPr>
        <w:pStyle w:val="Compact"/>
        <w:numPr>
          <w:ilvl w:val="0"/>
          <w:numId w:val="1005"/>
        </w:numPr>
      </w:pPr>
      <w:r>
        <w:t xml:space="preserve">Pharmacy is automatically notified</w:t>
      </w:r>
    </w:p>
    <w:p>
      <w:pPr>
        <w:pStyle w:val="Compact"/>
        <w:numPr>
          <w:ilvl w:val="0"/>
          <w:numId w:val="1005"/>
        </w:numPr>
      </w:pPr>
      <w:r>
        <w:t xml:space="preserve">Prescription appears in pharmacy portal</w:t>
      </w:r>
    </w:p>
    <w:p>
      <w:pPr>
        <w:pStyle w:val="Compact"/>
        <w:numPr>
          <w:ilvl w:val="0"/>
          <w:numId w:val="1005"/>
        </w:numPr>
      </w:pPr>
      <w:r>
        <w:t xml:space="preserve">Ready for dispensing</w:t>
      </w:r>
    </w:p>
    <w:bookmarkEnd w:id="11"/>
    <w:bookmarkStart w:id="12" w:name="step-3-pharmacy-processe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Step 3: Pharmacy Processes</w:t>
      </w:r>
    </w:p>
    <w:p>
      <w:pPr>
        <w:pStyle w:val="SourceCode"/>
      </w:pPr>
      <w:r>
        <w:rPr>
          <w:rStyle w:val="VerbatimChar"/>
        </w:rPr>
        <w:t xml:space="preserve">Pharmacy Portal → View Prescription → Confirm Dispensing → Audit Record</w:t>
      </w:r>
    </w:p>
    <w:p>
      <w:pPr>
        <w:pStyle w:val="Compact"/>
        <w:numPr>
          <w:ilvl w:val="0"/>
          <w:numId w:val="1006"/>
        </w:numPr>
      </w:pPr>
      <w:r>
        <w:t xml:space="preserve">Pharmacy user views verified prescription</w:t>
      </w:r>
    </w:p>
    <w:p>
      <w:pPr>
        <w:pStyle w:val="Compact"/>
        <w:numPr>
          <w:ilvl w:val="0"/>
          <w:numId w:val="1006"/>
        </w:numPr>
      </w:pPr>
      <w:r>
        <w:t xml:space="preserve">Downloads signed document as evidence</w:t>
      </w:r>
    </w:p>
    <w:p>
      <w:pPr>
        <w:pStyle w:val="Compact"/>
        <w:numPr>
          <w:ilvl w:val="0"/>
          <w:numId w:val="1006"/>
        </w:numPr>
      </w:pPr>
      <w:r>
        <w:t xml:space="preserve">Confirms dispensing</w:t>
      </w:r>
    </w:p>
    <w:p>
      <w:pPr>
        <w:pStyle w:val="Compact"/>
        <w:numPr>
          <w:ilvl w:val="0"/>
          <w:numId w:val="1006"/>
        </w:numPr>
      </w:pPr>
      <w:r>
        <w:t xml:space="preserve">All actions recorded in immutable audit log</w:t>
      </w:r>
    </w:p>
    <w:bookmarkEnd w:id="12"/>
    <w:bookmarkStart w:id="13" w:name="step-4-admin-oversight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Step 4: Admin Oversight</w:t>
      </w:r>
    </w:p>
    <w:p>
      <w:pPr>
        <w:pStyle w:val="SourceCode"/>
      </w:pPr>
      <w:r>
        <w:rPr>
          <w:rStyle w:val="VerbatimChar"/>
        </w:rPr>
        <w:t xml:space="preserve">Admin Portal → View Stats → Monitor Verifications → Export Audit Trail</w:t>
      </w:r>
    </w:p>
    <w:p>
      <w:pPr>
        <w:pStyle w:val="Compact"/>
        <w:numPr>
          <w:ilvl w:val="0"/>
          <w:numId w:val="1007"/>
        </w:numPr>
      </w:pPr>
      <w:r>
        <w:t xml:space="preserve">Admin sees system health and prescription counts</w:t>
      </w:r>
    </w:p>
    <w:p>
      <w:pPr>
        <w:pStyle w:val="Compact"/>
        <w:numPr>
          <w:ilvl w:val="0"/>
          <w:numId w:val="1007"/>
        </w:numPr>
      </w:pPr>
      <w:r>
        <w:t xml:space="preserve">Reviews verification results</w:t>
      </w:r>
    </w:p>
    <w:p>
      <w:pPr>
        <w:pStyle w:val="Compact"/>
        <w:numPr>
          <w:ilvl w:val="0"/>
          <w:numId w:val="1007"/>
        </w:numPr>
      </w:pPr>
      <w:r>
        <w:t xml:space="preserve">Exports audit trail for compliance</w:t>
      </w:r>
    </w:p>
    <w:p>
      <w:pPr>
        <w:pStyle w:val="Compact"/>
        <w:numPr>
          <w:ilvl w:val="0"/>
          <w:numId w:val="1007"/>
        </w:numPr>
      </w:pPr>
      <w:r>
        <w:t xml:space="preserve">Monitors security and performance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building_construction-system-compone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System Components</w:t>
      </w:r>
    </w:p>
    <w:bookmarkStart w:id="15" w:name="three-portal-architectur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Three-Portal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Portal</w:t>
            </w:r>
          </w:p>
        </w:tc>
        <w:tc>
          <w:tcPr/>
          <w:p>
            <w:pPr>
              <w:pStyle w:val="Compact"/>
            </w:pPr>
            <w:r>
              <w:t xml:space="preserve">Clinics</w:t>
            </w:r>
          </w:p>
        </w:tc>
        <w:tc>
          <w:tcPr/>
          <w:p>
            <w:pPr>
              <w:pStyle w:val="Compact"/>
            </w:pPr>
            <w:r>
              <w:t xml:space="preserve">Upload digitally signed prescriptions for their clinic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Pharmacy Portal</w:t>
            </w:r>
          </w:p>
        </w:tc>
        <w:tc>
          <w:tcPr/>
          <w:p>
            <w:pPr>
              <w:pStyle w:val="Compact"/>
            </w:pPr>
            <w:r>
              <w:t xml:space="preserve">Pharmacists</w:t>
            </w:r>
          </w:p>
        </w:tc>
        <w:tc>
          <w:tcPr/>
          <w:p>
            <w:pPr>
              <w:pStyle w:val="Compact"/>
            </w:pPr>
            <w:r>
              <w:t xml:space="preserve">View and dispense prescriptions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Administrators</w:t>
            </w:r>
          </w:p>
        </w:tc>
        <w:tc>
          <w:tcPr/>
          <w:p>
            <w:pPr>
              <w:pStyle w:val="Compact"/>
            </w:pPr>
            <w:r>
              <w:t xml:space="preserve">Monitor system, audit logs, compliance</w:t>
            </w:r>
          </w:p>
        </w:tc>
      </w:tr>
    </w:tbl>
    <w:bookmarkEnd w:id="15"/>
    <w:bookmarkStart w:id="16" w:name="backend-service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Backend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Handles all requests, business logic,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(PostgreSQL)</w:t>
            </w:r>
          </w:p>
        </w:tc>
        <w:tc>
          <w:tcPr/>
          <w:p>
            <w:pPr>
              <w:pStyle w:val="Compact"/>
            </w:pPr>
            <w:r>
              <w:t xml:space="preserve">Stores users, prescriptions,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Stores encrypted prescription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QTSP Provider (Dokobit)</w:t>
            </w:r>
          </w:p>
        </w:tc>
        <w:tc>
          <w:tcPr/>
          <w:p>
            <w:pPr>
              <w:pStyle w:val="Compact"/>
            </w:pPr>
            <w:r>
              <w:t xml:space="preserve">Verifies digital signatures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ClamAV</w:t>
            </w:r>
          </w:p>
        </w:tc>
        <w:tc>
          <w:tcPr/>
          <w:p>
            <w:pPr>
              <w:pStyle w:val="Compact"/>
            </w:pPr>
            <w:r>
              <w:t xml:space="preserve">Scans files for malware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losed_lock_with_key-data-encryp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Data Encryption</w:t>
      </w:r>
    </w:p>
    <w:p>
      <w:pPr>
        <w:pStyle w:val="FirstParagraph"/>
      </w:pPr>
      <w:r>
        <w:rPr>
          <w:b/>
          <w:bCs/>
        </w:rPr>
        <w:t xml:space="preserve">Everything related to prescriptions is encrypted:</w:t>
      </w:r>
    </w:p>
    <w:p>
      <w:pPr>
        <w:pStyle w:val="Compact"/>
        <w:numPr>
          <w:ilvl w:val="0"/>
          <w:numId w:val="1008"/>
        </w:numPr>
      </w:pPr>
      <w:r>
        <w:t xml:space="preserve"> </w:t>
      </w:r>
      <w:r>
        <w:rPr>
          <w:b/>
          <w:bCs/>
        </w:rPr>
        <w:t xml:space="preserve">Prescription PDFs</w:t>
      </w:r>
      <w:r>
        <w:t xml:space="preserve"> </w:t>
      </w:r>
      <w:r>
        <w:t xml:space="preserve">— Stored encrypted in Azure Blob Storage</w:t>
      </w:r>
    </w:p>
    <w:p>
      <w:pPr>
        <w:pStyle w:val="Compact"/>
        <w:numPr>
          <w:ilvl w:val="0"/>
          <w:numId w:val="1008"/>
        </w:numPr>
      </w:pPr>
      <w:r>
        <w:t xml:space="preserve"> </w:t>
      </w:r>
      <w:r>
        <w:rPr>
          <w:b/>
          <w:bCs/>
        </w:rPr>
        <w:t xml:space="preserve">Clinic/Pharmacist Data</w:t>
      </w:r>
      <w:r>
        <w:t xml:space="preserve"> </w:t>
      </w:r>
      <w:r>
        <w:t xml:space="preserve">— Phone numbers, PINs, OTPs encrypted</w:t>
      </w:r>
    </w:p>
    <w:p>
      <w:pPr>
        <w:pStyle w:val="Compact"/>
        <w:numPr>
          <w:ilvl w:val="0"/>
          <w:numId w:val="1008"/>
        </w:numPr>
      </w:pPr>
      <w:r>
        <w:t xml:space="preserve"> </w:t>
      </w:r>
      <w:r>
        <w:rPr>
          <w:b/>
          <w:bCs/>
        </w:rPr>
        <w:t xml:space="preserve">Sensitive Fields</w:t>
      </w:r>
      <w:r>
        <w:t xml:space="preserve"> </w:t>
      </w:r>
      <w:r>
        <w:t xml:space="preserve">— Automatically masked in logs</w:t>
      </w:r>
    </w:p>
    <w:p>
      <w:pPr>
        <w:pStyle w:val="Compact"/>
        <w:numPr>
          <w:ilvl w:val="0"/>
          <w:numId w:val="1008"/>
        </w:numPr>
      </w:pP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— Hash-chained with HMAC verification</w:t>
      </w:r>
    </w:p>
    <w:p>
      <w:r>
        <w:pict>
          <v:rect style="width:0;height:1.5pt" o:hralign="center" o:hrstd="t" o:hr="t"/>
        </w:pict>
      </w:r>
    </w:p>
    <w:bookmarkEnd w:id="18"/>
    <w:bookmarkStart w:id="25" w:name="bar_chart-key-features--why-they-matter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Key Features &amp; Why They Matter</w:t>
      </w:r>
    </w:p>
    <w:bookmarkStart w:id="19" w:name="Xc8ecbe5ced68f055851c9da9e29fd13a3301f5e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1. Idempotency Key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unique identifier generated for each upload attempt.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09"/>
        </w:numPr>
      </w:pPr>
      <w:r>
        <w:t xml:space="preserve">Prevents duplicate prescriptions if network fails and user retries</w:t>
      </w:r>
    </w:p>
    <w:p>
      <w:pPr>
        <w:pStyle w:val="Compact"/>
        <w:numPr>
          <w:ilvl w:val="0"/>
          <w:numId w:val="1009"/>
        </w:numPr>
      </w:pPr>
      <w:r>
        <w:t xml:space="preserve">Ensures "exactly-once" processing semantics</w:t>
      </w:r>
    </w:p>
    <w:p>
      <w:pPr>
        <w:pStyle w:val="Compact"/>
        <w:numPr>
          <w:ilvl w:val="0"/>
          <w:numId w:val="1009"/>
        </w:numPr>
      </w:pPr>
      <w:r>
        <w:t xml:space="preserve">Clinic can safely retry upload without creating duplicates</w:t>
      </w:r>
    </w:p>
    <w:bookmarkEnd w:id="19"/>
    <w:bookmarkStart w:id="20" w:name="Xff77dbc00c351e842740c57e076bb7115c7feb1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2. QTSP Verification (Dokobit)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Verification of digital signatures by a Qualified Trust Service Provider.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0"/>
        </w:numPr>
      </w:pPr>
      <w:r>
        <w:t xml:space="preserve">Ensures prescription authenticity (doctor really signed it)</w:t>
      </w:r>
    </w:p>
    <w:p>
      <w:pPr>
        <w:pStyle w:val="Compact"/>
        <w:numPr>
          <w:ilvl w:val="0"/>
          <w:numId w:val="1010"/>
        </w:numPr>
      </w:pPr>
      <w:r>
        <w:t xml:space="preserve">Verifies qualified timestamp (proof of when it was signed)</w:t>
      </w:r>
    </w:p>
    <w:p>
      <w:pPr>
        <w:pStyle w:val="Compact"/>
        <w:numPr>
          <w:ilvl w:val="0"/>
          <w:numId w:val="1010"/>
        </w:numPr>
      </w:pPr>
      <w:r>
        <w:t xml:space="preserve">Meets EU eIDAS regulation requirements</w:t>
      </w:r>
    </w:p>
    <w:p>
      <w:pPr>
        <w:pStyle w:val="Compact"/>
        <w:numPr>
          <w:ilvl w:val="0"/>
          <w:numId w:val="1010"/>
        </w:numPr>
      </w:pPr>
      <w:r>
        <w:t xml:space="preserve">Provides legal proof of signature validity</w:t>
      </w:r>
    </w:p>
    <w:p>
      <w:pPr>
        <w:pStyle w:val="Compact"/>
        <w:numPr>
          <w:ilvl w:val="0"/>
          <w:numId w:val="1010"/>
        </w:numPr>
      </w:pPr>
      <w:r>
        <w:t xml:space="preserve">Prevents fraud and tampering</w:t>
      </w:r>
    </w:p>
    <w:bookmarkEnd w:id="20"/>
    <w:bookmarkStart w:id="21" w:name="X3e74788921124c26de956fca2cfa95aae15d060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3. Malware Scanning (ClamAV)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Automatic virus scanning before storage.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1"/>
        </w:numPr>
      </w:pPr>
      <w:r>
        <w:t xml:space="preserve">Protects system from infected PDFs</w:t>
      </w:r>
    </w:p>
    <w:p>
      <w:pPr>
        <w:pStyle w:val="Compact"/>
        <w:numPr>
          <w:ilvl w:val="0"/>
          <w:numId w:val="1011"/>
        </w:numPr>
      </w:pPr>
      <w:r>
        <w:t xml:space="preserve">Ensures file integrity</w:t>
      </w:r>
    </w:p>
    <w:p>
      <w:pPr>
        <w:pStyle w:val="Compact"/>
        <w:numPr>
          <w:ilvl w:val="0"/>
          <w:numId w:val="1011"/>
        </w:numPr>
      </w:pPr>
      <w:r>
        <w:t xml:space="preserve">Prevents malware distribution to pharmacy</w:t>
      </w:r>
    </w:p>
    <w:p>
      <w:pPr>
        <w:pStyle w:val="Compact"/>
        <w:numPr>
          <w:ilvl w:val="0"/>
          <w:numId w:val="1011"/>
        </w:numPr>
      </w:pPr>
      <w:r>
        <w:t xml:space="preserve">Required for secure document handling</w:t>
      </w:r>
    </w:p>
    <w:bookmarkEnd w:id="21"/>
    <w:bookmarkStart w:id="22" w:name="Xb20ebe25738a19dd5d24edec9ce3e167905b7e7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rPr>
          <w:b/>
          <w:bCs/>
        </w:rPr>
        <w:t xml:space="preserve">4. Immutable Audit Trail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Hash-chained log of every action with HMAC verification.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2"/>
        </w:numPr>
      </w:pPr>
      <w:r>
        <w:t xml:space="preserve">Proves compliance for regulatory audits</w:t>
      </w:r>
    </w:p>
    <w:p>
      <w:pPr>
        <w:pStyle w:val="Compact"/>
        <w:numPr>
          <w:ilvl w:val="0"/>
          <w:numId w:val="1012"/>
        </w:numPr>
      </w:pPr>
      <w:r>
        <w:t xml:space="preserve">Detects tampering (logs cannot be altered without breaking chain)</w:t>
      </w:r>
    </w:p>
    <w:p>
      <w:pPr>
        <w:pStyle w:val="Compact"/>
        <w:numPr>
          <w:ilvl w:val="0"/>
          <w:numId w:val="1012"/>
        </w:numPr>
      </w:pPr>
      <w:r>
        <w:t xml:space="preserve">Provides accountability (who did what, when)</w:t>
      </w:r>
    </w:p>
    <w:p>
      <w:pPr>
        <w:pStyle w:val="Compact"/>
        <w:numPr>
          <w:ilvl w:val="0"/>
          <w:numId w:val="1012"/>
        </w:numPr>
      </w:pPr>
      <w:r>
        <w:t xml:space="preserve">Required by GDPR Article 32 (audit logs)</w:t>
      </w:r>
    </w:p>
    <w:p>
      <w:pPr>
        <w:pStyle w:val="Compact"/>
        <w:numPr>
          <w:ilvl w:val="0"/>
          <w:numId w:val="1012"/>
        </w:numPr>
      </w:pPr>
      <w:r>
        <w:t xml:space="preserve">Legal evidence of system activity</w:t>
      </w:r>
    </w:p>
    <w:bookmarkEnd w:id="22"/>
    <w:bookmarkStart w:id="23" w:name="X6c661a62d7d2c4954e6a28506d71c502bf21d8c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rPr>
          <w:b/>
          <w:bCs/>
        </w:rPr>
        <w:t xml:space="preserve">5. Tenant Isolation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Data separation between different organizations.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3"/>
        </w:numPr>
      </w:pPr>
      <w:r>
        <w:t xml:space="preserve">Each clinic's data is completely separate</w:t>
      </w:r>
    </w:p>
    <w:p>
      <w:pPr>
        <w:pStyle w:val="Compact"/>
        <w:numPr>
          <w:ilvl w:val="0"/>
          <w:numId w:val="1013"/>
        </w:numPr>
      </w:pPr>
      <w:r>
        <w:t xml:space="preserve">Prevents data leakage between clinics</w:t>
      </w:r>
    </w:p>
    <w:p>
      <w:pPr>
        <w:pStyle w:val="Compact"/>
        <w:numPr>
          <w:ilvl w:val="0"/>
          <w:numId w:val="1013"/>
        </w:numPr>
      </w:pPr>
      <w:r>
        <w:t xml:space="preserve">Meets multi-tenancy security requirements</w:t>
      </w:r>
    </w:p>
    <w:p>
      <w:pPr>
        <w:pStyle w:val="Compact"/>
        <w:numPr>
          <w:ilvl w:val="0"/>
          <w:numId w:val="1013"/>
        </w:numPr>
      </w:pPr>
      <w:r>
        <w:t xml:space="preserve">GDPR requirement (data controllers must be separate)</w:t>
      </w:r>
    </w:p>
    <w:bookmarkEnd w:id="23"/>
    <w:bookmarkStart w:id="24" w:name="X280f914fc0a48c4eb623154a03a172396cb1756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rPr>
          <w:b/>
          <w:bCs/>
        </w:rPr>
        <w:t xml:space="preserve">6. Field-Level Encryption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Sensitive fields encrypted at rest in database.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4"/>
        </w:numPr>
      </w:pPr>
      <w:r>
        <w:t xml:space="preserve">Phone numbers encrypted (not readable in DB)</w:t>
      </w:r>
    </w:p>
    <w:p>
      <w:pPr>
        <w:pStyle w:val="Compact"/>
        <w:numPr>
          <w:ilvl w:val="0"/>
          <w:numId w:val="1014"/>
        </w:numPr>
      </w:pPr>
      <w:r>
        <w:t xml:space="preserve">PINs/OTPs never stored in plaintext</w:t>
      </w:r>
    </w:p>
    <w:p>
      <w:pPr>
        <w:pStyle w:val="Compact"/>
        <w:numPr>
          <w:ilvl w:val="0"/>
          <w:numId w:val="1014"/>
        </w:numPr>
      </w:pPr>
      <w:r>
        <w:t xml:space="preserve">Even database admin cannot read patient data</w:t>
      </w:r>
    </w:p>
    <w:p>
      <w:pPr>
        <w:pStyle w:val="Compact"/>
        <w:numPr>
          <w:ilvl w:val="0"/>
          <w:numId w:val="1014"/>
        </w:numPr>
      </w:pPr>
      <w:r>
        <w:t xml:space="preserve">Additional layer beyond database encryption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arth_africa-infrastructure-produc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Infrastructure (Production)</w:t>
      </w:r>
    </w:p>
    <w:p>
      <w:pPr>
        <w:pStyle w:val="FirstParagraph"/>
      </w:pPr>
      <w:r>
        <w:rPr>
          <w:b/>
          <w:bCs/>
        </w:rPr>
        <w:t xml:space="preserve">Cloud Provider:</w:t>
      </w:r>
      <w:r>
        <w:t xml:space="preserve"> </w:t>
      </w:r>
      <w:r>
        <w:t xml:space="preserve">Microsoft Azure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Azure Container Instances</w:t>
      </w:r>
      <w:r>
        <w:t xml:space="preserve"> </w:t>
      </w:r>
      <w:r>
        <w:t xml:space="preserve">— Runs Docker containers (API, portals)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Azure Database for PostgreSQL</w:t>
      </w:r>
      <w:r>
        <w:t xml:space="preserve"> </w:t>
      </w:r>
      <w:r>
        <w:t xml:space="preserve">— Managed database with encryption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Azure Blob Storage</w:t>
      </w:r>
      <w:r>
        <w:t xml:space="preserve"> </w:t>
      </w:r>
      <w:r>
        <w:t xml:space="preserve">— Encrypted file storage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Azure Key Vault</w:t>
      </w:r>
      <w:r>
        <w:t xml:space="preserve"> </w:t>
      </w:r>
      <w:r>
        <w:t xml:space="preserve">— Manages encryption keys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Azure Monitor</w:t>
      </w:r>
      <w:r>
        <w:t xml:space="preserve"> </w:t>
      </w:r>
      <w:r>
        <w:t xml:space="preserve">— Health monitoring and logging</w:t>
      </w:r>
    </w:p>
    <w:p>
      <w:pPr>
        <w:pStyle w:val="FirstParagraph"/>
      </w:pPr>
      <w:r>
        <w:rPr>
          <w:b/>
          <w:bCs/>
        </w:rPr>
        <w:t xml:space="preserve">Why Azure:</w:t>
      </w:r>
    </w:p>
    <w:p>
      <w:pPr>
        <w:pStyle w:val="Compact"/>
        <w:numPr>
          <w:ilvl w:val="0"/>
          <w:numId w:val="1016"/>
        </w:numPr>
      </w:pPr>
      <w:r>
        <w:t xml:space="preserve">Enterprise-grade security</w:t>
      </w:r>
    </w:p>
    <w:p>
      <w:pPr>
        <w:pStyle w:val="Compact"/>
        <w:numPr>
          <w:ilvl w:val="0"/>
          <w:numId w:val="1016"/>
        </w:numPr>
      </w:pPr>
      <w:r>
        <w:t xml:space="preserve">GDPR-compliant data centers (EU regions)</w:t>
      </w:r>
    </w:p>
    <w:p>
      <w:pPr>
        <w:pStyle w:val="Compact"/>
        <w:numPr>
          <w:ilvl w:val="0"/>
          <w:numId w:val="1016"/>
        </w:numPr>
      </w:pPr>
      <w:r>
        <w:t xml:space="preserve">Automatic backups and disaster recovery</w:t>
      </w:r>
    </w:p>
    <w:p>
      <w:pPr>
        <w:pStyle w:val="Compact"/>
        <w:numPr>
          <w:ilvl w:val="0"/>
          <w:numId w:val="1016"/>
        </w:numPr>
      </w:pPr>
      <w:r>
        <w:t xml:space="preserve">Compliance certifications (ISO 27001, SOC 2)</w:t>
      </w:r>
    </w:p>
    <w:p>
      <w:r>
        <w:pict>
          <v:rect style="width:0;height:1.5pt" o:hralign="center" o:hrstd="t" o:hr="t"/>
        </w:pict>
      </w:r>
    </w:p>
    <w:bookmarkEnd w:id="26"/>
    <w:bookmarkStart w:id="29" w:name="X502dc22efcbc2cc83718bd081eaf4ef7c94c2ef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Workflow Comparison</w:t>
      </w:r>
    </w:p>
    <w:bookmarkStart w:id="27" w:name="before-qes-flow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Before QES Flow</w:t>
      </w:r>
    </w:p>
    <w:p>
      <w:pPr>
        <w:pStyle w:val="SourceCode"/>
      </w:pPr>
      <w:r>
        <w:rPr>
          <w:rStyle w:val="VerbatimChar"/>
        </w:rPr>
        <w:t xml:space="preserve">Manual Process:</w:t>
      </w:r>
      <w:r>
        <w:br/>
      </w:r>
      <w:r>
        <w:rPr>
          <w:rStyle w:val="VerbatimChar"/>
        </w:rPr>
        <w:t xml:space="preserve">Clinic → Print → Sign → Scan → Email → Pharmacy</w:t>
      </w:r>
      <w:r>
        <w:br/>
      </w:r>
      <w:r>
        <w:rPr>
          <w:rStyle w:val="VerbatimChar"/>
        </w:rPr>
        <w:t xml:space="preserve">Problems: Slow, prone to errors, no audit trail, signature not verified</w:t>
      </w:r>
    </w:p>
    <w:bookmarkEnd w:id="27"/>
    <w:bookmarkStart w:id="28" w:name="with-qes-flow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With QES Flow</w:t>
      </w:r>
    </w:p>
    <w:p>
      <w:pPr>
        <w:pStyle w:val="SourceCode"/>
      </w:pPr>
      <w:r>
        <w:rPr>
          <w:rStyle w:val="VerbatimChar"/>
        </w:rPr>
        <w:t xml:space="preserve">Digital Process:</w:t>
      </w:r>
      <w:r>
        <w:br/>
      </w:r>
      <w:r>
        <w:rPr>
          <w:rStyle w:val="VerbatimChar"/>
        </w:rPr>
        <w:t xml:space="preserve">Clinic → Digital Signature → Upload → QTSP Verification → Pharmacy</w:t>
      </w:r>
      <w:r>
        <w:br/>
      </w:r>
      <w:r>
        <w:rPr>
          <w:rStyle w:val="VerbatimChar"/>
        </w:rPr>
        <w:t xml:space="preserve">Benefits: Fast, secure, verified, audited, compliant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c49cdf5e75fd5ee6ef3dd2324abd0b6ec846ed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System Statistics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Prescription Processing:</w:t>
      </w:r>
      <w:r>
        <w:t xml:space="preserve"> </w:t>
      </w:r>
      <w:r>
        <w:t xml:space="preserve">&lt; 5 seconds (including QTSP verification)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Storage Security:</w:t>
      </w:r>
      <w:r>
        <w:t xml:space="preserve"> </w:t>
      </w:r>
      <w:r>
        <w:t xml:space="preserve">AES-256 encryption, Azure managed keys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Immutable, hash-chained, HMAC verified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99.9% uptime SLA (Azure)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Configurable, with legal hold support</w:t>
      </w:r>
    </w:p>
    <w:p>
      <w:r>
        <w:pict>
          <v:rect style="width:0;height:1.5pt" o:hralign="center" o:hrstd="t" o:hr="t"/>
        </w:pict>
      </w:r>
    </w:p>
    <w:bookmarkEnd w:id="30"/>
    <w:bookmarkStart w:id="31" w:name="zap-key-benefit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Key Benefits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Regulatory Compliance</w:t>
      </w:r>
      <w:r>
        <w:t xml:space="preserve"> </w:t>
      </w:r>
      <w:r>
        <w:t xml:space="preserve">— EU eIDAS, GDPR ready</w:t>
      </w:r>
      <w:r>
        <w:br/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— End-to-end encryption, signature verification</w:t>
      </w:r>
      <w:r>
        <w:br/>
      </w:r>
      <w:r>
        <w:t xml:space="preserve"> </w:t>
      </w:r>
      <w:r>
        <w:rPr>
          <w:b/>
          <w:bCs/>
        </w:rPr>
        <w:t xml:space="preserve">Efficiency</w:t>
      </w:r>
      <w:r>
        <w:t xml:space="preserve"> </w:t>
      </w:r>
      <w:r>
        <w:t xml:space="preserve">— Automated processing, no manual steps</w:t>
      </w:r>
      <w:r>
        <w:br/>
      </w:r>
      <w:r>
        <w:t xml:space="preserve"> </w:t>
      </w:r>
      <w:r>
        <w:rPr>
          <w:b/>
          <w:bCs/>
        </w:rPr>
        <w:t xml:space="preserve">Auditability</w:t>
      </w:r>
      <w:r>
        <w:t xml:space="preserve"> </w:t>
      </w:r>
      <w:r>
        <w:t xml:space="preserve">— Complete audit trail for compliance</w:t>
      </w:r>
      <w:r>
        <w:br/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— Cloud infrastructure, automatic backups</w:t>
      </w:r>
      <w:r>
        <w:br/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— Handles growing prescription volume</w:t>
      </w:r>
    </w:p>
    <w:p>
      <w:r>
        <w:pict>
          <v:rect style="width:0;height:1.5pt" o:hralign="center" o:hrstd="t" o:hr="t"/>
        </w:pict>
      </w:r>
    </w:p>
    <w:bookmarkEnd w:id="31"/>
    <w:bookmarkStart w:id="36" w:name="next-step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18"/>
        </w:numPr>
      </w:pPr>
      <w:hyperlink r:id="rId32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— Technical architecture</w:t>
      </w:r>
    </w:p>
    <w:p>
      <w:pPr>
        <w:pStyle w:val="Compact"/>
        <w:numPr>
          <w:ilvl w:val="0"/>
          <w:numId w:val="1018"/>
        </w:numPr>
      </w:pPr>
      <w:hyperlink r:id="rId33">
        <w:r>
          <w:rPr>
            <w:rStyle w:val="Hyperlink"/>
          </w:rPr>
          <w:t xml:space="preserve">PRESCRIPTION_FLOW.md</w:t>
        </w:r>
      </w:hyperlink>
      <w:r>
        <w:t xml:space="preserve"> </w:t>
      </w:r>
      <w:r>
        <w:t xml:space="preserve">— Detailed prescription workflow</w:t>
      </w:r>
    </w:p>
    <w:p>
      <w:pPr>
        <w:pStyle w:val="Compact"/>
        <w:numPr>
          <w:ilvl w:val="0"/>
          <w:numId w:val="1018"/>
        </w:numPr>
      </w:pPr>
      <w:hyperlink r:id="rId34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measures</w:t>
      </w:r>
    </w:p>
    <w:p>
      <w:pPr>
        <w:pStyle w:val="Compact"/>
        <w:numPr>
          <w:ilvl w:val="0"/>
          <w:numId w:val="1018"/>
        </w:numPr>
      </w:pPr>
      <w:hyperlink r:id="rId35">
        <w:r>
          <w:rPr>
            <w:rStyle w:val="Hyperlink"/>
          </w:rPr>
          <w:t xml:space="preserve">ENCRYPTION.md</w:t>
        </w:r>
      </w:hyperlink>
      <w:r>
        <w:t xml:space="preserve"> </w:t>
      </w:r>
      <w:r>
        <w:t xml:space="preserve">— Encryption strategy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/02_ARCHITECTURE.md" TargetMode="External" /><Relationship Type="http://schemas.openxmlformats.org/officeDocument/2006/relationships/hyperlink" Id="rId34" Target="./03_SECURITY.md" TargetMode="External" /><Relationship Type="http://schemas.openxmlformats.org/officeDocument/2006/relationships/hyperlink" Id="rId35" Target="./05_ENCRYPTION.md" TargetMode="External" /><Relationship Type="http://schemas.openxmlformats.org/officeDocument/2006/relationships/hyperlink" Id="rId33" Target="./14_PRESCRIPTION_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/02_ARCHITECTURE.md" TargetMode="External" /><Relationship Type="http://schemas.openxmlformats.org/officeDocument/2006/relationships/hyperlink" Id="rId34" Target="./03_SECURITY.md" TargetMode="External" /><Relationship Type="http://schemas.openxmlformats.org/officeDocument/2006/relationships/hyperlink" Id="rId35" Target="./05_ENCRYPTION.md" TargetMode="External" /><Relationship Type="http://schemas.openxmlformats.org/officeDocument/2006/relationships/hyperlink" Id="rId33" Target="./14_PRESCRIPTION_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2026-04-17T09:30:16Z</dcterms:created>
  <dcterms:modified xsi:type="dcterms:W3CDTF">2026-04-17T09:30:16Z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