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Homecare Services Agreement</w:t>
      </w:r>
    </w:p>
    <w:p>
      <w:pPr>
        <w:spacing w:after="240"/>
        <w:jc w:val="center"/>
      </w:pPr>
      <w:r>
        <w:rPr>
          <w:rFonts w:ascii="Calibri" w:hAnsi="Calibri"/>
          <w:b w:val="0"/>
          <w:i/>
          <w:color w:val="555555"/>
          <w:sz w:val="24"/>
        </w:rPr>
        <w:t>Effective {{EFFECTIVE_DATE}}</w:t>
      </w:r>
    </w:p>
    <w:p>
      <w:pPr>
        <w:spacing w:after="120"/>
      </w:pPr>
      <w:r>
        <w:rPr>
          <w:rFonts w:ascii="Calibri" w:hAnsi="Calibri"/>
          <w:b w:val="0"/>
          <w:i w:val="0"/>
          <w:sz w:val="22"/>
        </w:rPr>
        <w:t>This Homecare Services Agreement (this "Agreement") is entered into between {{AGENCY_NAME}}, a {{AGENCY_STATE}} {{AGENCY_LEGAL_ENTITY_TYPE}} (the "Agency"), and the client identified below ("Client"), on the Effective Date set forth above.</w:t>
      </w:r>
    </w:p>
    <w:p>
      <w:pPr>
        <w:spacing w:before="240" w:after="80"/>
      </w:pPr>
      <w:r>
        <w:rPr>
          <w:rFonts w:ascii="Calibri" w:hAnsi="Calibri"/>
          <w:b/>
          <w:i w:val="0"/>
          <w:sz w:val="28"/>
        </w:rPr>
        <w:t>1. Parties</w:t>
      </w:r>
    </w:p>
    <w:p>
      <w:pPr>
        <w:spacing w:after="80"/>
      </w:pPr>
      <w:r>
        <w:rPr>
          <w:rFonts w:ascii="Calibri" w:hAnsi="Calibri"/>
          <w:b/>
          <w:i w:val="0"/>
          <w:sz w:val="22"/>
        </w:rPr>
        <w:t xml:space="preserve">Client legal name: </w:t>
      </w:r>
      <w:r>
        <w:rPr>
          <w:rFonts w:ascii="Calibri" w:hAnsi="Calibri"/>
          <w:b w:val="0"/>
          <w:i w:val="0"/>
          <w:sz w:val="22"/>
        </w:rPr>
        <w:t>____________________</w:t>
      </w:r>
    </w:p>
    <w:p>
      <w:pPr>
        <w:spacing w:after="80"/>
      </w:pPr>
      <w:r>
        <w:rPr>
          <w:rFonts w:ascii="Calibri" w:hAnsi="Calibri"/>
          <w:b/>
          <w:i w:val="0"/>
          <w:sz w:val="22"/>
        </w:rPr>
        <w:t xml:space="preserve">Client date of birth: </w:t>
      </w:r>
      <w:r>
        <w:rPr>
          <w:rFonts w:ascii="Calibri" w:hAnsi="Calibri"/>
          <w:b w:val="0"/>
          <w:i w:val="0"/>
          <w:sz w:val="22"/>
        </w:rPr>
        <w:t>____________________</w:t>
      </w:r>
    </w:p>
    <w:p>
      <w:pPr>
        <w:spacing w:after="80"/>
      </w:pPr>
      <w:r>
        <w:rPr>
          <w:rFonts w:ascii="Calibri" w:hAnsi="Calibri"/>
          <w:b/>
          <w:i w:val="0"/>
          <w:sz w:val="22"/>
        </w:rPr>
        <w:t xml:space="preserve">Client home address (where services will be provided): </w:t>
      </w:r>
      <w:r>
        <w:rPr>
          <w:rFonts w:ascii="Calibri" w:hAnsi="Calibri"/>
          <w:b w:val="0"/>
          <w:i w:val="0"/>
          <w:sz w:val="22"/>
        </w:rPr>
        <w:t>____________________</w:t>
      </w:r>
    </w:p>
    <w:p>
      <w:pPr>
        <w:spacing w:after="80"/>
      </w:pPr>
      <w:r>
        <w:rPr>
          <w:rFonts w:ascii="Calibri" w:hAnsi="Calibri"/>
          <w:b/>
          <w:i w:val="0"/>
          <w:sz w:val="22"/>
        </w:rPr>
        <w:t xml:space="preserve">Authorized representative (if any): </w:t>
      </w:r>
      <w:r>
        <w:rPr>
          <w:rFonts w:ascii="Calibri" w:hAnsi="Calibri"/>
          <w:b w:val="0"/>
          <w:i w:val="0"/>
          <w:sz w:val="22"/>
        </w:rPr>
        <w:t>____________________</w:t>
      </w:r>
    </w:p>
    <w:p>
      <w:pPr>
        <w:spacing w:after="80"/>
      </w:pPr>
      <w:r>
        <w:rPr>
          <w:rFonts w:ascii="Calibri" w:hAnsi="Calibri"/>
          <w:b/>
          <w:i w:val="0"/>
          <w:sz w:val="22"/>
        </w:rPr>
        <w:t xml:space="preserve">Relationship to Client: </w:t>
      </w:r>
      <w:r>
        <w:rPr>
          <w:rFonts w:ascii="Calibri" w:hAnsi="Calibri"/>
          <w:b w:val="0"/>
          <w:i w:val="0"/>
          <w:sz w:val="22"/>
        </w:rPr>
        <w:t>____________________</w:t>
      </w:r>
    </w:p>
    <w:p>
      <w:pPr>
        <w:spacing w:before="240" w:after="80"/>
      </w:pPr>
      <w:r>
        <w:rPr>
          <w:rFonts w:ascii="Calibri" w:hAnsi="Calibri"/>
          <w:b/>
          <w:i w:val="0"/>
          <w:sz w:val="28"/>
        </w:rPr>
        <w:t>2. Scope of Services</w:t>
      </w:r>
    </w:p>
    <w:p>
      <w:pPr>
        <w:spacing w:after="120"/>
      </w:pPr>
      <w:r>
        <w:rPr>
          <w:rFonts w:ascii="Calibri" w:hAnsi="Calibri"/>
          <w:b w:val="0"/>
          <w:i w:val="0"/>
          <w:sz w:val="22"/>
        </w:rPr>
        <w:t>The Agency will provide non-medical and/or skilled in-home services as authorized by Client's plan of care, which is incorporated by reference. Services may include personal care, homemaker services, companion services, respite, and other services within the Agency's licensure. Services excluded from this Agreement (for example, prescribing or administering medication outside scope of practice) will be documented in writing.</w:t>
      </w:r>
    </w:p>
    <w:p>
      <w:pPr>
        <w:spacing w:after="80"/>
      </w:pPr>
      <w:r>
        <w:rPr>
          <w:rFonts w:ascii="Calibri" w:hAnsi="Calibri"/>
          <w:b/>
          <w:i w:val="0"/>
          <w:sz w:val="22"/>
        </w:rPr>
        <w:t xml:space="preserve">Authorized services (summary): </w:t>
      </w:r>
      <w:r>
        <w:rPr>
          <w:rFonts w:ascii="Calibri" w:hAnsi="Calibri"/>
          <w:b w:val="0"/>
          <w:i w:val="0"/>
          <w:sz w:val="22"/>
        </w:rPr>
        <w:t>____________________</w:t>
      </w:r>
    </w:p>
    <w:p>
      <w:pPr>
        <w:spacing w:after="80"/>
      </w:pPr>
      <w:r>
        <w:rPr>
          <w:rFonts w:ascii="Calibri" w:hAnsi="Calibri"/>
          <w:b/>
          <w:i w:val="0"/>
          <w:sz w:val="22"/>
        </w:rPr>
        <w:t xml:space="preserve">Care plan reference / ID: </w:t>
      </w:r>
      <w:r>
        <w:rPr>
          <w:rFonts w:ascii="Calibri" w:hAnsi="Calibri"/>
          <w:b w:val="0"/>
          <w:i w:val="0"/>
          <w:sz w:val="22"/>
        </w:rPr>
        <w:t>____________________</w:t>
      </w:r>
    </w:p>
    <w:p>
      <w:pPr>
        <w:spacing w:before="240" w:after="80"/>
      </w:pPr>
      <w:r>
        <w:rPr>
          <w:rFonts w:ascii="Calibri" w:hAnsi="Calibri"/>
          <w:b/>
          <w:i w:val="0"/>
          <w:sz w:val="28"/>
        </w:rPr>
        <w:t>3. Schedule and Minimum Visit</w:t>
      </w:r>
    </w:p>
    <w:p>
      <w:pPr>
        <w:spacing w:after="120"/>
      </w:pPr>
      <w:r>
        <w:rPr>
          <w:rFonts w:ascii="Calibri" w:hAnsi="Calibri"/>
          <w:b w:val="0"/>
          <w:i w:val="0"/>
          <w:sz w:val="22"/>
        </w:rPr>
        <w:t>Visits will be scheduled in advance and confirmed by Electronic Visit Verification (EVV) as required under 21st Century Cures Act, 42 U.S.C. § 1396b(l). Minimum visit length is {{MINIMUM_VISIT_HOURS}} hour(s). Cancellations made fewer than 24 hours in advance may be billed at the full scheduled rate, except where prohibited by payer contract or law.</w:t>
      </w:r>
    </w:p>
    <w:p>
      <w:pPr>
        <w:spacing w:before="240" w:after="80"/>
      </w:pPr>
      <w:r>
        <w:rPr>
          <w:rFonts w:ascii="Calibri" w:hAnsi="Calibri"/>
          <w:b/>
          <w:i w:val="0"/>
          <w:sz w:val="28"/>
        </w:rPr>
        <w:t>4. Rates and Payment</w:t>
      </w:r>
    </w:p>
    <w:p>
      <w:pPr>
        <w:pStyle w:val="ListBullet"/>
      </w:pPr>
      <w:r>
        <w:rPr>
          <w:rFonts w:ascii="Calibri" w:hAnsi="Calibri"/>
          <w:b w:val="0"/>
          <w:i w:val="0"/>
          <w:sz w:val="22"/>
        </w:rPr>
        <w:t>Hourly rate: {{HOURLY_RATE}}</w:t>
      </w:r>
    </w:p>
    <w:p>
      <w:pPr>
        <w:pStyle w:val="ListBullet"/>
      </w:pPr>
      <w:r>
        <w:rPr>
          <w:rFonts w:ascii="Calibri" w:hAnsi="Calibri"/>
          <w:b w:val="0"/>
          <w:i w:val="0"/>
          <w:sz w:val="22"/>
        </w:rPr>
        <w:t>Overtime rate: {{OVERTIME_RATE}}</w:t>
      </w:r>
    </w:p>
    <w:p>
      <w:pPr>
        <w:pStyle w:val="ListBullet"/>
      </w:pPr>
      <w:r>
        <w:rPr>
          <w:rFonts w:ascii="Calibri" w:hAnsi="Calibri"/>
          <w:b w:val="0"/>
          <w:i w:val="0"/>
          <w:sz w:val="22"/>
        </w:rPr>
        <w:t>Holiday rate: {{HOLIDAY_RATE}}</w:t>
      </w:r>
    </w:p>
    <w:p>
      <w:pPr>
        <w:pStyle w:val="ListBullet"/>
      </w:pPr>
      <w:r>
        <w:rPr>
          <w:rFonts w:ascii="Calibri" w:hAnsi="Calibri"/>
          <w:b w:val="0"/>
          <w:i w:val="0"/>
          <w:sz w:val="22"/>
        </w:rPr>
        <w:t>Mileage (where applicable): {{MILEAGE_RATE}} per mile</w:t>
      </w:r>
    </w:p>
    <w:p>
      <w:pPr>
        <w:pStyle w:val="ListBullet"/>
      </w:pPr>
      <w:r>
        <w:rPr>
          <w:rFonts w:ascii="Calibri" w:hAnsi="Calibri"/>
          <w:b w:val="0"/>
          <w:i w:val="0"/>
          <w:sz w:val="22"/>
        </w:rPr>
        <w:t>Invoicing frequency: {{INVOICE_FREQUENCY}}</w:t>
      </w:r>
    </w:p>
    <w:p>
      <w:pPr>
        <w:pStyle w:val="ListBullet"/>
      </w:pPr>
      <w:r>
        <w:rPr>
          <w:rFonts w:ascii="Calibri" w:hAnsi="Calibri"/>
          <w:b w:val="0"/>
          <w:i w:val="0"/>
          <w:sz w:val="22"/>
        </w:rPr>
        <w:t>Payment due: within {{PAYMENT_DUE_DAYS}} days of invoice</w:t>
      </w:r>
    </w:p>
    <w:p>
      <w:pPr>
        <w:pStyle w:val="ListBullet"/>
      </w:pPr>
      <w:r>
        <w:rPr>
          <w:rFonts w:ascii="Calibri" w:hAnsi="Calibri"/>
          <w:b w:val="0"/>
          <w:i w:val="0"/>
          <w:sz w:val="22"/>
        </w:rPr>
        <w:t>Late payment fee: {{LATE_PAYMENT_FEE_PCT}}% per month on unpaid balances</w:t>
      </w:r>
    </w:p>
    <w:p>
      <w:pPr>
        <w:spacing w:before="240" w:after="80"/>
      </w:pPr>
      <w:r>
        <w:rPr>
          <w:rFonts w:ascii="Calibri" w:hAnsi="Calibri"/>
          <w:b/>
          <w:i w:val="0"/>
          <w:sz w:val="28"/>
        </w:rPr>
        <w:t>5. Electronic Visit Verification (EVV)</w:t>
      </w:r>
    </w:p>
    <w:p>
      <w:pPr>
        <w:spacing w:after="120"/>
      </w:pPr>
      <w:r>
        <w:rPr>
          <w:rFonts w:ascii="Calibri" w:hAnsi="Calibri"/>
          <w:b w:val="0"/>
          <w:i w:val="0"/>
          <w:sz w:val="22"/>
        </w:rPr>
        <w:t>Client acknowledges that caregivers will record clock-in and clock-out at the home using an Agency-supplied mobile device or alternative EVV method. EVV records may include GPS location at clock-in/clock-out, time, date, caregiver identity, and tasks performed. These records are maintained by the Agency and reported to Client's payer where required.</w:t>
      </w:r>
    </w:p>
    <w:p>
      <w:pPr>
        <w:spacing w:before="240" w:after="80"/>
      </w:pPr>
      <w:r>
        <w:rPr>
          <w:rFonts w:ascii="Calibri" w:hAnsi="Calibri"/>
          <w:b/>
          <w:i w:val="0"/>
          <w:sz w:val="28"/>
        </w:rPr>
        <w:t>6. Caregiver Assignment and Substitution</w:t>
      </w:r>
    </w:p>
    <w:p>
      <w:pPr>
        <w:spacing w:after="120"/>
      </w:pPr>
      <w:r>
        <w:rPr>
          <w:rFonts w:ascii="Calibri" w:hAnsi="Calibri"/>
          <w:b w:val="0"/>
          <w:i w:val="0"/>
          <w:sz w:val="22"/>
        </w:rPr>
        <w:t>The Agency selects, employs, and supervises caregivers. The Agency may substitute caregivers as needed for continuity of care. Client is not the employer of any caregiver and may not direct, hire, or pay caregivers outside this Agreement.</w:t>
      </w:r>
    </w:p>
    <w:p>
      <w:pPr>
        <w:spacing w:before="240" w:after="80"/>
      </w:pPr>
      <w:r>
        <w:rPr>
          <w:rFonts w:ascii="Calibri" w:hAnsi="Calibri"/>
          <w:b/>
          <w:i w:val="0"/>
          <w:sz w:val="28"/>
        </w:rPr>
        <w:t>7. Term and Termination</w:t>
      </w:r>
    </w:p>
    <w:p>
      <w:pPr>
        <w:spacing w:after="120"/>
      </w:pPr>
      <w:r>
        <w:rPr>
          <w:rFonts w:ascii="Calibri" w:hAnsi="Calibri"/>
          <w:b w:val="0"/>
          <w:i w:val="0"/>
          <w:sz w:val="22"/>
        </w:rPr>
        <w:t>This Agreement begins on the Effective Date and continues until terminated. Either party may terminate without cause on {{NOTICE_PERIOD_DAYS}} days' written notice. The Agency may terminate immediately for cause, including unsafe conditions, abuse of caregivers, non-payment, or material breach. The Agency will, where feasible, assist with continuity of care upon termination.</w:t>
      </w:r>
    </w:p>
    <w:p>
      <w:pPr>
        <w:spacing w:before="240" w:after="80"/>
      </w:pPr>
      <w:r>
        <w:rPr>
          <w:rFonts w:ascii="Calibri" w:hAnsi="Calibri"/>
          <w:b/>
          <w:i w:val="0"/>
          <w:sz w:val="28"/>
        </w:rPr>
        <w:t>8. Limitation of Liability</w:t>
      </w:r>
    </w:p>
    <w:p>
      <w:pPr>
        <w:spacing w:after="120"/>
      </w:pPr>
      <w:r>
        <w:rPr>
          <w:rFonts w:ascii="Calibri" w:hAnsi="Calibri"/>
          <w:b w:val="0"/>
          <w:i w:val="0"/>
          <w:sz w:val="22"/>
        </w:rPr>
        <w:t>To the maximum extent permitted by law, the Agency's total liability under this Agreement is limited to the amounts paid by or on behalf of Client to the Agency in the six (6) months preceding the event giving rise to the claim. Neither party is liable for indirect, incidental, special, consequential, or punitive damages. Nothing in this section limits liability that cannot be limited under applicable law (including liability for gross negligence, willful misconduct, fraud, or personal injury caused by negligence).</w:t>
      </w:r>
    </w:p>
    <w:p>
      <w:pPr>
        <w:spacing w:before="240" w:after="80"/>
      </w:pPr>
      <w:r>
        <w:rPr>
          <w:rFonts w:ascii="Calibri" w:hAnsi="Calibri"/>
          <w:b/>
          <w:i w:val="0"/>
          <w:sz w:val="28"/>
        </w:rPr>
        <w:t>9. Indemnification</w:t>
      </w:r>
    </w:p>
    <w:p>
      <w:pPr>
        <w:spacing w:after="120"/>
      </w:pPr>
      <w:r>
        <w:rPr>
          <w:rFonts w:ascii="Calibri" w:hAnsi="Calibri"/>
          <w:b w:val="0"/>
          <w:i w:val="0"/>
          <w:sz w:val="22"/>
        </w:rPr>
        <w:t>Each party will indemnify and hold the other harmless from third-party claims arising out of the indemnifying party's negligence, willful misconduct, or material breach of this Agreement, subject to the limitation in Section 8.</w:t>
      </w:r>
    </w:p>
    <w:p>
      <w:pPr>
        <w:spacing w:before="240" w:after="80"/>
      </w:pPr>
      <w:r>
        <w:rPr>
          <w:rFonts w:ascii="Calibri" w:hAnsi="Calibri"/>
          <w:b/>
          <w:i w:val="0"/>
          <w:sz w:val="28"/>
        </w:rPr>
        <w:t>10. Insurance</w:t>
      </w:r>
    </w:p>
    <w:p>
      <w:pPr>
        <w:spacing w:after="120"/>
      </w:pPr>
      <w:r>
        <w:rPr>
          <w:rFonts w:ascii="Calibri" w:hAnsi="Calibri"/>
          <w:b w:val="0"/>
          <w:i w:val="0"/>
          <w:sz w:val="22"/>
        </w:rPr>
        <w:t>The Agency maintains general liability insurance with limits of {{INSURANCE_LIABILITY_LIMIT}}, non-owned automobile coverage of {{INSURANCE_AUTO_LIMIT}}, and workers' compensation insurance through {{WORKERS_COMP_CARRIER}}. Certificates of insurance are available on request.</w:t>
      </w:r>
    </w:p>
    <w:p>
      <w:pPr>
        <w:spacing w:before="240" w:after="80"/>
      </w:pPr>
      <w:r>
        <w:rPr>
          <w:rFonts w:ascii="Calibri" w:hAnsi="Calibri"/>
          <w:b/>
          <w:i w:val="0"/>
          <w:sz w:val="28"/>
        </w:rPr>
        <w:t>11. Confidentiality and HIPAA</w:t>
      </w:r>
    </w:p>
    <w:p>
      <w:pPr>
        <w:spacing w:after="120"/>
      </w:pPr>
      <w:r>
        <w:rPr>
          <w:rFonts w:ascii="Calibri" w:hAnsi="Calibri"/>
          <w:b w:val="0"/>
          <w:i w:val="0"/>
          <w:sz w:val="22"/>
        </w:rPr>
        <w:t>The Agency is a covered entity under HIPAA and treats Client's protected health information (PHI) under its Notice of Privacy Practices, provided separately to Client.</w:t>
      </w:r>
    </w:p>
    <w:p>
      <w:pPr>
        <w:spacing w:before="240" w:after="80"/>
      </w:pPr>
      <w:r>
        <w:rPr>
          <w:rFonts w:ascii="Calibri" w:hAnsi="Calibri"/>
          <w:b/>
          <w:i w:val="0"/>
          <w:sz w:val="28"/>
        </w:rPr>
        <w:t>12. Governing Law and Venue</w:t>
      </w:r>
    </w:p>
    <w:p>
      <w:pPr>
        <w:spacing w:after="120"/>
      </w:pPr>
      <w:r>
        <w:rPr>
          <w:rFonts w:ascii="Calibri" w:hAnsi="Calibri"/>
          <w:b w:val="0"/>
          <w:i w:val="0"/>
          <w:sz w:val="22"/>
        </w:rPr>
        <w:t>This Agreement is governed by the laws of the Commonwealth/State of {{AGENCY_STATE}}, without regard to its conflict-of-laws principles. Any action arising from this Agreement will be brought in the state or federal courts located in {{AGENCY_CITY}}, {{AGENCY_STATE}}.</w:t>
      </w:r>
    </w:p>
    <w:p>
      <w:pPr>
        <w:spacing w:before="240" w:after="80"/>
      </w:pPr>
      <w:r>
        <w:rPr>
          <w:rFonts w:ascii="Calibri" w:hAnsi="Calibri"/>
          <w:b/>
          <w:i w:val="0"/>
          <w:sz w:val="28"/>
        </w:rPr>
        <w:t>13. Entire Agreement</w:t>
      </w:r>
    </w:p>
    <w:p>
      <w:pPr>
        <w:spacing w:after="120"/>
      </w:pPr>
      <w:r>
        <w:rPr>
          <w:rFonts w:ascii="Calibri" w:hAnsi="Calibri"/>
          <w:b w:val="0"/>
          <w:i w:val="0"/>
          <w:sz w:val="22"/>
        </w:rPr>
        <w:t>This Agreement, together with the plan of care, the Notice of Privacy Practices, and any state addendum, constitutes the entire agreement between the parties on this subject. Modifications must be in writing and signed by both parties.</w:t>
      </w:r>
    </w:p>
    <w:p>
      <w:pPr>
        <w:spacing w:after="120"/>
      </w:pPr>
      <w:r>
        <w:rPr>
          <w:rFonts w:ascii="Calibri" w:hAnsi="Calibri"/>
          <w:b w:val="0"/>
          <w:i w:val="0"/>
          <w:sz w:val="22"/>
        </w:rPr>
      </w:r>
    </w:p>
    <w:p>
      <w:pPr>
        <w:spacing w:before="240" w:after="80"/>
      </w:pPr>
      <w:r>
        <w:rPr>
          <w:rFonts w:ascii="Calibri" w:hAnsi="Calibri"/>
          <w:b/>
          <w:i w:val="0"/>
          <w:sz w:val="28"/>
        </w:rPr>
        <w:t>Signatures</w:t>
      </w:r>
    </w:p>
    <w:p>
      <w:pPr>
        <w:spacing w:after="120"/>
      </w:pPr>
      <w:r>
        <w:rPr>
          <w:rFonts w:ascii="Calibri" w:hAnsi="Calibri"/>
          <w:b w:val="0"/>
          <w:i w:val="0"/>
          <w:sz w:val="22"/>
        </w:rPr>
      </w:r>
    </w:p>
    <w:p>
      <w:pPr>
        <w:spacing w:after="80"/>
      </w:pPr>
      <w:r>
        <w:rPr>
          <w:rFonts w:ascii="Calibri" w:hAnsi="Calibri"/>
          <w:b/>
          <w:i w:val="0"/>
          <w:sz w:val="22"/>
        </w:rPr>
        <w:t xml:space="preserve">Client / authorized representative signature: </w:t>
      </w:r>
      <w:r>
        <w:rPr>
          <w:rFonts w:ascii="Calibri" w:hAnsi="Calibri"/>
          <w:b w:val="0"/>
          <w:i w:val="0"/>
          <w:sz w:val="22"/>
        </w:rPr>
        <w:t>____________________</w:t>
      </w:r>
    </w:p>
    <w:p>
      <w:pPr>
        <w:spacing w:after="80"/>
      </w:pPr>
      <w:r>
        <w:rPr>
          <w:rFonts w:ascii="Calibri" w:hAnsi="Calibri"/>
          <w:b/>
          <w:i w:val="0"/>
          <w:sz w:val="22"/>
        </w:rPr>
        <w:t xml:space="preserve">Client / authorized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p>
      <w:pPr>
        <w:spacing w:after="120"/>
      </w:pPr>
      <w:r>
        <w:rPr>
          <w:rFonts w:ascii="Calibri" w:hAnsi="Calibri"/>
          <w:b w:val="0"/>
          <w:i w:val="0"/>
          <w:sz w:val="22"/>
        </w:rPr>
      </w:r>
    </w:p>
    <w:p>
      <w:pPr>
        <w:spacing w:after="80"/>
      </w:pPr>
      <w:r>
        <w:rPr>
          <w:rFonts w:ascii="Calibri" w:hAnsi="Calibri"/>
          <w:b/>
          <w:i w:val="0"/>
          <w:sz w:val="22"/>
        </w:rPr>
        <w:t xml:space="preserve">Agency representative signature: </w:t>
      </w:r>
      <w:r>
        <w:rPr>
          <w:rFonts w:ascii="Calibri" w:hAnsi="Calibri"/>
          <w:b w:val="0"/>
          <w:i w:val="0"/>
          <w:sz w:val="22"/>
        </w:rPr>
        <w:t>____________________</w:t>
      </w:r>
    </w:p>
    <w:p>
      <w:pPr>
        <w:spacing w:after="80"/>
      </w:pPr>
      <w:r>
        <w:rPr>
          <w:rFonts w:ascii="Calibri" w:hAnsi="Calibri"/>
          <w:b/>
          <w:i w:val="0"/>
          <w:sz w:val="22"/>
        </w:rPr>
        <w:t xml:space="preserve">Agency representative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