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Emergency Contact &amp; Critical Information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Client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Full legal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 of birth: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Home address: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Best phone number: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Preferred language: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Emergency Contacts (in order)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#1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#1 Relationship: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#1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#1 Has authority to make medical decisions?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#2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#2 Relationship: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#2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#2 Has authority to make medical decisions?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#3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#3 Relationship: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#3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#3 Has authority to make medical decisions?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Allergies and Sensitivities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Drug allergies: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Food / latex / environmental allergies: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Reaction(s):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Active Medications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Attach a current medication list, or use the lines below.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Medication / dose / frequency / prescriber: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Code Status / Advance Directive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Code status (full code / DNR / other):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Living will on file?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Health care power of attorney?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POLST / MOLST / POST?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Hospital Preference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Preferred hospital: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Preferred ER if different: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Primary Care and Specialty Providers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Primary care provider name /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Pharmacy name /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Specialist 1 name /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Specialist 2 name / phone: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Other Critical Information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Mobility / fall risk: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Communication aids (hearing aid / glasses / dentures):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Behavioral / cognitive considerations: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Pets in the home: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Firearms in the home?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Information collected by (caregiver / nurse):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 collected: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