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Grievance and Complaint Policy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{{AGENCY_NAME}} encourages clients, families, and caregivers to raise concerns. We investigate every grievance, take it seriously, and will not retaliate against anyone for filing one in good faith.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How to File a Grievance Internally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Speak to your assigned caregiver or supervisor first if you feel comfortable doing so.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If unresolved, contact the Compliance Officer: {{COMPLIANCE_OFFICER_NAME}}, {{COMPLIANCE_OFFICER_EMAIL}}.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your grievance in writing if possible — by email, mail to {{AGENCY_ADDRESS_LINE_1}}, {{AGENCY_CITY}}, {{AGENCY_STATE}} {{AGENCY_ZIP}}, or in person.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We will acknowledge receipt within five (5) business days.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We will investigate and respond in writing within thirty (30) calendar days, with a longer timeline only if the matter is unusually complex (with notice).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External Resources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State home care regulator: {{STATE_REGULATOR_NAME}}, {{STATE_REGULATOR_PHONE}}, {{STATE_REGULATOR_WEBSITE}}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Adult Protective Services: {{APS_PHONE}}, {{APS_WEBSITE}}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Long-Term Care Ombudsman (state-specific). Caregivers can provide the local number on request.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Office for Civil Rights (HIPAA complaints): 1-877-696-6775, https://www.hhs.gov/ocr/complaints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you believe there is an immediate safety concern: call 911.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Confidentiality and Non-Retaliation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Your grievance will be handled as confidentially as practical. The Agency prohibits retaliation against any client, family member, or employee for filing a grievance or cooperating in an investigation, in accordance with applicable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Acknowledgement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