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sz w:val="32"/>
        </w:rPr>
        <w:t>{{AGENCY_NAME}}</w:t>
      </w:r>
    </w:p>
    <w:p>
      <w:pPr>
        <w:jc w:val="center"/>
      </w:pPr>
      <w:r>
        <w:rPr>
          <w:rFonts w:ascii="Calibri" w:hAnsi="Calibri"/>
          <w:b w:val="0"/>
          <w:i w:val="0"/>
          <w:color w:val="333333"/>
          <w:sz w:val="20"/>
        </w:rPr>
        <w:t>{{AGENCY_ADDRESS_LINE_1}}, {{AGENCY_ADDRESS_LINE_2}}, {{AGENCY_CITY}}, {{AGENCY_STATE}} {{AGENCY_ZIP}}</w:t>
      </w:r>
    </w:p>
    <w:p>
      <w:pPr>
        <w:spacing w:after="240"/>
        <w:jc w:val="center"/>
      </w:pPr>
      <w:r>
        <w:rPr>
          <w:rFonts w:ascii="Calibri" w:hAnsi="Calibri"/>
          <w:b w:val="0"/>
          <w:i w:val="0"/>
          <w:color w:val="333333"/>
          <w:sz w:val="20"/>
        </w:rPr>
        <w:t>Phone: {{AGENCY_PHONE}}  |  Fax: {{AGENCY_FAX}}  |  Email: {{AGENCY_EMAIL}}  |  Web: {{AGENCY_WEBSITE}}</w:t>
      </w:r>
    </w:p>
    <w:p>
      <w:pPr>
        <w:spacing w:after="120"/>
        <w:jc w:val="center"/>
      </w:pPr>
      <w:r>
        <w:rPr>
          <w:rFonts w:ascii="Calibri" w:hAnsi="Calibri"/>
          <w:b/>
          <w:i w:val="0"/>
          <w:sz w:val="48"/>
        </w:rPr>
        <w:t>Code of Conduct &amp; Ethics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All caregivers, supervisors, contractors, and officers of {{AGENCY_NAME}} are expected to follow this Code of Conduct. Violations may result in discipline up to and including termination, and may be reported to licensing authorities, payers, and law enforcement.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1. Professional Boundaries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Treat clients with dignity and respect at all times.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Do not engage in personal, romantic, or sexual relationships with clients or members of their household.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Do not borrow from, lend to, or co-sign for clients.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Do not bring family members, friends, or pets into a client's home without express Agency authorization.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Do not use a client's car, phone, internet, or supplies for personal purposes.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2. Gifts, Tips, and Inheritances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Do not solicit or accept tips, gifts, or money from clients or families, except for nominal items (e.g., holiday cards, baked goods) reportable to your supervisor.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Do not accept inheritances, life insurance designations, or named beneficiary status from clients.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Do not become a power of attorney, guardian, executor, or trustee for a client.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3. Honesty in Documentation and Billing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Documenting visits, time, mileage, and tasks accurately is a legal obligation. Falsifying EVV records, billing for time not worked, or claiming services not provided is fraud and may violate the federal False Claims Act (31 U.S.C. § 3729 et seq.) and state law.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4. Mandated Reporting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Caregivers are mandated reporters under {{AGENCY_STATE}} law. Suspected abuse, neglect, exploitation, or self-neglect involving older adults must be reported to Adult Protective Services at {{APS_PHONE}}. Suspected child abuse must be reported under applicable state law (in PA, ChildLine 1-800-932-0313). Make required reports promptly and notify the Compliance Officer at {{COMPLIANCE_OFFICER_EMAIL}}.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5. Conflicts of Interest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Disclose any outside employment, ownership interest, or family relationship that could conflict with Agency duties.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Do not accept compensation from a client outside the Agency's billing process.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Do not refer clients to outside services in which you have a financial interest.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6. Substance Use, Weapons, Smoking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Do not work under the influence of alcohol, illegal drugs, marijuana, or any substance that impairs your ability to perform safely.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Do not bring weapons of any kind to a client's home or to the Agency office.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Do not smoke, vape, or use tobacco products in a client's home or vehicle.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7. Discrimination, Harassment, Retaliation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Agency prohibits discrimination and harassment based on any protected status and prohibits retaliation against anyone who reports a concern in good faith.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8. Reporting Violations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Report suspected violations to your supervisor or directly to the Compliance Officer ({{COMPLIANCE_OFFICER_NAME}}, {{COMPLIANCE_OFFICER_EMAIL}}). Reports may be made anonymously where state law permits.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Employee signature: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Employee printed name: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Date: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sectPr w:rsidR="00FC693F" w:rsidRPr="0006063C" w:rsidSect="00034616">
      <w:footerReference w:type="default" r:id="rId9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/>
        <w:color w:val="555555"/>
        <w:sz w:val="16"/>
      </w:rPr>
      <w:t>This template is provided as a starting point and does not constitute legal advice. Have a healthcare-experienced attorney licensed in {{AGENCY_STATE}} review and customize before use.</w:t>
    </w:r>
  </w:p>
  <w:p>
    <w:pPr>
      <w:jc w:val="center"/>
    </w:pPr>
    <w:r>
      <w:rPr>
        <w:rFonts w:ascii="Calibri" w:hAnsi="Calibri"/>
        <w:b w:val="0"/>
        <w:i w:val="0"/>
        <w:color w:val="555555"/>
        <w:sz w:val="16"/>
      </w:rPr>
      <w:t xml:space="preserve">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