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Ohio State Addendum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55555"/>
          <w:sz w:val="24"/>
        </w:rPr>
        <w:t>Attach to the master service agreement and hiring packet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addendum supplements the {{AGENCY_NAME}} client and employment documents with Ohio-specific requirements. Where this addendum conflicts with a general provision, this addendum controls for services delivered or work performed in Ohio.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Home Health and Home Care Regulation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operates as a home health agency or home care provider as regulated under Ohio Revised Code Chapter 3740, with related rules at OAC Chapter 3701-13. The Ohio Department of Health (telephone {{OH_DEPT_HEALTH_PHONE}}) is the principal regulator. Agency provider number: {{OH_PROVIDER_NUMBER}}.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the Agency participates in the PASSPORT waiver, Choices, Assisted Living, or other Aging Network programs, ORC Chapter 173 (Department of Aging) and the related administrative rules also apply.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Criminal Records Checks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complies with ORC § 109.572 and OAC Chapter 3701-13 requirements for criminal records checks, including BCI&amp;I and FBI fingerprint checks for direct-care employees. Disqualifying offenses listed in OAC 3701-13-04 are applied as required.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Adult Protective Services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Suspected abuse, neglect, or exploitation of an adult age sixty (60) or older will be reported under ORC § 5101.61 to the local county Department of Job and Family Services or to the statewide Adult Protective Services hotline at 1-855-OHIO-APS (1-855-644-6277). Caregivers are mandated reporters.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Child Protective Services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Suspected child abuse will be reported under ORC § 2151.421 to the local Public Children Services Agency or law enforcement.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Ohio Civil Rights Act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complies with the Ohio Civil Rights Act, ORC Chapter 4112. Discrimination and harassment in employment or services on a protected basis is prohibited.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6. Wage Payment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Agency complies with Ohio's wage payment requirements (ORC Ch. 4111 and 4113), including timely payment of wages and lawful deductions.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7. Workers' Compensation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Employees are covered by Ohio Bureau of Workers' Compensation coverage through {{WORKERS_COMP_CARRIER}}, consistent with ORC Chapter 4123.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8. Advance Directives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Advance directives are recognized under ORC Chapters 1337 and 2133 (durable power of attorney for health care; living will). The Agency will follow advance directives that comply with Ohio law.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9. Complaints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Concerns about Agency services may be made directly to the Ohio Department of Health at {{OH_DEPT_HEALTH_PHONE}} or to Adult Protective Services at 1-855-OHIO-APS.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By signing the master service agreement and/or employment documents, the parties acknowledge they have read and accept this Ohio addendum.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Signatures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Employee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Employee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Agency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Agency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