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 Summary Report: Advanced Predictive Insights for Collections Strategy</w:t>
      </w:r>
    </w:p>
    <w:p>
      <w:r>
        <w:rPr>
          <w:sz w:val="22"/>
        </w:rPr>
        <w:t>1. Summary of Predictive Insights</w:t>
      </w:r>
    </w:p>
    <w:p>
      <w:r>
        <w:rPr>
          <w:sz w:val="22"/>
        </w:rPr>
        <w:t>Comprehensive analysis derived from the Exploratory Data Analysis (Task 1) and Predictive Modeling Framework (Task 2) reveals key behavioral and financial risk patterns within the customer base. These insights form the foundation for actionable strategies to optimize collections efficiency and minimize default exposure.</w:t>
      </w:r>
    </w:p>
    <w:p>
      <w:r>
        <w:rPr>
          <w:sz w:val="22"/>
        </w:rPr>
        <w:t>Key Observations:</w:t>
      </w:r>
    </w:p>
    <w:p>
      <w:r>
        <w:rPr>
          <w:sz w:val="22"/>
        </w:rPr>
        <w:t>- Customers below 30 years of age exhibiting two or more missed installments and credit utilization rates exceeding 50% demonstrate a disproportionately high propensity for delinquency.</w:t>
      </w:r>
    </w:p>
    <w:p>
      <w:r>
        <w:rPr>
          <w:sz w:val="22"/>
        </w:rPr>
        <w:t>- Elevated Debt-to-Income (DTI) ratios (&gt; 0.5) correlate strongly with delayed or missed obligations, signaling a critical liquidity challenge.</w:t>
      </w:r>
    </w:p>
    <w:p>
      <w:r>
        <w:rPr>
          <w:sz w:val="22"/>
        </w:rPr>
        <w:t>- Accounts with limited tenure (&lt; 12 months) consistently exhibit weaker repayment resilience, indicating the need for enhanced onboarding and financial literacy interventions.</w:t>
      </w:r>
    </w:p>
    <w:p>
      <w:r>
        <w:rPr>
          <w:sz w:val="22"/>
        </w:rPr>
        <w:t>Key Insight Summary Table:</w:t>
      </w:r>
    </w:p>
    <w:p>
      <w:r>
        <w:rPr>
          <w:sz w:val="22"/>
        </w:rPr>
        <w:t>Key Insight | Customer Segment | Influencing Variables | Potential Impact</w:t>
      </w:r>
    </w:p>
    <w:p>
      <w:r>
        <w:rPr>
          <w:sz w:val="22"/>
        </w:rPr>
        <w:t>High credit utilization combined with multiple missed payments is the most significant predictor of delinquency risk. | Under 30 years, 2+ missed payments, utilization &gt; 50% | Missed Payments, Credit Utilization, Age, DTI Ratio | Strategic targeting can reduce 30-day delinquency by 10% or more in this cohort.</w:t>
      </w:r>
    </w:p>
    <w:p>
      <w:r>
        <w:rPr>
          <w:sz w:val="22"/>
        </w:rPr>
        <w:t>2. Recommendation Framework</w:t>
      </w:r>
    </w:p>
    <w:p>
      <w:r>
        <w:rPr>
          <w:sz w:val="22"/>
        </w:rPr>
        <w:t>Restated Insight:</w:t>
      </w:r>
    </w:p>
    <w:p>
      <w:r>
        <w:rPr>
          <w:sz w:val="22"/>
        </w:rPr>
        <w:t>Customers under 30 years with two or more missed payments and utilization exceeding 50% represent a concentrated high-risk segment for imminent delinquency.</w:t>
      </w:r>
    </w:p>
    <w:p>
      <w:r>
        <w:rPr>
          <w:sz w:val="22"/>
        </w:rPr>
        <w:t>Proposed Recommendation:</w:t>
      </w:r>
    </w:p>
    <w:p>
      <w:r>
        <w:rPr>
          <w:sz w:val="22"/>
        </w:rPr>
        <w:t>Implement a 6-week multi-touch SMS engagement program designed to proactively reach this segment and drive improved repayment discipline, aiming for a minimum 10% reduction in 30-day delinquency rates.</w:t>
      </w:r>
    </w:p>
    <w:p>
      <w:r>
        <w:rPr>
          <w:sz w:val="22"/>
        </w:rPr>
        <w:t>SMART Action Plan:</w:t>
      </w:r>
    </w:p>
    <w:p>
      <w:r>
        <w:rPr>
          <w:sz w:val="22"/>
        </w:rPr>
        <w:t>- Specific: Focus exclusively on sub-30 customers with 2+ missed obligations and utilization over 50%.</w:t>
      </w:r>
    </w:p>
    <w:p>
      <w:r>
        <w:rPr>
          <w:sz w:val="22"/>
        </w:rPr>
        <w:t>- Measurable: Monitor delinquency reduction across the cohort; KPI = 10% improvement.</w:t>
      </w:r>
    </w:p>
    <w:p>
      <w:r>
        <w:rPr>
          <w:sz w:val="22"/>
        </w:rPr>
        <w:t>- Actionable: Deploy using existing SMS infrastructure integrated with customer relationship management (CRM) systems for real-time tracking.</w:t>
      </w:r>
    </w:p>
    <w:p>
      <w:r>
        <w:rPr>
          <w:sz w:val="22"/>
        </w:rPr>
        <w:t>- Relevant: Directly aligns with Geldium's strategic mandate to enhance portfolio quality and mitigate credit exposure.</w:t>
      </w:r>
    </w:p>
    <w:p>
      <w:r>
        <w:rPr>
          <w:sz w:val="22"/>
        </w:rPr>
        <w:t>- Time-bound: Execute over six weeks, with interim performance reviews every 14 days.</w:t>
      </w:r>
    </w:p>
    <w:p>
      <w:r>
        <w:rPr>
          <w:sz w:val="22"/>
        </w:rPr>
        <w:t>Justification and Business Rationale:</w:t>
      </w:r>
    </w:p>
    <w:p>
      <w:r>
        <w:rPr>
          <w:sz w:val="22"/>
        </w:rPr>
        <w:t>- Operational Efficiency: SMS-based engagement is cost-effective, scalable, and achieves rapid deployment without extensive technological overhead.</w:t>
      </w:r>
    </w:p>
    <w:p>
      <w:r>
        <w:rPr>
          <w:sz w:val="22"/>
        </w:rPr>
        <w:t>- Impact Potential: Concentrating on a high-risk demographic ensures optimal ROI with minimal resource allocation.</w:t>
      </w:r>
    </w:p>
    <w:p>
      <w:r>
        <w:rPr>
          <w:sz w:val="22"/>
        </w:rPr>
        <w:t>- Customer Experience: Messaging remains supportive and advisory, fostering trust while encouraging repayment compliance.</w:t>
      </w:r>
    </w:p>
    <w:p>
      <w:r>
        <w:rPr>
          <w:sz w:val="22"/>
        </w:rPr>
        <w:t>- Strategic Alignment: This initiative complements broader risk mitigation strategies and supports regulatory adherence by avoiding coercive practices.</w:t>
      </w:r>
    </w:p>
    <w:p>
      <w:r>
        <w:rPr>
          <w:sz w:val="22"/>
        </w:rPr>
        <w:t>3. Ethical and Responsible AI Considerations</w:t>
      </w:r>
    </w:p>
    <w:p>
      <w:r>
        <w:rPr>
          <w:sz w:val="22"/>
        </w:rPr>
        <w:t>- Bias Risk Management: Historical data may embed latent biases (e.g., location or income-driven skew). Regular fairness audits, disparate impact testing, and demographic parity analysis are essential.</w:t>
      </w:r>
    </w:p>
    <w:p>
      <w:r>
        <w:rPr>
          <w:sz w:val="22"/>
        </w:rPr>
        <w:t>- Explainability: Logistic Regression is leveraged for its transparency; coefficients are interpretable, ensuring clarity in model decision logic for auditors and business leaders.</w:t>
      </w:r>
    </w:p>
    <w:p>
      <w:r>
        <w:rPr>
          <w:sz w:val="22"/>
        </w:rPr>
        <w:t>- Human-in-the-Loop Oversight: All model-driven recommendations undergo analyst validation before customer outreach, reinforcing accountability.</w:t>
      </w:r>
    </w:p>
    <w:p>
      <w:r>
        <w:rPr>
          <w:sz w:val="22"/>
        </w:rPr>
        <w:t>- Data Privacy and Compliance: Customer information remains anonymized; processes comply with GDPR and local privacy mandates.</w:t>
      </w:r>
    </w:p>
    <w:p>
      <w:r>
        <w:rPr>
          <w:sz w:val="22"/>
        </w:rPr>
        <w:t>- Ethical Design Principles: Engagement strategies prioritize support rather than punitive measures. Messaging language is empathetic, ensuring positive brand perception while addressing delinquency risks.</w:t>
      </w:r>
    </w:p>
    <w:p>
      <w:r>
        <w:rPr>
          <w:sz w:val="22"/>
        </w:rPr>
        <w:t>- Ongoing Governance: Continuous monitoring for data drift, algorithmic fairness, and customer impact safeguards long-term integrity and trustworthiness.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