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44"/>
          <w:szCs w:val="44"/>
        </w:rPr>
        <w:t xml:space="preserve">DURGAN FIELD GUIDE</w:t>
      </w:r>
    </w:p>
    <w:p>
      <w:pPr>
        <w:spacing w:after="100"/>
        <w:jc w:val="center"/>
      </w:pPr>
      <w:r>
        <w:rPr>
          <w:rFonts w:ascii="Arial" w:cs="Arial" w:eastAsia="Arial" w:hAnsi="Arial"/>
          <w:sz w:val="28"/>
          <w:szCs w:val="28"/>
        </w:rPr>
        <w:t xml:space="preserve">State of the Project</w:t>
      </w:r>
    </w:p>
    <w:p>
      <w:pPr>
        <w:spacing w:after="400"/>
        <w:jc w:val="center"/>
      </w:pPr>
      <w:r>
        <w:rPr>
          <w:rFonts w:ascii="Arial" w:cs="Arial" w:eastAsia="Arial" w:hAnsi="Arial"/>
          <w:color w:val="666666"/>
          <w:sz w:val="22"/>
          <w:szCs w:val="22"/>
        </w:rPr>
        <w:t xml:space="preserve">Board Review — January 2026</w:t>
      </w:r>
    </w:p>
    <w:p>
      <w:pPr>
        <w:pStyle w:val="Heading1"/>
        <w:spacing w:before="300" w:after="150"/>
      </w:pPr>
      <w:r>
        <w:rPr>
          <w:rFonts w:ascii="Arial" w:cs="Arial" w:eastAsia="Arial" w:hAnsi="Arial"/>
          <w:b/>
          <w:bCs/>
          <w:sz w:val="32"/>
          <w:szCs w:val="32"/>
        </w:rPr>
        <w:t xml:space="preserve">Executive Summary</w:t>
      </w:r>
    </w:p>
    <w:p>
      <w:pPr>
        <w:spacing w:after="200"/>
      </w:pPr>
      <w:r>
        <w:rPr>
          <w:rFonts w:ascii="Arial" w:cs="Arial" w:eastAsia="Arial" w:hAnsi="Arial"/>
          <w:sz w:val="22"/>
          <w:szCs w:val="22"/>
        </w:rPr>
        <w:t xml:space="preserve">Durgan Field Guide (DFG) is an operator tool that identifies undervalued physical assets at auction, analyzes them conservatively, and produces actionable guidance for profitable flips. The platform is designed to serve two purposes: as our own operational tool for generating flip profits, and as a subscription SaaS for external operators.</w:t>
      </w:r>
    </w:p>
    <w:p>
      <w:pPr>
        <w:spacing w:after="200"/>
      </w:pPr>
      <w:r>
        <w:rPr>
          <w:rFonts w:ascii="Arial" w:cs="Arial" w:eastAsia="Arial" w:hAnsi="Arial"/>
          <w:sz w:val="22"/>
          <w:szCs w:val="22"/>
        </w:rPr>
        <w:t xml:space="preserve">The business model is self-funding by design. We use DFG to find and flip equipment. Those profits fund continued development. Subscription revenue from external users validates market demand and adds a second revenue stream, but we are not dependent on it to sustain development.</w:t>
      </w:r>
    </w:p>
    <w:p>
      <w:pPr>
        <w:spacing w:after="200"/>
      </w:pPr>
      <w:r>
        <w:rPr>
          <w:rFonts w:ascii="Arial" w:cs="Arial" w:eastAsia="Arial" w:hAnsi="Arial"/>
          <w:sz w:val="22"/>
          <w:szCs w:val="22"/>
        </w:rPr>
        <w:t xml:space="preserve">As of January 2026, the core platform is operational. We are now making infrastructure investments to improve our own operational efficiency before adding external subscribers.</w:t>
      </w:r>
    </w:p>
    <w:p>
      <w:pPr>
        <w:pStyle w:val="Heading1"/>
        <w:spacing w:before="300" w:after="150"/>
      </w:pPr>
      <w:r>
        <w:rPr>
          <w:rFonts w:ascii="Arial" w:cs="Arial" w:eastAsia="Arial" w:hAnsi="Arial"/>
          <w:b/>
          <w:bCs/>
          <w:sz w:val="32"/>
          <w:szCs w:val="32"/>
        </w:rPr>
        <w:t xml:space="preserve">Business Model</w:t>
      </w:r>
    </w:p>
    <w:p>
      <w:pPr>
        <w:pStyle w:val="Heading2"/>
        <w:spacing w:before="300" w:after="150"/>
      </w:pPr>
      <w:r>
        <w:rPr>
          <w:rFonts w:ascii="Arial" w:cs="Arial" w:eastAsia="Arial" w:hAnsi="Arial"/>
          <w:b/>
          <w:bCs/>
          <w:sz w:val="26"/>
          <w:szCs w:val="26"/>
        </w:rPr>
        <w:t xml:space="preserve">Dual Revenue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2D3748" w:val="clear"/>
            <w:tcMar>
              <w:top w:type="dxa" w:w="100"/>
              <w:left w:type="dxa" w:w="120"/>
              <w:bottom w:type="dxa" w:w="100"/>
              <w:right w:type="dxa" w:w="120"/>
            </w:tcMar>
          </w:tcPr>
          <w:p>
            <w:r>
              <w:rPr>
                <w:rFonts w:ascii="Arial" w:cs="Arial" w:eastAsia="Arial" w:hAnsi="Arial"/>
                <w:b/>
                <w:bCs/>
                <w:color w:val="FFFFFF"/>
                <w:sz w:val="22"/>
                <w:szCs w:val="22"/>
              </w:rPr>
              <w:t xml:space="preserve">Revenue Stream</w:t>
            </w:r>
          </w:p>
        </w:tc>
        <w:tc>
          <w:tcPr>
            <w:tcBorders>
              <w:top w:val="single" w:color="CCCCCC" w:sz="1"/>
              <w:left w:val="single" w:color="CCCCCC" w:sz="1"/>
              <w:bottom w:val="single" w:color="CCCCCC" w:sz="1"/>
              <w:right w:val="single" w:color="CCCCCC" w:sz="1"/>
            </w:tcBorders>
            <w:shd w:fill="2D3748"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2"/>
                <w:szCs w:val="22"/>
              </w:rPr>
              <w:t xml:space="preserve">Flipping Operations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We use DFG ourselves to identify undervalued equipment, purchase it, and resell for profit. This is the primary near-term revenue source.</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2"/>
                <w:szCs w:val="22"/>
              </w:rPr>
              <w:t xml:space="preserve">Subscriptions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External operators pay $149/month for platform access. Target: 25-30 paying users by June 2026 (~$3,200 MRR). Validates external demand.</w:t>
            </w:r>
          </w:p>
        </w:tc>
      </w:tr>
    </w:tbl>
    <w:p>
      <w:pPr>
        <w:spacing w:after="200"/>
      </w:pPr>
      <w:r>
        <w:rPr>
          <w:rFonts w:ascii="Arial" w:cs="Arial" w:eastAsia="Arial" w:hAnsi="Arial"/>
          <w:sz w:val="22"/>
          <w:szCs w:val="22"/>
        </w:rPr>
        <w:t xml:space="preserve"/>
      </w:r>
    </w:p>
    <w:p>
      <w:pPr>
        <w:pStyle w:val="Heading2"/>
        <w:spacing w:before="300" w:after="150"/>
      </w:pPr>
      <w:r>
        <w:rPr>
          <w:rFonts w:ascii="Arial" w:cs="Arial" w:eastAsia="Arial" w:hAnsi="Arial"/>
          <w:b/>
          <w:bCs/>
          <w:sz w:val="26"/>
          <w:szCs w:val="26"/>
        </w:rPr>
        <w:t xml:space="preserve">Why This Model</w:t>
      </w:r>
    </w:p>
    <w:p>
      <w:pPr>
        <w:pStyle w:val="ListParagraph"/>
        <w:numPr>
          <w:ilvl w:val="0"/>
          <w:numId w:val="2"/>
        </w:numPr>
        <w:spacing w:after="100"/>
      </w:pPr>
      <w:r>
        <w:rPr>
          <w:rFonts w:ascii="Arial" w:cs="Arial" w:eastAsia="Arial" w:hAnsi="Arial"/>
          <w:sz w:val="22"/>
          <w:szCs w:val="22"/>
        </w:rPr>
        <w:t xml:space="preserve">Self-sustaining: Flip profits fund development without external capital dependency</w:t>
      </w:r>
    </w:p>
    <w:p>
      <w:pPr>
        <w:pStyle w:val="ListParagraph"/>
        <w:numPr>
          <w:ilvl w:val="0"/>
          <w:numId w:val="2"/>
        </w:numPr>
        <w:spacing w:after="100"/>
      </w:pPr>
      <w:r>
        <w:rPr>
          <w:rFonts w:ascii="Arial" w:cs="Arial" w:eastAsia="Arial" w:hAnsi="Arial"/>
          <w:sz w:val="22"/>
          <w:szCs w:val="22"/>
        </w:rPr>
        <w:t xml:space="preserve">Aligned incentives: We only ship features that make our own operations better</w:t>
      </w:r>
    </w:p>
    <w:p>
      <w:pPr>
        <w:pStyle w:val="ListParagraph"/>
        <w:numPr>
          <w:ilvl w:val="0"/>
          <w:numId w:val="2"/>
        </w:numPr>
        <w:spacing w:after="100"/>
      </w:pPr>
      <w:r>
        <w:rPr>
          <w:rFonts w:ascii="Arial" w:cs="Arial" w:eastAsia="Arial" w:hAnsi="Arial"/>
          <w:sz w:val="22"/>
          <w:szCs w:val="22"/>
        </w:rPr>
        <w:t xml:space="preserve">Natural validation: If we can't make money with the tool, neither can subscribers</w:t>
      </w:r>
    </w:p>
    <w:p>
      <w:pPr>
        <w:pStyle w:val="ListParagraph"/>
        <w:numPr>
          <w:ilvl w:val="0"/>
          <w:numId w:val="2"/>
        </w:numPr>
        <w:spacing w:after="100"/>
      </w:pPr>
      <w:r>
        <w:rPr>
          <w:rFonts w:ascii="Arial" w:cs="Arial" w:eastAsia="Arial" w:hAnsi="Arial"/>
          <w:sz w:val="22"/>
          <w:szCs w:val="22"/>
        </w:rPr>
        <w:t xml:space="preserve">Optionality: If subscription demand is weak, we still have a profitable operation</w:t>
      </w:r>
    </w:p>
    <w:p>
      <w:r>
        <w:br w:type="page"/>
      </w:r>
    </w:p>
    <w:p>
      <w:pPr>
        <w:pStyle w:val="Heading1"/>
        <w:spacing w:before="300" w:after="150"/>
      </w:pPr>
      <w:r>
        <w:rPr>
          <w:rFonts w:ascii="Arial" w:cs="Arial" w:eastAsia="Arial" w:hAnsi="Arial"/>
          <w:b/>
          <w:bCs/>
          <w:sz w:val="32"/>
          <w:szCs w:val="32"/>
        </w:rPr>
        <w:t xml:space="preserve">Current State: What's Built</w:t>
      </w:r>
    </w:p>
    <w:p>
      <w:pPr>
        <w:spacing w:after="200"/>
      </w:pPr>
      <w:r>
        <w:rPr>
          <w:rFonts w:ascii="Arial" w:cs="Arial" w:eastAsia="Arial" w:hAnsi="Arial"/>
          <w:sz w:val="22"/>
          <w:szCs w:val="22"/>
        </w:rPr>
        <w:t xml:space="preserve">The core platform is operational end-to-end, from auction capture to analysis to operator decision-making.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Borders>
              <w:top w:val="single" w:color="CCCCCC" w:sz="1"/>
              <w:left w:val="single" w:color="CCCCCC" w:sz="1"/>
              <w:bottom w:val="single" w:color="CCCCCC" w:sz="1"/>
              <w:right w:val="single" w:color="CCCCCC" w:sz="1"/>
            </w:tcBorders>
            <w:shd w:fill="2D3748" w:val="clear"/>
            <w:tcMar>
              <w:top w:type="dxa" w:w="100"/>
              <w:left w:type="dxa" w:w="120"/>
              <w:bottom w:type="dxa" w:w="100"/>
              <w:right w:type="dxa" w:w="120"/>
            </w:tcMar>
          </w:tcPr>
          <w:p>
            <w:r>
              <w:rPr>
                <w:rFonts w:ascii="Arial" w:cs="Arial" w:eastAsia="Arial" w:hAnsi="Arial"/>
                <w:b/>
                <w:bCs/>
                <w:color w:val="FFFFFF"/>
                <w:sz w:val="22"/>
                <w:szCs w:val="22"/>
              </w:rPr>
              <w:t xml:space="preserve">Component</w:t>
            </w:r>
          </w:p>
        </w:tc>
        <w:tc>
          <w:tcPr>
            <w:tcBorders>
              <w:top w:val="single" w:color="CCCCCC" w:sz="1"/>
              <w:left w:val="single" w:color="CCCCCC" w:sz="1"/>
              <w:bottom w:val="single" w:color="CCCCCC" w:sz="1"/>
              <w:right w:val="single" w:color="CCCCCC" w:sz="1"/>
            </w:tcBorders>
            <w:shd w:fill="2D3748" w:val="clear"/>
            <w:tcMar>
              <w:top w:type="dxa" w:w="100"/>
              <w:left w:type="dxa" w:w="120"/>
              <w:bottom w:type="dxa" w:w="100"/>
              <w:right w:type="dxa" w:w="120"/>
            </w:tcMar>
          </w:tcPr>
          <w:p>
            <w:r>
              <w:rPr>
                <w:rFonts w:ascii="Arial" w:cs="Arial" w:eastAsia="Arial" w:hAnsi="Arial"/>
                <w:b/>
                <w:bCs/>
                <w:color w:val="FFFFFF"/>
                <w:sz w:val="22"/>
                <w:szCs w:val="22"/>
              </w:rPr>
              <w:t xml:space="preserve">Status</w:t>
            </w:r>
          </w:p>
        </w:tc>
        <w:tc>
          <w:tcPr>
            <w:tcBorders>
              <w:top w:val="single" w:color="CCCCCC" w:sz="1"/>
              <w:left w:val="single" w:color="CCCCCC" w:sz="1"/>
              <w:bottom w:val="single" w:color="CCCCCC" w:sz="1"/>
              <w:right w:val="single" w:color="CCCCCC" w:sz="1"/>
            </w:tcBorders>
            <w:shd w:fill="2D3748"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DFG Scout</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16A34A"/>
                <w:sz w:val="22"/>
                <w:szCs w:val="22"/>
              </w:rPr>
              <w:t xml:space="preserve">Operational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Scans Sierra Auctions and IronPlanet. Captures listings, photos, metadata. Classifies candidates against buy-box criteria.</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DFG Analyst</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16A34A"/>
                <w:sz w:val="22"/>
                <w:szCs w:val="22"/>
              </w:rPr>
              <w:t xml:space="preserve">Operational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Claude-powered deep analysis. Produces max bid, walk triggers, inspection priorities, pricing plan.</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DFG API</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16A34A"/>
                <w:sz w:val="22"/>
                <w:szCs w:val="22"/>
              </w:rPr>
              <w:t xml:space="preserve">Operational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REST endpoints for the operator console. Handles all data retrieval and mutations.</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DFG App</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16A34A"/>
                <w:sz w:val="22"/>
                <w:szCs w:val="22"/>
              </w:rPr>
              <w:t xml:space="preserve">Operational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Next.js operator console. Dashboard, opportunity detail, attention-required system, staleness tracking.</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Data Layer</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16A34A"/>
                <w:sz w:val="22"/>
                <w:szCs w:val="22"/>
              </w:rPr>
              <w:t xml:space="preserve">Operational</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D1 for indices/projections, R2 for immutable snapshots (HTML, photos, JSON), KV for cache.</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Auth/Billing</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D97706"/>
                <w:sz w:val="22"/>
                <w:szCs w:val="22"/>
              </w:rPr>
              <w:t xml:space="preserve">Prototype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Hardcoded credentials. Clerk + Stripe integration required before external users.</w:t>
            </w:r>
          </w:p>
        </w:tc>
      </w:tr>
    </w:tbl>
    <w:p>
      <w:pPr>
        <w:spacing w:after="200"/>
      </w:pPr>
      <w:r>
        <w:rPr>
          <w:rFonts w:ascii="Arial" w:cs="Arial" w:eastAsia="Arial" w:hAnsi="Arial"/>
          <w:sz w:val="22"/>
          <w:szCs w:val="22"/>
        </w:rPr>
        <w:t xml:space="preserve"/>
      </w:r>
    </w:p>
    <w:p>
      <w:pPr>
        <w:pStyle w:val="Heading2"/>
        <w:spacing w:before="300" w:after="150"/>
      </w:pPr>
      <w:r>
        <w:rPr>
          <w:rFonts w:ascii="Arial" w:cs="Arial" w:eastAsia="Arial" w:hAnsi="Arial"/>
          <w:b/>
          <w:bCs/>
          <w:sz w:val="26"/>
          <w:szCs w:val="26"/>
        </w:rPr>
        <w:t xml:space="preserve">Key Metrics</w:t>
      </w:r>
    </w:p>
    <w:p>
      <w:pPr>
        <w:pStyle w:val="ListParagraph"/>
        <w:numPr>
          <w:ilvl w:val="0"/>
          <w:numId w:val="2"/>
        </w:numPr>
        <w:spacing w:after="100"/>
      </w:pPr>
      <w:r>
        <w:rPr>
          <w:rFonts w:ascii="Arial" w:cs="Arial" w:eastAsia="Arial" w:hAnsi="Arial"/>
          <w:sz w:val="22"/>
          <w:szCs w:val="22"/>
        </w:rPr>
        <w:t xml:space="preserve">Processing ~19 candidates from ~327 listings per Scout run</w:t>
      </w:r>
    </w:p>
    <w:p>
      <w:pPr>
        <w:pStyle w:val="ListParagraph"/>
        <w:numPr>
          <w:ilvl w:val="0"/>
          <w:numId w:val="2"/>
        </w:numPr>
        <w:spacing w:after="100"/>
      </w:pPr>
      <w:r>
        <w:rPr>
          <w:rFonts w:ascii="Arial" w:cs="Arial" w:eastAsia="Arial" w:hAnsi="Arial"/>
          <w:sz w:val="22"/>
          <w:szCs w:val="22"/>
        </w:rPr>
        <w:t xml:space="preserve">100% photo coverage on captured listings</w:t>
      </w:r>
    </w:p>
    <w:p>
      <w:pPr>
        <w:pStyle w:val="ListParagraph"/>
        <w:numPr>
          <w:ilvl w:val="0"/>
          <w:numId w:val="2"/>
        </w:numPr>
        <w:spacing w:after="100"/>
      </w:pPr>
      <w:r>
        <w:rPr>
          <w:rFonts w:ascii="Arial" w:cs="Arial" w:eastAsia="Arial" w:hAnsi="Arial"/>
          <w:sz w:val="22"/>
          <w:szCs w:val="22"/>
        </w:rPr>
        <w:t xml:space="preserve">Analysis produces structured output: verdict, max bid, walk triggers, pricing plan</w:t>
      </w:r>
    </w:p>
    <w:p>
      <w:pPr>
        <w:pStyle w:val="Heading1"/>
        <w:spacing w:before="300" w:after="150"/>
      </w:pPr>
      <w:r>
        <w:rPr>
          <w:rFonts w:ascii="Arial" w:cs="Arial" w:eastAsia="Arial" w:hAnsi="Arial"/>
          <w:b/>
          <w:bCs/>
          <w:sz w:val="32"/>
          <w:szCs w:val="32"/>
        </w:rPr>
        <w:t xml:space="preserve">Near-Term Roadmap</w:t>
      </w:r>
    </w:p>
    <w:p>
      <w:pPr>
        <w:spacing w:after="200"/>
      </w:pPr>
      <w:r>
        <w:rPr>
          <w:rFonts w:ascii="Arial" w:cs="Arial" w:eastAsia="Arial" w:hAnsi="Arial"/>
          <w:sz w:val="22"/>
          <w:szCs w:val="22"/>
        </w:rPr>
        <w:t xml:space="preserve">The immediate focus is operational efficiency for our own use, followed by infrastructure for external subscribers.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2860"/>
      </w:tblGrid>
      <w:tr>
        <w:tc>
          <w:tcPr>
            <w:tcBorders>
              <w:top w:val="single" w:color="CCCCCC" w:sz="1"/>
              <w:left w:val="single" w:color="CCCCCC" w:sz="1"/>
              <w:bottom w:val="single" w:color="CCCCCC" w:sz="1"/>
              <w:right w:val="single" w:color="CCCCCC" w:sz="1"/>
            </w:tcBorders>
            <w:shd w:fill="2D3748" w:val="clear"/>
            <w:tcMar>
              <w:top w:type="dxa" w:w="100"/>
              <w:left w:type="dxa" w:w="120"/>
              <w:bottom w:type="dxa" w:w="100"/>
              <w:right w:type="dxa" w:w="120"/>
            </w:tcMar>
          </w:tcPr>
          <w:p>
            <w:r>
              <w:rPr>
                <w:rFonts w:ascii="Arial" w:cs="Arial" w:eastAsia="Arial" w:hAnsi="Arial"/>
                <w:b/>
                <w:bCs/>
                <w:color w:val="FFFFFF"/>
                <w:sz w:val="22"/>
                <w:szCs w:val="22"/>
              </w:rPr>
              <w:t xml:space="preserve">Priority</w:t>
            </w:r>
          </w:p>
        </w:tc>
        <w:tc>
          <w:tcPr>
            <w:tcBorders>
              <w:top w:val="single" w:color="CCCCCC" w:sz="1"/>
              <w:left w:val="single" w:color="CCCCCC" w:sz="1"/>
              <w:bottom w:val="single" w:color="CCCCCC" w:sz="1"/>
              <w:right w:val="single" w:color="CCCCCC" w:sz="1"/>
            </w:tcBorders>
            <w:shd w:fill="2D3748" w:val="clear"/>
            <w:tcMar>
              <w:top w:type="dxa" w:w="100"/>
              <w:left w:type="dxa" w:w="120"/>
              <w:bottom w:type="dxa" w:w="100"/>
              <w:right w:type="dxa" w:w="120"/>
            </w:tcMar>
          </w:tcPr>
          <w:p>
            <w:r>
              <w:rPr>
                <w:rFonts w:ascii="Arial" w:cs="Arial" w:eastAsia="Arial" w:hAnsi="Arial"/>
                <w:b/>
                <w:bCs/>
                <w:color w:val="FFFFFF"/>
                <w:sz w:val="22"/>
                <w:szCs w:val="22"/>
              </w:rPr>
              <w:t xml:space="preserve">Item</w:t>
            </w:r>
          </w:p>
        </w:tc>
        <w:tc>
          <w:tcPr>
            <w:tcBorders>
              <w:top w:val="single" w:color="CCCCCC" w:sz="1"/>
              <w:left w:val="single" w:color="CCCCCC" w:sz="1"/>
              <w:bottom w:val="single" w:color="CCCCCC" w:sz="1"/>
              <w:right w:val="single" w:color="CCCCCC" w:sz="1"/>
            </w:tcBorders>
            <w:shd w:fill="2D3748" w:val="clear"/>
            <w:tcMar>
              <w:top w:type="dxa" w:w="100"/>
              <w:left w:type="dxa" w:w="120"/>
              <w:bottom w:type="dxa" w:w="100"/>
              <w:right w:type="dxa" w:w="120"/>
            </w:tcMar>
          </w:tcPr>
          <w:p>
            <w:r>
              <w:rPr>
                <w:rFonts w:ascii="Arial" w:cs="Arial" w:eastAsia="Arial" w:hAnsi="Arial"/>
                <w:b/>
                <w:bCs/>
                <w:color w:val="FFFFFF"/>
                <w:sz w:val="22"/>
                <w:szCs w:val="22"/>
              </w:rPr>
              <w:t xml:space="preserve">Timeline</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P0</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V2-Lite Foundation: Internal tooling to reduce multi-agent coordination overhead. Event protocol, evidence storage, rolling status comments.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3-5 days</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P1</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Clerk Integration: Proper authentication for external users.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1-2 weeks</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P1</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Stripe Integration: Subscription billing at $149/month tier.</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1-2 weeks</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P2</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Private Beta: 3-5 external users for validation.</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February 2026</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P2</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Scale to 25-30 paying users.</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June 2026</w:t>
            </w:r>
          </w:p>
        </w:tc>
      </w:tr>
    </w:tbl>
    <w:p>
      <w:pPr>
        <w:spacing w:after="200"/>
      </w:pPr>
      <w:r>
        <w:rPr>
          <w:rFonts w:ascii="Arial" w:cs="Arial" w:eastAsia="Arial" w:hAnsi="Arial"/>
          <w:sz w:val="22"/>
          <w:szCs w:val="22"/>
        </w:rPr>
        <w:t xml:space="preserve"/>
      </w:r>
    </w:p>
    <w:p>
      <w:r>
        <w:br w:type="page"/>
      </w:r>
    </w:p>
    <w:p>
      <w:pPr>
        <w:pStyle w:val="Heading1"/>
        <w:spacing w:before="300" w:after="150"/>
      </w:pPr>
      <w:r>
        <w:rPr>
          <w:rFonts w:ascii="Arial" w:cs="Arial" w:eastAsia="Arial" w:hAnsi="Arial"/>
          <w:b/>
          <w:bCs/>
          <w:sz w:val="32"/>
          <w:szCs w:val="32"/>
        </w:rPr>
        <w:t xml:space="preserve">Investment Decision: V2-Lite Foundation</w:t>
      </w:r>
    </w:p>
    <w:p>
      <w:pPr>
        <w:spacing w:after="200"/>
      </w:pPr>
      <w:r>
        <w:rPr>
          <w:rFonts w:ascii="Arial" w:cs="Arial" w:eastAsia="Arial" w:hAnsi="Arial"/>
          <w:sz w:val="22"/>
          <w:szCs w:val="22"/>
        </w:rPr>
        <w:t xml:space="preserve">We are investing 3-5 days in internal tooling before proceeding to subscriber infrastructure. This requires explanation.</w:t>
      </w:r>
    </w:p>
    <w:p>
      <w:pPr>
        <w:pStyle w:val="Heading2"/>
        <w:spacing w:before="300" w:after="150"/>
      </w:pPr>
      <w:r>
        <w:rPr>
          <w:rFonts w:ascii="Arial" w:cs="Arial" w:eastAsia="Arial" w:hAnsi="Arial"/>
          <w:b/>
          <w:bCs/>
          <w:sz w:val="26"/>
          <w:szCs w:val="26"/>
        </w:rPr>
        <w:t xml:space="preserve">Context</w:t>
      </w:r>
    </w:p>
    <w:p>
      <w:pPr>
        <w:spacing w:after="200"/>
      </w:pPr>
      <w:r>
        <w:rPr>
          <w:rFonts w:ascii="Arial" w:cs="Arial" w:eastAsia="Arial" w:hAnsi="Arial"/>
          <w:sz w:val="22"/>
          <w:szCs w:val="22"/>
        </w:rPr>
        <w:t xml:space="preserve">We operate a multi-agent development team: PM, Dev, QA, and Mentor agents, each running in specialized environments, plus human oversight. Every handoff between agents requires manual context transfer, status updates, and evidence preservation. This works at low volume but creates compounding friction.</w:t>
      </w:r>
    </w:p>
    <w:p>
      <w:pPr>
        <w:pStyle w:val="Heading2"/>
        <w:spacing w:before="300" w:after="150"/>
      </w:pPr>
      <w:r>
        <w:rPr>
          <w:rFonts w:ascii="Arial" w:cs="Arial" w:eastAsia="Arial" w:hAnsi="Arial"/>
          <w:b/>
          <w:bCs/>
          <w:sz w:val="26"/>
          <w:szCs w:val="26"/>
        </w:rPr>
        <w:t xml:space="preserve">The Decision</w:t>
      </w:r>
    </w:p>
    <w:p>
      <w:pPr>
        <w:spacing w:after="200"/>
      </w:pPr>
      <w:r>
        <w:rPr>
          <w:rFonts w:ascii="Arial" w:cs="Arial" w:eastAsia="Arial" w:hAnsi="Arial"/>
          <w:sz w:val="22"/>
          <w:szCs w:val="22"/>
        </w:rPr>
        <w:t xml:space="preserve">We are building a lightweight orchestration layer (single Cloudflare Worker) that standardizes how agents report work, maintains durable evidence, and eliminates manual copy/paste between surfaces.</w:t>
      </w:r>
    </w:p>
    <w:p>
      <w:pPr>
        <w:pStyle w:val="Heading2"/>
        <w:spacing w:before="300" w:after="150"/>
      </w:pPr>
      <w:r>
        <w:rPr>
          <w:rFonts w:ascii="Arial" w:cs="Arial" w:eastAsia="Arial" w:hAnsi="Arial"/>
          <w:b/>
          <w:bCs/>
          <w:sz w:val="26"/>
          <w:szCs w:val="26"/>
        </w:rPr>
        <w:t xml:space="preserve">Why Now</w:t>
      </w:r>
    </w:p>
    <w:p>
      <w:pPr>
        <w:pStyle w:val="ListParagraph"/>
        <w:numPr>
          <w:ilvl w:val="0"/>
          <w:numId w:val="2"/>
        </w:numPr>
        <w:spacing w:after="100"/>
      </w:pPr>
      <w:r>
        <w:rPr>
          <w:rFonts w:ascii="Arial" w:cs="Arial" w:eastAsia="Arial" w:hAnsi="Arial"/>
          <w:sz w:val="22"/>
          <w:szCs w:val="22"/>
        </w:rPr>
        <w:t xml:space="preserve">We are the primary user: Every friction point in our workflow is a potential missed deal</w:t>
      </w:r>
    </w:p>
    <w:p>
      <w:pPr>
        <w:pStyle w:val="ListParagraph"/>
        <w:numPr>
          <w:ilvl w:val="0"/>
          <w:numId w:val="2"/>
        </w:numPr>
        <w:spacing w:after="100"/>
      </w:pPr>
      <w:r>
        <w:rPr>
          <w:rFonts w:ascii="Arial" w:cs="Arial" w:eastAsia="Arial" w:hAnsi="Arial"/>
          <w:sz w:val="22"/>
          <w:szCs w:val="22"/>
        </w:rPr>
        <w:t xml:space="preserve">Flip profits fund development: Protecting deal velocity protects our primary revenue source</w:t>
      </w:r>
    </w:p>
    <w:p>
      <w:pPr>
        <w:pStyle w:val="ListParagraph"/>
        <w:numPr>
          <w:ilvl w:val="0"/>
          <w:numId w:val="2"/>
        </w:numPr>
        <w:spacing w:after="100"/>
      </w:pPr>
      <w:r>
        <w:rPr>
          <w:rFonts w:ascii="Arial" w:cs="Arial" w:eastAsia="Arial" w:hAnsi="Arial"/>
          <w:sz w:val="22"/>
          <w:szCs w:val="22"/>
        </w:rPr>
        <w:t xml:space="preserve">Low cost: Code is written; this is integration, not invention</w:t>
      </w:r>
    </w:p>
    <w:p>
      <w:pPr>
        <w:pStyle w:val="ListParagraph"/>
        <w:numPr>
          <w:ilvl w:val="0"/>
          <w:numId w:val="2"/>
        </w:numPr>
        <w:spacing w:after="100"/>
      </w:pPr>
      <w:r>
        <w:rPr>
          <w:rFonts w:ascii="Arial" w:cs="Arial" w:eastAsia="Arial" w:hAnsi="Arial"/>
          <w:sz w:val="22"/>
          <w:szCs w:val="22"/>
        </w:rPr>
        <w:t xml:space="preserve">Pre-revenue window: Better to standardize before external users add pressure</w:t>
      </w:r>
    </w:p>
    <w:p>
      <w:pPr>
        <w:pStyle w:val="Heading2"/>
        <w:spacing w:before="300" w:after="150"/>
      </w:pPr>
      <w:r>
        <w:rPr>
          <w:rFonts w:ascii="Arial" w:cs="Arial" w:eastAsia="Arial" w:hAnsi="Arial"/>
          <w:b/>
          <w:bCs/>
          <w:sz w:val="26"/>
          <w:szCs w:val="26"/>
        </w:rPr>
        <w:t xml:space="preserve">Success Metrics</w:t>
      </w:r>
    </w:p>
    <w:p>
      <w:pPr>
        <w:pStyle w:val="ListParagraph"/>
        <w:numPr>
          <w:ilvl w:val="0"/>
          <w:numId w:val="2"/>
        </w:numPr>
        <w:spacing w:after="100"/>
      </w:pPr>
      <w:r>
        <w:rPr>
          <w:rFonts w:ascii="Arial" w:cs="Arial" w:eastAsia="Arial" w:hAnsi="Arial"/>
          <w:sz w:val="22"/>
          <w:szCs w:val="22"/>
        </w:rPr>
        <w:t xml:space="preserve">80% of QA outcomes submitted through structured events (not freeform comments)</w:t>
      </w:r>
    </w:p>
    <w:p>
      <w:pPr>
        <w:pStyle w:val="ListParagraph"/>
        <w:numPr>
          <w:ilvl w:val="0"/>
          <w:numId w:val="2"/>
        </w:numPr>
        <w:spacing w:after="100"/>
      </w:pPr>
      <w:r>
        <w:rPr>
          <w:rFonts w:ascii="Arial" w:cs="Arial" w:eastAsia="Arial" w:hAnsi="Arial"/>
          <w:sz w:val="22"/>
          <w:szCs w:val="22"/>
        </w:rPr>
        <w:t xml:space="preserve">Evidence links durable and accessible (R2-hosted, not chat ephemera)</w:t>
      </w:r>
    </w:p>
    <w:p>
      <w:pPr>
        <w:pStyle w:val="ListParagraph"/>
        <w:numPr>
          <w:ilvl w:val="0"/>
          <w:numId w:val="2"/>
        </w:numPr>
        <w:spacing w:after="100"/>
      </w:pPr>
      <w:r>
        <w:rPr>
          <w:rFonts w:ascii="Arial" w:cs="Arial" w:eastAsia="Arial" w:hAnsi="Arial"/>
          <w:sz w:val="22"/>
          <w:szCs w:val="22"/>
        </w:rPr>
        <w:t xml:space="preserve">Median handoff time reduced by 50%</w:t>
      </w:r>
    </w:p>
    <w:p>
      <w:pPr>
        <w:pStyle w:val="ListParagraph"/>
        <w:numPr>
          <w:ilvl w:val="0"/>
          <w:numId w:val="2"/>
        </w:numPr>
        <w:spacing w:after="100"/>
      </w:pPr>
      <w:r>
        <w:rPr>
          <w:rFonts w:ascii="Arial" w:cs="Arial" w:eastAsia="Arial" w:hAnsi="Arial"/>
          <w:sz w:val="22"/>
          <w:szCs w:val="22"/>
        </w:rPr>
        <w:t xml:space="preserve">Zero 'ghost PASS' incidents (false QA approvals on mismatched builds)</w:t>
      </w:r>
    </w:p>
    <w:p>
      <w:pPr>
        <w:pStyle w:val="Heading1"/>
        <w:spacing w:before="300" w:after="150"/>
      </w:pPr>
      <w:r>
        <w:rPr>
          <w:rFonts w:ascii="Arial" w:cs="Arial" w:eastAsia="Arial" w:hAnsi="Arial"/>
          <w:b/>
          <w:bCs/>
          <w:sz w:val="32"/>
          <w:szCs w:val="32"/>
        </w:rPr>
        <w:t xml:space="preserve">Key Risks and Mitigations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CCCCCC" w:sz="1"/>
              <w:left w:val="single" w:color="CCCCCC" w:sz="1"/>
              <w:bottom w:val="single" w:color="CCCCCC" w:sz="1"/>
              <w:right w:val="single" w:color="CCCCCC" w:sz="1"/>
            </w:tcBorders>
            <w:shd w:fill="2D3748" w:val="clear"/>
            <w:tcMar>
              <w:top w:type="dxa" w:w="100"/>
              <w:left w:type="dxa" w:w="120"/>
              <w:bottom w:type="dxa" w:w="100"/>
              <w:right w:type="dxa" w:w="120"/>
            </w:tcMar>
          </w:tcPr>
          <w:p>
            <w:r>
              <w:rPr>
                <w:rFonts w:ascii="Arial" w:cs="Arial" w:eastAsia="Arial" w:hAnsi="Arial"/>
                <w:b/>
                <w:bCs/>
                <w:color w:val="FFFFFF"/>
                <w:sz w:val="22"/>
                <w:szCs w:val="22"/>
              </w:rPr>
              <w:t xml:space="preserve">Risk</w:t>
            </w:r>
          </w:p>
        </w:tc>
        <w:tc>
          <w:tcPr>
            <w:tcBorders>
              <w:top w:val="single" w:color="CCCCCC" w:sz="1"/>
              <w:left w:val="single" w:color="CCCCCC" w:sz="1"/>
              <w:bottom w:val="single" w:color="CCCCCC" w:sz="1"/>
              <w:right w:val="single" w:color="CCCCCC" w:sz="1"/>
            </w:tcBorders>
            <w:shd w:fill="2D3748" w:val="clear"/>
            <w:tcMar>
              <w:top w:type="dxa" w:w="100"/>
              <w:left w:type="dxa" w:w="120"/>
              <w:bottom w:type="dxa" w:w="100"/>
              <w:right w:type="dxa" w:w="120"/>
            </w:tcMar>
          </w:tcPr>
          <w:p>
            <w:r>
              <w:rPr>
                <w:rFonts w:ascii="Arial" w:cs="Arial" w:eastAsia="Arial" w:hAnsi="Arial"/>
                <w:b/>
                <w:bCs/>
                <w:color w:val="FFFFFF"/>
                <w:sz w:val="22"/>
                <w:szCs w:val="22"/>
              </w:rPr>
              <w:t xml:space="preserve">Mitigation</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Source fragility</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Auction sites may change structure or block access. Adapter architecture isolates each source; one breaking doesn't destabilize the system.</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Claude API reliability</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Analysis depends on external API. Retry with exponential backoff (1s, 2s, 4s). Graceful degradation: surface candidates without analysis if API fails.</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Category confidence</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Misclassification wastes analysis resources. Low-confidence items route to 'Needs Classification' queue instead of auto-analyzing.</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Subscription demand</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External users may not materialize. Flipping operation is self-sustaining; subscriptions are validation, not survival.</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Scope creep (internal tooling)</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Hard cap at Phase 0-2 only. No queue UI, no automation runner, no enterprise workflow. If it works, we stop.</w:t>
            </w:r>
          </w:p>
        </w:tc>
      </w:tr>
    </w:tbl>
    <w:p>
      <w:pPr>
        <w:spacing w:after="200"/>
      </w:pPr>
      <w:r>
        <w:rPr>
          <w:rFonts w:ascii="Arial" w:cs="Arial" w:eastAsia="Arial" w:hAnsi="Arial"/>
          <w:sz w:val="22"/>
          <w:szCs w:val="22"/>
        </w:rPr>
        <w:t xml:space="preserve"/>
      </w:r>
    </w:p>
    <w:p>
      <w:pPr>
        <w:pStyle w:val="Heading1"/>
        <w:spacing w:before="300" w:after="150"/>
      </w:pPr>
      <w:r>
        <w:rPr>
          <w:rFonts w:ascii="Arial" w:cs="Arial" w:eastAsia="Arial" w:hAnsi="Arial"/>
          <w:b/>
          <w:bCs/>
          <w:sz w:val="32"/>
          <w:szCs w:val="32"/>
        </w:rPr>
        <w:t xml:space="preserve">Financial Model</w:t>
      </w:r>
    </w:p>
    <w:p>
      <w:pPr>
        <w:pStyle w:val="Heading2"/>
        <w:spacing w:before="300" w:after="150"/>
      </w:pPr>
      <w:r>
        <w:rPr>
          <w:rFonts w:ascii="Arial" w:cs="Arial" w:eastAsia="Arial" w:hAnsi="Arial"/>
          <w:b/>
          <w:bCs/>
          <w:sz w:val="26"/>
          <w:szCs w:val="26"/>
        </w:rPr>
        <w:t xml:space="preserve">Revenue Projections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Borders>
              <w:top w:val="single" w:color="CCCCCC" w:sz="1"/>
              <w:left w:val="single" w:color="CCCCCC" w:sz="1"/>
              <w:bottom w:val="single" w:color="CCCCCC" w:sz="1"/>
              <w:right w:val="single" w:color="CCCCCC" w:sz="1"/>
            </w:tcBorders>
            <w:shd w:fill="2D3748" w:val="clear"/>
            <w:tcMar>
              <w:top w:type="dxa" w:w="100"/>
              <w:left w:type="dxa" w:w="120"/>
              <w:bottom w:type="dxa" w:w="100"/>
              <w:right w:type="dxa" w:w="120"/>
            </w:tcMar>
          </w:tcPr>
          <w:p>
            <w:r>
              <w:rPr>
                <w:rFonts w:ascii="Arial" w:cs="Arial" w:eastAsia="Arial" w:hAnsi="Arial"/>
                <w:b/>
                <w:bCs/>
                <w:color w:val="FFFFFF"/>
                <w:sz w:val="22"/>
                <w:szCs w:val="22"/>
              </w:rPr>
              <w:t xml:space="preserve">Milestone</w:t>
            </w:r>
          </w:p>
        </w:tc>
        <w:tc>
          <w:tcPr>
            <w:tcBorders>
              <w:top w:val="single" w:color="CCCCCC" w:sz="1"/>
              <w:left w:val="single" w:color="CCCCCC" w:sz="1"/>
              <w:bottom w:val="single" w:color="CCCCCC" w:sz="1"/>
              <w:right w:val="single" w:color="CCCCCC" w:sz="1"/>
            </w:tcBorders>
            <w:shd w:fill="2D3748" w:val="clear"/>
            <w:tcMar>
              <w:top w:type="dxa" w:w="100"/>
              <w:left w:type="dxa" w:w="120"/>
              <w:bottom w:type="dxa" w:w="100"/>
              <w:right w:type="dxa" w:w="120"/>
            </w:tcMar>
          </w:tcPr>
          <w:p>
            <w:r>
              <w:rPr>
                <w:rFonts w:ascii="Arial" w:cs="Arial" w:eastAsia="Arial" w:hAnsi="Arial"/>
                <w:b/>
                <w:bCs/>
                <w:color w:val="FFFFFF"/>
                <w:sz w:val="22"/>
                <w:szCs w:val="22"/>
              </w:rPr>
              <w:t xml:space="preserve">Subscribers</w:t>
            </w:r>
          </w:p>
        </w:tc>
        <w:tc>
          <w:tcPr>
            <w:tcBorders>
              <w:top w:val="single" w:color="CCCCCC" w:sz="1"/>
              <w:left w:val="single" w:color="CCCCCC" w:sz="1"/>
              <w:bottom w:val="single" w:color="CCCCCC" w:sz="1"/>
              <w:right w:val="single" w:color="CCCCCC" w:sz="1"/>
            </w:tcBorders>
            <w:shd w:fill="2D3748" w:val="clear"/>
            <w:tcMar>
              <w:top w:type="dxa" w:w="100"/>
              <w:left w:type="dxa" w:w="120"/>
              <w:bottom w:type="dxa" w:w="100"/>
              <w:right w:type="dxa" w:w="120"/>
            </w:tcMar>
          </w:tcPr>
          <w:p>
            <w:r>
              <w:rPr>
                <w:rFonts w:ascii="Arial" w:cs="Arial" w:eastAsia="Arial" w:hAnsi="Arial"/>
                <w:b/>
                <w:bCs/>
                <w:color w:val="FFFFFF"/>
                <w:sz w:val="22"/>
                <w:szCs w:val="22"/>
              </w:rPr>
              <w:t xml:space="preserve">MRR</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Private Beta (Feb 2026)</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3-5</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$450-$750</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Growth Phase (June 2026)</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25-30</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~$3,200</w:t>
            </w:r>
          </w:p>
        </w:tc>
      </w:tr>
    </w:tbl>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Flip profits are variable and depend on deal flow. Conservative estimate: 2-4 flips per month at $500-$2,000 margin per flip = $1,000-$8,000/month additional revenue.</w:t>
      </w:r>
    </w:p>
    <w:p>
      <w:pPr>
        <w:pStyle w:val="Heading2"/>
        <w:spacing w:before="300" w:after="150"/>
      </w:pPr>
      <w:r>
        <w:rPr>
          <w:rFonts w:ascii="Arial" w:cs="Arial" w:eastAsia="Arial" w:hAnsi="Arial"/>
          <w:b/>
          <w:bCs/>
          <w:sz w:val="26"/>
          <w:szCs w:val="26"/>
        </w:rPr>
        <w:t xml:space="preserve">Cost Structure</w:t>
      </w:r>
    </w:p>
    <w:p>
      <w:pPr>
        <w:pStyle w:val="ListParagraph"/>
        <w:numPr>
          <w:ilvl w:val="0"/>
          <w:numId w:val="2"/>
        </w:numPr>
        <w:spacing w:after="100"/>
      </w:pPr>
      <w:r>
        <w:rPr>
          <w:rFonts w:ascii="Arial" w:cs="Arial" w:eastAsia="Arial" w:hAnsi="Arial"/>
          <w:sz w:val="22"/>
          <w:szCs w:val="22"/>
        </w:rPr>
        <w:t xml:space="preserve">Cloudflare (Workers, D1, R2, KV): ~$50-100/month at current scale</w:t>
      </w:r>
    </w:p>
    <w:p>
      <w:pPr>
        <w:pStyle w:val="ListParagraph"/>
        <w:numPr>
          <w:ilvl w:val="0"/>
          <w:numId w:val="2"/>
        </w:numPr>
        <w:spacing w:after="100"/>
      </w:pPr>
      <w:r>
        <w:rPr>
          <w:rFonts w:ascii="Arial" w:cs="Arial" w:eastAsia="Arial" w:hAnsi="Arial"/>
          <w:sz w:val="22"/>
          <w:szCs w:val="22"/>
        </w:rPr>
        <w:t xml:space="preserve">Vercel (frontend hosting): Free tier sufficient for now</w:t>
      </w:r>
    </w:p>
    <w:p>
      <w:pPr>
        <w:pStyle w:val="ListParagraph"/>
        <w:numPr>
          <w:ilvl w:val="0"/>
          <w:numId w:val="2"/>
        </w:numPr>
        <w:spacing w:after="100"/>
      </w:pPr>
      <w:r>
        <w:rPr>
          <w:rFonts w:ascii="Arial" w:cs="Arial" w:eastAsia="Arial" w:hAnsi="Arial"/>
          <w:sz w:val="22"/>
          <w:szCs w:val="22"/>
        </w:rPr>
        <w:t xml:space="preserve">Claude API: Variable, ~$50-200/month depending on analysis volume</w:t>
      </w:r>
    </w:p>
    <w:p>
      <w:pPr>
        <w:pStyle w:val="ListParagraph"/>
        <w:numPr>
          <w:ilvl w:val="0"/>
          <w:numId w:val="2"/>
        </w:numPr>
        <w:spacing w:after="100"/>
      </w:pPr>
      <w:r>
        <w:rPr>
          <w:rFonts w:ascii="Arial" w:cs="Arial" w:eastAsia="Arial" w:hAnsi="Arial"/>
          <w:sz w:val="22"/>
          <w:szCs w:val="22"/>
        </w:rPr>
        <w:t xml:space="preserve">Total infrastructure: &lt;$400/month</w:t>
      </w:r>
    </w:p>
    <w:p>
      <w:pPr>
        <w:spacing w:after="200"/>
      </w:pPr>
      <w:r>
        <w:rPr>
          <w:rFonts w:ascii="Arial" w:cs="Arial" w:eastAsia="Arial" w:hAnsi="Arial"/>
          <w:sz w:val="22"/>
          <w:szCs w:val="22"/>
        </w:rPr>
        <w:t xml:space="preserve">Willing to spend hundreds/month if it buys meaningful ROI. Current posture is frugal but not penny-pinching.</w:t>
      </w:r>
    </w:p>
    <w:p>
      <w:r>
        <w:br w:type="page"/>
      </w:r>
    </w:p>
    <w:p>
      <w:pPr>
        <w:pStyle w:val="Heading1"/>
        <w:spacing w:before="300" w:after="150"/>
      </w:pPr>
      <w:r>
        <w:rPr>
          <w:rFonts w:ascii="Arial" w:cs="Arial" w:eastAsia="Arial" w:hAnsi="Arial"/>
          <w:b/>
          <w:bCs/>
          <w:sz w:val="32"/>
          <w:szCs w:val="32"/>
        </w:rPr>
        <w:t xml:space="preserve">Development Governance</w:t>
      </w:r>
    </w:p>
    <w:p>
      <w:pPr>
        <w:spacing w:after="200"/>
      </w:pPr>
      <w:r>
        <w:rPr>
          <w:rFonts w:ascii="Arial" w:cs="Arial" w:eastAsia="Arial" w:hAnsi="Arial"/>
          <w:sz w:val="22"/>
          <w:szCs w:val="22"/>
        </w:rPr>
        <w:t xml:space="preserve">We operate a structured multi-agent development model with clear ownership and accountability.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Borders>
              <w:top w:val="single" w:color="CCCCCC" w:sz="1"/>
              <w:left w:val="single" w:color="CCCCCC" w:sz="1"/>
              <w:bottom w:val="single" w:color="CCCCCC" w:sz="1"/>
              <w:right w:val="single" w:color="CCCCCC" w:sz="1"/>
            </w:tcBorders>
            <w:shd w:fill="2D3748" w:val="clear"/>
            <w:tcMar>
              <w:top w:type="dxa" w:w="100"/>
              <w:left w:type="dxa" w:w="120"/>
              <w:bottom w:type="dxa" w:w="100"/>
              <w:right w:type="dxa" w:w="120"/>
            </w:tcMar>
          </w:tcPr>
          <w:p>
            <w:r>
              <w:rPr>
                <w:rFonts w:ascii="Arial" w:cs="Arial" w:eastAsia="Arial" w:hAnsi="Arial"/>
                <w:b/>
                <w:bCs/>
                <w:color w:val="FFFFFF"/>
                <w:sz w:val="22"/>
                <w:szCs w:val="22"/>
              </w:rPr>
              <w:t xml:space="preserve">Team</w:t>
            </w:r>
          </w:p>
        </w:tc>
        <w:tc>
          <w:tcPr>
            <w:tcBorders>
              <w:top w:val="single" w:color="CCCCCC" w:sz="1"/>
              <w:left w:val="single" w:color="CCCCCC" w:sz="1"/>
              <w:bottom w:val="single" w:color="CCCCCC" w:sz="1"/>
              <w:right w:val="single" w:color="CCCCCC" w:sz="1"/>
            </w:tcBorders>
            <w:shd w:fill="2D3748" w:val="clear"/>
            <w:tcMar>
              <w:top w:type="dxa" w:w="100"/>
              <w:left w:type="dxa" w:w="120"/>
              <w:bottom w:type="dxa" w:w="100"/>
              <w:right w:type="dxa" w:w="120"/>
            </w:tcMar>
          </w:tcPr>
          <w:p>
            <w:r>
              <w:rPr>
                <w:rFonts w:ascii="Arial" w:cs="Arial" w:eastAsia="Arial" w:hAnsi="Arial"/>
                <w:b/>
                <w:bCs/>
                <w:color w:val="FFFFFF"/>
                <w:sz w:val="22"/>
                <w:szCs w:val="22"/>
              </w:rPr>
              <w:t xml:space="preserve">Tool</w:t>
            </w:r>
          </w:p>
        </w:tc>
        <w:tc>
          <w:tcPr>
            <w:tcBorders>
              <w:top w:val="single" w:color="CCCCCC" w:sz="1"/>
              <w:left w:val="single" w:color="CCCCCC" w:sz="1"/>
              <w:bottom w:val="single" w:color="CCCCCC" w:sz="1"/>
              <w:right w:val="single" w:color="CCCCCC" w:sz="1"/>
            </w:tcBorders>
            <w:shd w:fill="2D3748" w:val="clear"/>
            <w:tcMar>
              <w:top w:type="dxa" w:w="100"/>
              <w:left w:type="dxa" w:w="120"/>
              <w:bottom w:type="dxa" w:w="100"/>
              <w:right w:type="dxa" w:w="120"/>
            </w:tcMar>
          </w:tcPr>
          <w:p>
            <w:r>
              <w:rPr>
                <w:rFonts w:ascii="Arial" w:cs="Arial" w:eastAsia="Arial" w:hAnsi="Arial"/>
                <w:b/>
                <w:bCs/>
                <w:color w:val="FFFFFF"/>
                <w:sz w:val="22"/>
                <w:szCs w:val="22"/>
              </w:rPr>
              <w:t xml:space="preserve">Responsibility</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PM Team</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Claude Desktop</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Requirements, prioritization, acceptance criteria</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Dev Team</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Claude Code CLI</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Implementation, PRs, technical decisions</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QA Team</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Claude Extension</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Verification, bug filing, evidence collection</w:t>
            </w:r>
          </w:p>
        </w:tc>
      </w:tr>
      <w:tr>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Captain</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Human</w:t>
            </w:r>
          </w:p>
        </w:tc>
        <w:tc>
          <w:tcPr>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Routing, approvals, final decisions, board liaison</w:t>
            </w:r>
          </w:p>
        </w:tc>
      </w:tr>
    </w:tbl>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GitHub is the single source of truth. All work is tracked in issues with namespaced labels. No work starts without an issue; no code merges without QA verification.</w:t>
      </w:r>
    </w:p>
    <w:p>
      <w:pPr>
        <w:pStyle w:val="Heading2"/>
        <w:spacing w:before="300" w:after="150"/>
      </w:pPr>
      <w:r>
        <w:rPr>
          <w:rFonts w:ascii="Arial" w:cs="Arial" w:eastAsia="Arial" w:hAnsi="Arial"/>
          <w:b/>
          <w:bCs/>
          <w:sz w:val="26"/>
          <w:szCs w:val="26"/>
        </w:rPr>
        <w:t xml:space="preserve">Quality Principles</w:t>
      </w:r>
    </w:p>
    <w:p>
      <w:pPr>
        <w:pStyle w:val="ListParagraph"/>
        <w:numPr>
          <w:ilvl w:val="0"/>
          <w:numId w:val="2"/>
        </w:numPr>
        <w:spacing w:after="100"/>
      </w:pPr>
      <w:r>
        <w:rPr>
          <w:rFonts w:ascii="Arial" w:cs="Arial" w:eastAsia="Arial" w:hAnsi="Arial"/>
          <w:sz w:val="22"/>
          <w:szCs w:val="22"/>
        </w:rPr>
        <w:t xml:space="preserve">Data credibility is absolute: Users tolerate clunky UI if numbers are right. Conflicting numbers = permanent trust loss.</w:t>
      </w:r>
    </w:p>
    <w:p>
      <w:pPr>
        <w:pStyle w:val="ListParagraph"/>
        <w:numPr>
          <w:ilvl w:val="0"/>
          <w:numId w:val="2"/>
        </w:numPr>
        <w:spacing w:after="100"/>
      </w:pPr>
      <w:r>
        <w:rPr>
          <w:rFonts w:ascii="Arial" w:cs="Arial" w:eastAsia="Arial" w:hAnsi="Arial"/>
          <w:sz w:val="22"/>
          <w:szCs w:val="22"/>
        </w:rPr>
        <w:t xml:space="preserve">'Code merged' ≠ 'feature works': Require verified acceptance criteria with evidence before marking complete.</w:t>
      </w:r>
    </w:p>
    <w:p>
      <w:pPr>
        <w:pStyle w:val="ListParagraph"/>
        <w:numPr>
          <w:ilvl w:val="0"/>
          <w:numId w:val="2"/>
        </w:numPr>
        <w:spacing w:after="100"/>
      </w:pPr>
      <w:r>
        <w:rPr>
          <w:rFonts w:ascii="Arial" w:cs="Arial" w:eastAsia="Arial" w:hAnsi="Arial"/>
          <w:sz w:val="22"/>
          <w:szCs w:val="22"/>
        </w:rPr>
        <w:t xml:space="preserve">Conservative financial modeling: Protect capital through disciplined buy-box adherence.</w:t>
      </w:r>
    </w:p>
    <w:p>
      <w:pPr>
        <w:pStyle w:val="ListParagraph"/>
        <w:numPr>
          <w:ilvl w:val="0"/>
          <w:numId w:val="2"/>
        </w:numPr>
        <w:spacing w:after="100"/>
      </w:pPr>
      <w:r>
        <w:rPr>
          <w:rFonts w:ascii="Arial" w:cs="Arial" w:eastAsia="Arial" w:hAnsi="Arial"/>
          <w:sz w:val="22"/>
          <w:szCs w:val="22"/>
        </w:rPr>
        <w:t xml:space="preserve">Explainable logic over opaque intelligence: Every recommendation must survive a skeptical read-aloud test.</w:t>
      </w:r>
    </w:p>
    <w:p>
      <w:pPr>
        <w:pStyle w:val="Heading1"/>
        <w:spacing w:before="300" w:after="150"/>
      </w:pPr>
      <w:r>
        <w:rPr>
          <w:rFonts w:ascii="Arial" w:cs="Arial" w:eastAsia="Arial" w:hAnsi="Arial"/>
          <w:b/>
          <w:bCs/>
          <w:sz w:val="32"/>
          <w:szCs w:val="32"/>
        </w:rPr>
        <w:t xml:space="preserve">Summary</w:t>
      </w:r>
    </w:p>
    <w:p>
      <w:pPr>
        <w:spacing w:after="200"/>
      </w:pPr>
      <w:r>
        <w:rPr>
          <w:rFonts w:ascii="Arial" w:cs="Arial" w:eastAsia="Arial" w:hAnsi="Arial"/>
          <w:sz w:val="22"/>
          <w:szCs w:val="22"/>
        </w:rPr>
        <w:t xml:space="preserve">DFG is a self-funding operator tool with subscription upside. The core platform is operational. We are making a targeted 3-5 day investment in internal efficiency, then proceeding to auth/billing infrastructure for external subscribers.</w:t>
      </w:r>
    </w:p>
    <w:p>
      <w:pPr>
        <w:spacing w:after="200"/>
      </w:pPr>
      <w:r>
        <w:rPr>
          <w:rFonts w:ascii="Arial" w:cs="Arial" w:eastAsia="Arial" w:hAnsi="Arial"/>
          <w:sz w:val="22"/>
          <w:szCs w:val="22"/>
        </w:rPr>
        <w:t xml:space="preserve">The near-term focus is using the tool ourselves to generate flip profits while validating the subscription model with a small private beta. If the tool works for us, it works for subscribers. If it doesn't, we learn fast and move on.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Respectfully submitted,</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Captain &amp; Alex Hale</w:t>
      </w:r>
    </w:p>
    <w:p>
      <w:pPr>
        <w:spacing w:after="200"/>
      </w:pPr>
      <w:r>
        <w:rPr>
          <w:rFonts w:ascii="Arial" w:cs="Arial" w:eastAsia="Arial" w:hAnsi="Arial"/>
          <w:sz w:val="22"/>
          <w:szCs w:val="22"/>
        </w:rPr>
        <w:t xml:space="preserve">Co-founders, Durgan Field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2026-01-08T06:47:51.219Z</dcterms:created>
  <dcterms:modified xsi:type="dcterms:W3CDTF">2026-01-08T06:47:51.219Z</dcterms:modified>
</cp:coreProperties>
</file>

<file path=docProps/custom.xml><?xml version="1.0" encoding="utf-8"?>
<Properties xmlns="http://schemas.openxmlformats.org/officeDocument/2006/custom-properties" xmlns:vt="http://schemas.openxmlformats.org/officeDocument/2006/docPropsVTypes"/>
</file>