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1F3864"/>
          <w:sz w:val="26"/>
          <w:szCs w:val="26"/>
        </w:rPr>
        <w:t xml:space="preserve">Project Design Phase</w:t>
      </w:r>
    </w:p>
    <w:p>
      <w:pPr>
        <w:spacing w:after="220"/>
        <w:jc w:val="center"/>
      </w:pPr>
      <w:r>
        <w:rPr>
          <w:b/>
          <w:bCs/>
          <w:color w:val="1F3864"/>
          <w:sz w:val="26"/>
          <w:szCs w:val="26"/>
        </w:rPr>
        <w:t xml:space="preserve">Proposed Solution Template</w:t>
      </w: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2800"/>
        <w:gridCol w:w="7440"/>
      </w:tblGrid>
      <w:tr>
        <w:tc>
          <w:tcPr>
            <w:tcW w:type="dxa" w:w="2800"/>
            <w:shd w:fill="DDEBF7" w:val="clear"/>
            <w:tcMar>
              <w:top w:type="dxa" w:w="90"/>
              <w:left w:type="dxa" w:w="120"/>
              <w:bottom w:type="dxa" w:w="90"/>
              <w:right w:type="dxa" w:w="120"/>
            </w:tcMar>
            <w:vAlign w:val="center"/>
          </w:tcPr>
          <w:p>
            <w:r>
              <w:rPr>
                <w:b/>
                <w:bCs/>
                <w:sz w:val="19"/>
                <w:szCs w:val="19"/>
              </w:rPr>
              <w:t xml:space="preserve">Date</w:t>
            </w:r>
          </w:p>
        </w:tc>
        <w:tc>
          <w:tcPr>
            <w:tcW w:type="dxa" w:w="7440"/>
            <w:tcMar>
              <w:top w:type="dxa" w:w="90"/>
              <w:left w:type="dxa" w:w="120"/>
              <w:bottom w:type="dxa" w:w="90"/>
              <w:right w:type="dxa" w:w="120"/>
            </w:tcMar>
            <w:vAlign w:val="center"/>
          </w:tcPr>
          <w:p>
            <w:r>
              <w:rPr>
                <w:sz w:val="19"/>
                <w:szCs w:val="19"/>
              </w:rPr>
              <w:t xml:space="preserve">04 July 2026</w:t>
            </w:r>
          </w:p>
        </w:tc>
      </w:tr>
      <w:tr>
        <w:tc>
          <w:tcPr>
            <w:tcW w:type="dxa" w:w="2800"/>
            <w:shd w:fill="DDEBF7" w:val="clear"/>
            <w:tcMar>
              <w:top w:type="dxa" w:w="90"/>
              <w:left w:type="dxa" w:w="120"/>
              <w:bottom w:type="dxa" w:w="90"/>
              <w:right w:type="dxa" w:w="120"/>
            </w:tcMar>
            <w:vAlign w:val="center"/>
          </w:tcPr>
          <w:p>
            <w:r>
              <w:rPr>
                <w:b/>
                <w:bCs/>
                <w:sz w:val="19"/>
                <w:szCs w:val="19"/>
              </w:rPr>
              <w:t xml:space="preserve">Team ID</w:t>
            </w:r>
          </w:p>
        </w:tc>
        <w:tc>
          <w:tcPr>
            <w:tcW w:type="dxa" w:w="7440"/>
            <w:tcMar>
              <w:top w:type="dxa" w:w="90"/>
              <w:left w:type="dxa" w:w="120"/>
              <w:bottom w:type="dxa" w:w="90"/>
              <w:right w:type="dxa" w:w="120"/>
            </w:tcMar>
            <w:vAlign w:val="center"/>
          </w:tcPr>
          <w:p>
            <w:r>
              <w:rPr>
                <w:sz w:val="19"/>
                <w:szCs w:val="19"/>
              </w:rPr>
              <w:t xml:space="preserve"/>
            </w:r>
          </w:p>
        </w:tc>
      </w:tr>
      <w:tr>
        <w:tc>
          <w:tcPr>
            <w:tcW w:type="dxa" w:w="2800"/>
            <w:shd w:fill="DDEBF7" w:val="clear"/>
            <w:tcMar>
              <w:top w:type="dxa" w:w="90"/>
              <w:left w:type="dxa" w:w="120"/>
              <w:bottom w:type="dxa" w:w="90"/>
              <w:right w:type="dxa" w:w="120"/>
            </w:tcMar>
            <w:vAlign w:val="center"/>
          </w:tcPr>
          <w:p>
            <w:r>
              <w:rPr>
                <w:b/>
                <w:bCs/>
                <w:sz w:val="19"/>
                <w:szCs w:val="19"/>
              </w:rPr>
              <w:t xml:space="preserve">Project Name</w:t>
            </w:r>
          </w:p>
        </w:tc>
        <w:tc>
          <w:tcPr>
            <w:tcW w:type="dxa" w:w="7440"/>
            <w:tcMar>
              <w:top w:type="dxa" w:w="90"/>
              <w:left w:type="dxa" w:w="120"/>
              <w:bottom w:type="dxa" w:w="90"/>
              <w:right w:type="dxa" w:w="120"/>
            </w:tcMar>
            <w:vAlign w:val="center"/>
          </w:tcPr>
          <w:p>
            <w:r>
              <w:rPr>
                <w:sz w:val="19"/>
                <w:szCs w:val="19"/>
              </w:rPr>
              <w:t xml:space="preserve">Credit Card Approval Prediction</w:t>
            </w:r>
          </w:p>
        </w:tc>
      </w:tr>
      <w:tr>
        <w:tc>
          <w:tcPr>
            <w:tcW w:type="dxa" w:w="2800"/>
            <w:shd w:fill="DDEBF7" w:val="clear"/>
            <w:tcMar>
              <w:top w:type="dxa" w:w="90"/>
              <w:left w:type="dxa" w:w="120"/>
              <w:bottom w:type="dxa" w:w="90"/>
              <w:right w:type="dxa" w:w="120"/>
            </w:tcMar>
            <w:vAlign w:val="center"/>
          </w:tcPr>
          <w:p>
            <w:r>
              <w:rPr>
                <w:b/>
                <w:bCs/>
                <w:sz w:val="19"/>
                <w:szCs w:val="19"/>
              </w:rPr>
              <w:t xml:space="preserve">Maximum Marks</w:t>
            </w:r>
          </w:p>
        </w:tc>
        <w:tc>
          <w:tcPr>
            <w:tcW w:type="dxa" w:w="7440"/>
            <w:tcMar>
              <w:top w:type="dxa" w:w="90"/>
              <w:left w:type="dxa" w:w="120"/>
              <w:bottom w:type="dxa" w:w="90"/>
              <w:right w:type="dxa" w:w="120"/>
            </w:tcMar>
            <w:vAlign w:val="center"/>
          </w:tcPr>
          <w:p>
            <w:r>
              <w:rPr>
                <w:sz w:val="19"/>
                <w:szCs w:val="19"/>
              </w:rPr>
              <w:t xml:space="preserve">2 Marks</w:t>
            </w:r>
          </w:p>
        </w:tc>
      </w:tr>
    </w:tbl>
    <w:p>
      <w:pPr>
        <w:spacing w:after="100" w:before="220"/>
      </w:pPr>
      <w:r>
        <w:rPr>
          <w:b/>
          <w:bCs/>
          <w:sz w:val="21"/>
          <w:szCs w:val="21"/>
        </w:rPr>
        <w:t xml:space="preserve">Proposed Solution Template:</w:t>
      </w:r>
    </w:p>
    <w:p>
      <w:pPr>
        <w:spacing w:after="160"/>
      </w:pPr>
      <w:r>
        <w:rPr>
          <w:sz w:val="21"/>
          <w:szCs w:val="21"/>
        </w:rPr>
        <w:t xml:space="preserve">Project team shall fill the following information in the proposed solution template.</w:t>
      </w: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700"/>
        <w:gridCol w:w="2600"/>
        <w:gridCol w:w="6940"/>
      </w:tblGrid>
      <w:tr>
        <w:trPr>
          <w:tblHeader/>
        </w:trPr>
        <w:tc>
          <w:tcPr>
            <w:tcW w:type="dxa" w:w="700"/>
            <w:shd w:fill="1F3864" w:val="clear"/>
            <w:tcMar>
              <w:top w:type="dxa" w:w="90"/>
              <w:left w:type="dxa" w:w="120"/>
              <w:bottom w:type="dxa" w:w="90"/>
              <w:right w:type="dxa" w:w="120"/>
            </w:tcMar>
            <w:vAlign w:val="center"/>
          </w:tcPr>
          <w:p>
            <w:r>
              <w:rPr>
                <w:b/>
                <w:bCs/>
                <w:color w:val="FFFFFF"/>
                <w:sz w:val="19"/>
                <w:szCs w:val="19"/>
              </w:rPr>
              <w:t xml:space="preserve">S.No.</w:t>
            </w:r>
          </w:p>
        </w:tc>
        <w:tc>
          <w:tcPr>
            <w:tcW w:type="dxa" w:w="2600"/>
            <w:shd w:fill="1F3864" w:val="clear"/>
            <w:tcMar>
              <w:top w:type="dxa" w:w="90"/>
              <w:left w:type="dxa" w:w="120"/>
              <w:bottom w:type="dxa" w:w="90"/>
              <w:right w:type="dxa" w:w="120"/>
            </w:tcMar>
            <w:vAlign w:val="center"/>
          </w:tcPr>
          <w:p>
            <w:r>
              <w:rPr>
                <w:b/>
                <w:bCs/>
                <w:color w:val="FFFFFF"/>
                <w:sz w:val="19"/>
                <w:szCs w:val="19"/>
              </w:rPr>
              <w:t xml:space="preserve">Parameter</w:t>
            </w:r>
          </w:p>
        </w:tc>
        <w:tc>
          <w:tcPr>
            <w:tcW w:type="dxa" w:w="6940"/>
            <w:shd w:fill="1F3864" w:val="clear"/>
            <w:tcMar>
              <w:top w:type="dxa" w:w="90"/>
              <w:left w:type="dxa" w:w="120"/>
              <w:bottom w:type="dxa" w:w="90"/>
              <w:right w:type="dxa" w:w="120"/>
            </w:tcMar>
            <w:vAlign w:val="center"/>
          </w:tcPr>
          <w:p>
            <w:r>
              <w:rPr>
                <w:b/>
                <w:bCs/>
                <w:color w:val="FFFFFF"/>
                <w:sz w:val="19"/>
                <w:szCs w:val="19"/>
              </w:rPr>
              <w:t xml:space="preserve">Description</w:t>
            </w:r>
          </w:p>
        </w:tc>
      </w:tr>
      <w:tr>
        <w:tc>
          <w:tcPr>
            <w:tcW w:type="dxa" w:w="700"/>
            <w:shd w:fill="F7F7F7" w:val="clear"/>
            <w:tcMar>
              <w:top w:type="dxa" w:w="90"/>
              <w:left w:type="dxa" w:w="120"/>
              <w:bottom w:type="dxa" w:w="90"/>
              <w:right w:type="dxa" w:w="120"/>
            </w:tcMar>
            <w:vAlign w:val="top"/>
          </w:tcPr>
          <w:p>
            <w:r>
              <w:rPr>
                <w:sz w:val="19"/>
                <w:szCs w:val="19"/>
              </w:rPr>
              <w:t xml:space="preserve">1.</w:t>
            </w:r>
          </w:p>
        </w:tc>
        <w:tc>
          <w:tcPr>
            <w:tcW w:type="dxa" w:w="2600"/>
            <w:shd w:fill="F7F7F7" w:val="clear"/>
            <w:tcMar>
              <w:top w:type="dxa" w:w="90"/>
              <w:left w:type="dxa" w:w="120"/>
              <w:bottom w:type="dxa" w:w="90"/>
              <w:right w:type="dxa" w:w="120"/>
            </w:tcMar>
            <w:vAlign w:val="top"/>
          </w:tcPr>
          <w:p>
            <w:r>
              <w:rPr>
                <w:b/>
                <w:bCs/>
                <w:sz w:val="19"/>
                <w:szCs w:val="19"/>
              </w:rPr>
              <w:t xml:space="preserve">Problem Statement (Problem to be solved)</w:t>
            </w:r>
          </w:p>
        </w:tc>
        <w:tc>
          <w:tcPr>
            <w:tcW w:type="dxa" w:w="6940"/>
            <w:shd w:fill="F7F7F7" w:val="clear"/>
            <w:tcMar>
              <w:top w:type="dxa" w:w="90"/>
              <w:left w:type="dxa" w:w="120"/>
              <w:bottom w:type="dxa" w:w="90"/>
              <w:right w:type="dxa" w:w="120"/>
            </w:tcMar>
            <w:vAlign w:val="top"/>
          </w:tcPr>
          <w:p>
            <w:r>
              <w:rPr>
                <w:sz w:val="19"/>
                <w:szCs w:val="19"/>
              </w:rPr>
              <w:t xml:space="preserve">Banks and financial institutions receive thousands of credit card applications every day. A significant portion are rejected due to high existing loan balances, insufficient income, or excessive credit inquiries. Manually reviewing each application is time-consuming and highly prone to human error, making it inefficient at scale.</w:t>
            </w:r>
          </w:p>
        </w:tc>
      </w:tr>
      <w:tr>
        <w:tc>
          <w:tcPr>
            <w:tcW w:type="dxa" w:w="700"/>
            <w:shd w:fill="FFFFFF" w:val="clear"/>
            <w:tcMar>
              <w:top w:type="dxa" w:w="90"/>
              <w:left w:type="dxa" w:w="120"/>
              <w:bottom w:type="dxa" w:w="90"/>
              <w:right w:type="dxa" w:w="120"/>
            </w:tcMar>
            <w:vAlign w:val="top"/>
          </w:tcPr>
          <w:p>
            <w:r>
              <w:rPr>
                <w:sz w:val="19"/>
                <w:szCs w:val="19"/>
              </w:rPr>
              <w:t xml:space="preserve">2.</w:t>
            </w:r>
          </w:p>
        </w:tc>
        <w:tc>
          <w:tcPr>
            <w:tcW w:type="dxa" w:w="2600"/>
            <w:shd w:fill="FFFFFF" w:val="clear"/>
            <w:tcMar>
              <w:top w:type="dxa" w:w="90"/>
              <w:left w:type="dxa" w:w="120"/>
              <w:bottom w:type="dxa" w:w="90"/>
              <w:right w:type="dxa" w:w="120"/>
            </w:tcMar>
            <w:vAlign w:val="top"/>
          </w:tcPr>
          <w:p>
            <w:r>
              <w:rPr>
                <w:b/>
                <w:bCs/>
                <w:sz w:val="19"/>
                <w:szCs w:val="19"/>
              </w:rPr>
              <w:t xml:space="preserve">Idea / Solution description</w:t>
            </w:r>
          </w:p>
        </w:tc>
        <w:tc>
          <w:tcPr>
            <w:tcW w:type="dxa" w:w="6940"/>
            <w:shd w:fill="FFFFFF" w:val="clear"/>
            <w:tcMar>
              <w:top w:type="dxa" w:w="90"/>
              <w:left w:type="dxa" w:w="120"/>
              <w:bottom w:type="dxa" w:w="90"/>
              <w:right w:type="dxa" w:w="120"/>
            </w:tcMar>
            <w:vAlign w:val="top"/>
          </w:tcPr>
          <w:p>
            <w:r>
              <w:rPr>
                <w:sz w:val="19"/>
                <w:szCs w:val="19"/>
              </w:rPr>
              <w:t xml:space="preserve">An ML-based system that automates the credit card approval decision. Four classification algorithms — Logistic Regression, Random Forest, XGBoost, and Decision Tree — are trained on historical applicant data. The best-performing model is integrated into a Flask web application, with an IBM Watson Machine Learning deployment pipeline for scalable, real-time predictions.</w:t>
            </w:r>
          </w:p>
        </w:tc>
      </w:tr>
      <w:tr>
        <w:tc>
          <w:tcPr>
            <w:tcW w:type="dxa" w:w="700"/>
            <w:shd w:fill="F7F7F7" w:val="clear"/>
            <w:tcMar>
              <w:top w:type="dxa" w:w="90"/>
              <w:left w:type="dxa" w:w="120"/>
              <w:bottom w:type="dxa" w:w="90"/>
              <w:right w:type="dxa" w:w="120"/>
            </w:tcMar>
            <w:vAlign w:val="top"/>
          </w:tcPr>
          <w:p>
            <w:r>
              <w:rPr>
                <w:sz w:val="19"/>
                <w:szCs w:val="19"/>
              </w:rPr>
              <w:t xml:space="preserve">3.</w:t>
            </w:r>
          </w:p>
        </w:tc>
        <w:tc>
          <w:tcPr>
            <w:tcW w:type="dxa" w:w="2600"/>
            <w:shd w:fill="F7F7F7" w:val="clear"/>
            <w:tcMar>
              <w:top w:type="dxa" w:w="90"/>
              <w:left w:type="dxa" w:w="120"/>
              <w:bottom w:type="dxa" w:w="90"/>
              <w:right w:type="dxa" w:w="120"/>
            </w:tcMar>
            <w:vAlign w:val="top"/>
          </w:tcPr>
          <w:p>
            <w:r>
              <w:rPr>
                <w:b/>
                <w:bCs/>
                <w:sz w:val="19"/>
                <w:szCs w:val="19"/>
              </w:rPr>
              <w:t xml:space="preserve">Novelty / Uniqueness</w:t>
            </w:r>
          </w:p>
        </w:tc>
        <w:tc>
          <w:tcPr>
            <w:tcW w:type="dxa" w:w="6940"/>
            <w:shd w:fill="F7F7F7" w:val="clear"/>
            <w:tcMar>
              <w:top w:type="dxa" w:w="90"/>
              <w:left w:type="dxa" w:w="120"/>
              <w:bottom w:type="dxa" w:w="90"/>
              <w:right w:type="dxa" w:w="120"/>
            </w:tcMar>
            <w:vAlign w:val="top"/>
          </w:tcPr>
          <w:p>
            <w:r>
              <w:rPr>
                <w:sz w:val="19"/>
                <w:szCs w:val="19"/>
              </w:rPr>
              <w:t xml:space="preserve">Combines multiple ML algorithms with automatic best-model selection based on accuracy; converts multi-class payment-status codes into clear binary risk labels for compliance review; and serves three distinct user needs — analyst screening, compliance batch review, and customer self-service — through one unified platform.</w:t>
            </w:r>
          </w:p>
        </w:tc>
      </w:tr>
      <w:tr>
        <w:tc>
          <w:tcPr>
            <w:tcW w:type="dxa" w:w="700"/>
            <w:shd w:fill="FFFFFF" w:val="clear"/>
            <w:tcMar>
              <w:top w:type="dxa" w:w="90"/>
              <w:left w:type="dxa" w:w="120"/>
              <w:bottom w:type="dxa" w:w="90"/>
              <w:right w:type="dxa" w:w="120"/>
            </w:tcMar>
            <w:vAlign w:val="top"/>
          </w:tcPr>
          <w:p>
            <w:r>
              <w:rPr>
                <w:sz w:val="19"/>
                <w:szCs w:val="19"/>
              </w:rPr>
              <w:t xml:space="preserve">4.</w:t>
            </w:r>
          </w:p>
        </w:tc>
        <w:tc>
          <w:tcPr>
            <w:tcW w:type="dxa" w:w="2600"/>
            <w:shd w:fill="FFFFFF" w:val="clear"/>
            <w:tcMar>
              <w:top w:type="dxa" w:w="90"/>
              <w:left w:type="dxa" w:w="120"/>
              <w:bottom w:type="dxa" w:w="90"/>
              <w:right w:type="dxa" w:w="120"/>
            </w:tcMar>
            <w:vAlign w:val="top"/>
          </w:tcPr>
          <w:p>
            <w:r>
              <w:rPr>
                <w:b/>
                <w:bCs/>
                <w:sz w:val="19"/>
                <w:szCs w:val="19"/>
              </w:rPr>
              <w:t xml:space="preserve">Social Impact / Customer Satisfaction</w:t>
            </w:r>
          </w:p>
        </w:tc>
        <w:tc>
          <w:tcPr>
            <w:tcW w:type="dxa" w:w="6940"/>
            <w:shd w:fill="FFFFFF" w:val="clear"/>
            <w:tcMar>
              <w:top w:type="dxa" w:w="90"/>
              <w:left w:type="dxa" w:w="120"/>
              <w:bottom w:type="dxa" w:w="90"/>
              <w:right w:type="dxa" w:w="120"/>
            </w:tcMar>
            <w:vAlign w:val="top"/>
          </w:tcPr>
          <w:p>
            <w:r>
              <w:rPr>
                <w:sz w:val="19"/>
                <w:szCs w:val="19"/>
              </w:rPr>
              <w:t xml:space="preserve">Reduces wait time and removes human bias from credit decisions. Customers get instant clarity on their eligibility instead of waiting days, and compliance teams can focus their effort on genuinely high-risk cases rather than manually screening every applicant.</w:t>
            </w:r>
          </w:p>
        </w:tc>
      </w:tr>
      <w:tr>
        <w:tc>
          <w:tcPr>
            <w:tcW w:type="dxa" w:w="700"/>
            <w:shd w:fill="F7F7F7" w:val="clear"/>
            <w:tcMar>
              <w:top w:type="dxa" w:w="90"/>
              <w:left w:type="dxa" w:w="120"/>
              <w:bottom w:type="dxa" w:w="90"/>
              <w:right w:type="dxa" w:w="120"/>
            </w:tcMar>
            <w:vAlign w:val="top"/>
          </w:tcPr>
          <w:p>
            <w:r>
              <w:rPr>
                <w:sz w:val="19"/>
                <w:szCs w:val="19"/>
              </w:rPr>
              <w:t xml:space="preserve">5.</w:t>
            </w:r>
          </w:p>
        </w:tc>
        <w:tc>
          <w:tcPr>
            <w:tcW w:type="dxa" w:w="2600"/>
            <w:shd w:fill="F7F7F7" w:val="clear"/>
            <w:tcMar>
              <w:top w:type="dxa" w:w="90"/>
              <w:left w:type="dxa" w:w="120"/>
              <w:bottom w:type="dxa" w:w="90"/>
              <w:right w:type="dxa" w:w="120"/>
            </w:tcMar>
            <w:vAlign w:val="top"/>
          </w:tcPr>
          <w:p>
            <w:r>
              <w:rPr>
                <w:b/>
                <w:bCs/>
                <w:sz w:val="19"/>
                <w:szCs w:val="19"/>
              </w:rPr>
              <w:t xml:space="preserve">Business Model (Revenue Model)</w:t>
            </w:r>
          </w:p>
        </w:tc>
        <w:tc>
          <w:tcPr>
            <w:tcW w:type="dxa" w:w="6940"/>
            <w:shd w:fill="F7F7F7" w:val="clear"/>
            <w:tcMar>
              <w:top w:type="dxa" w:w="90"/>
              <w:left w:type="dxa" w:w="120"/>
              <w:bottom w:type="dxa" w:w="90"/>
              <w:right w:type="dxa" w:w="120"/>
            </w:tcMar>
            <w:vAlign w:val="top"/>
          </w:tcPr>
          <w:p>
            <w:r>
              <w:rPr>
                <w:sz w:val="19"/>
                <w:szCs w:val="19"/>
              </w:rPr>
              <w:t xml:space="preserve">Can be offered to banks and financial institutions as a SaaS / B2B solution, priced via subscription or per-prediction API usage. Alternatively, positioned internally as a cost-saving tool that reduces manual review overhead and increases approval throughput.</w:t>
            </w:r>
          </w:p>
        </w:tc>
      </w:tr>
      <w:tr>
        <w:tc>
          <w:tcPr>
            <w:tcW w:type="dxa" w:w="700"/>
            <w:shd w:fill="FFFFFF" w:val="clear"/>
            <w:tcMar>
              <w:top w:type="dxa" w:w="90"/>
              <w:left w:type="dxa" w:w="120"/>
              <w:bottom w:type="dxa" w:w="90"/>
              <w:right w:type="dxa" w:w="120"/>
            </w:tcMar>
            <w:vAlign w:val="top"/>
          </w:tcPr>
          <w:p>
            <w:r>
              <w:rPr>
                <w:sz w:val="19"/>
                <w:szCs w:val="19"/>
              </w:rPr>
              <w:t xml:space="preserve">6.</w:t>
            </w:r>
          </w:p>
        </w:tc>
        <w:tc>
          <w:tcPr>
            <w:tcW w:type="dxa" w:w="2600"/>
            <w:shd w:fill="FFFFFF" w:val="clear"/>
            <w:tcMar>
              <w:top w:type="dxa" w:w="90"/>
              <w:left w:type="dxa" w:w="120"/>
              <w:bottom w:type="dxa" w:w="90"/>
              <w:right w:type="dxa" w:w="120"/>
            </w:tcMar>
            <w:vAlign w:val="top"/>
          </w:tcPr>
          <w:p>
            <w:r>
              <w:rPr>
                <w:b/>
                <w:bCs/>
                <w:sz w:val="19"/>
                <w:szCs w:val="19"/>
              </w:rPr>
              <w:t xml:space="preserve">Scalability of the Solution</w:t>
            </w:r>
          </w:p>
        </w:tc>
        <w:tc>
          <w:tcPr>
            <w:tcW w:type="dxa" w:w="6940"/>
            <w:shd w:fill="FFFFFF" w:val="clear"/>
            <w:tcMar>
              <w:top w:type="dxa" w:w="90"/>
              <w:left w:type="dxa" w:w="120"/>
              <w:bottom w:type="dxa" w:w="90"/>
              <w:right w:type="dxa" w:w="120"/>
            </w:tcMar>
            <w:vAlign w:val="top"/>
          </w:tcPr>
          <w:p>
            <w:r>
              <w:rPr>
                <w:sz w:val="19"/>
                <w:szCs w:val="19"/>
              </w:rPr>
              <w:t xml:space="preserve">Cloud deployment through IBM Watson Machine Learning allows the model to scale to handle growing application volumes without added manual effort. The same pipeline architecture can be extended to other credit products, such as personal loans or auto loans, beyond credit cards.</w:t>
            </w:r>
          </w:p>
        </w:tc>
      </w:tr>
    </w:tbl>
    <w:sectPr>
      <w:pgSz w:w="12240" w:h="15840"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2026-07-03T03:49:42.540Z</dcterms:created>
  <dcterms:modified xsi:type="dcterms:W3CDTF">2026-07-03T03:49:42.540Z</dcterms:modified>
</cp:coreProperties>
</file>

<file path=docProps/custom.xml><?xml version="1.0" encoding="utf-8"?>
<Properties xmlns="http://schemas.openxmlformats.org/officeDocument/2006/custom-properties" xmlns:vt="http://schemas.openxmlformats.org/officeDocument/2006/docPropsVTypes"/>
</file>