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1a365d"/>
          <w:sz w:val="36"/>
          <w:szCs w:val="36"/>
          <w:rtl w:val="0"/>
        </w:rPr>
        <w:t xml:space="preserve">TASK 4: DATA SCIENCE TOOL MASTERY &amp; PRODUCTION ML PROJECT</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color w:val="2b6cb0"/>
          <w:sz w:val="24"/>
          <w:szCs w:val="24"/>
          <w:rtl w:val="0"/>
        </w:rPr>
        <w:t xml:space="preserve">End-to-End E-Commerce Churn Prediction Engine, Leakage-Free Pipeline Architecture, LightGBM Modeling, and Production FastAPI Deployment</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7fafc" w:val="clear"/>
            <w:tcMar>
              <w:top w:w="70.0" w:type="dxa"/>
              <w:left w:w="120.0" w:type="dxa"/>
              <w:bottom w:w="70.0" w:type="dxa"/>
              <w:right w:w="12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9"/>
                <w:szCs w:val="19"/>
                <w:rtl w:val="0"/>
              </w:rPr>
              <w:t xml:space="preserve">Candidate Name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04">
            <w:pPr>
              <w:spacing w:after="0" w:lineRule="auto"/>
              <w:rPr/>
            </w:pPr>
            <w:r w:rsidDel="00000000" w:rsidR="00000000" w:rsidRPr="00000000">
              <w:rPr>
                <w:color w:val="2d3748"/>
                <w:sz w:val="19"/>
                <w:szCs w:val="19"/>
                <w:rtl w:val="0"/>
              </w:rPr>
              <w:t xml:space="preserve">Durgesh Maurya</w:t>
            </w:r>
            <w:r w:rsidDel="00000000" w:rsidR="00000000" w:rsidRPr="00000000">
              <w:rPr>
                <w:rtl w:val="0"/>
              </w:rPr>
            </w:r>
          </w:p>
        </w:tc>
      </w:tr>
      <w:tr>
        <w:trPr>
          <w:cantSplit w:val="0"/>
          <w:tblHeader w:val="0"/>
        </w:trPr>
        <w:tc>
          <w:tcPr>
            <w:shd w:fill="f7fafc" w:val="clear"/>
            <w:tcMar>
              <w:top w:w="70.0" w:type="dxa"/>
              <w:left w:w="120.0" w:type="dxa"/>
              <w:bottom w:w="70.0" w:type="dxa"/>
              <w:right w:w="12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9"/>
                <w:szCs w:val="19"/>
                <w:rtl w:val="0"/>
              </w:rPr>
              <w:t xml:space="preserve">Internship Track</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06">
            <w:pPr>
              <w:spacing w:after="0" w:lineRule="auto"/>
              <w:rPr/>
            </w:pPr>
            <w:r w:rsidDel="00000000" w:rsidR="00000000" w:rsidRPr="00000000">
              <w:rPr>
                <w:color w:val="2d3748"/>
                <w:sz w:val="19"/>
                <w:szCs w:val="19"/>
                <w:rtl w:val="0"/>
              </w:rPr>
              <w:t xml:space="preserve">Machine Learning Engineer Internship (8-Week Technical Track)</w:t>
            </w:r>
            <w:r w:rsidDel="00000000" w:rsidR="00000000" w:rsidRPr="00000000">
              <w:rPr>
                <w:rtl w:val="0"/>
              </w:rPr>
            </w:r>
          </w:p>
        </w:tc>
      </w:tr>
      <w:tr>
        <w:trPr>
          <w:cantSplit w:val="0"/>
          <w:tblHeader w:val="0"/>
        </w:trPr>
        <w:tc>
          <w:tcPr>
            <w:shd w:fill="f7fafc" w:val="clear"/>
            <w:tcMar>
              <w:top w:w="70.0" w:type="dxa"/>
              <w:left w:w="120.0" w:type="dxa"/>
              <w:bottom w:w="70.0" w:type="dxa"/>
              <w:right w:w="12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9"/>
                <w:szCs w:val="19"/>
                <w:rtl w:val="0"/>
              </w:rPr>
              <w:t xml:space="preserve">Deliverable Module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08">
            <w:pPr>
              <w:spacing w:after="0" w:lineRule="auto"/>
              <w:rPr/>
            </w:pPr>
            <w:r w:rsidDel="00000000" w:rsidR="00000000" w:rsidRPr="00000000">
              <w:rPr>
                <w:color w:val="2d3748"/>
                <w:sz w:val="19"/>
                <w:szCs w:val="19"/>
                <w:rtl w:val="0"/>
              </w:rPr>
              <w:t xml:space="preserve">Task 4 Deliverable (Data Science Tool Mastery &amp; Production Deployment)</w:t>
            </w:r>
            <w:r w:rsidDel="00000000" w:rsidR="00000000" w:rsidRPr="00000000">
              <w:rPr>
                <w:rtl w:val="0"/>
              </w:rPr>
            </w:r>
          </w:p>
        </w:tc>
      </w:tr>
      <w:tr>
        <w:trPr>
          <w:cantSplit w:val="0"/>
          <w:tblHeader w:val="0"/>
        </w:trPr>
        <w:tc>
          <w:tcPr>
            <w:shd w:fill="f7fafc" w:val="clear"/>
            <w:tcMar>
              <w:top w:w="70.0" w:type="dxa"/>
              <w:left w:w="120.0" w:type="dxa"/>
              <w:bottom w:w="70.0" w:type="dxa"/>
              <w:right w:w="12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9"/>
                <w:szCs w:val="19"/>
                <w:rtl w:val="0"/>
              </w:rPr>
              <w:t xml:space="preserve">Assessment Target</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0A">
            <w:pPr>
              <w:spacing w:after="0" w:lineRule="auto"/>
              <w:rPr/>
            </w:pPr>
            <w:r w:rsidDel="00000000" w:rsidR="00000000" w:rsidRPr="00000000">
              <w:rPr>
                <w:color w:val="2d3748"/>
                <w:sz w:val="19"/>
                <w:szCs w:val="19"/>
                <w:rtl w:val="0"/>
              </w:rPr>
              <w:t xml:space="preserve">Tier-1 Industry Grade Technical Assessment Report (Benchmark: 80+ Marks)</w:t>
            </w:r>
            <w:r w:rsidDel="00000000" w:rsidR="00000000" w:rsidRPr="00000000">
              <w:rPr>
                <w:rtl w:val="0"/>
              </w:rPr>
            </w:r>
          </w:p>
        </w:tc>
      </w:tr>
    </w:tbl>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pStyle w:val="Heading1"/>
        <w:keepNext w:val="1"/>
        <w:spacing w:after="120" w:before="280" w:lineRule="auto"/>
        <w:rPr/>
      </w:pPr>
      <w:bookmarkStart w:colFirst="0" w:colLast="0" w:name="_heading=h.ofsc4s1e4fvt" w:id="0"/>
      <w:bookmarkEnd w:id="0"/>
      <w:r w:rsidDel="00000000" w:rsidR="00000000" w:rsidRPr="00000000">
        <w:rPr>
          <w:b w:val="1"/>
          <w:bCs w:val="1"/>
          <w:color w:val="1a365d"/>
          <w:sz w:val="30"/>
          <w:szCs w:val="30"/>
          <w:rtl w:val="0"/>
        </w:rPr>
        <w:t xml:space="preserve">1. Executive Summary &amp; Core Metric Scorecard</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tl w:val="0"/>
        </w:rPr>
        <w:t xml:space="preserve">This comprehensive technical assessment report delivers an exhaustive, industry-grade implementation of an E-Commerce Customer Churn Prediction Engine for Task 4. Churn represents one of the most critical threats to digital retail unit economics, as Customer Acquisition Cost (CAC) consistently outpaces Customer Retention Cost by 5x to 7x. Grounded in a cohort of 50,000 verified customer profiles, this project spans four modular jupyter notebooks covering automated data hygiene, statistical exploratory data analysis, domain-driven feature engineering, and Scikit-Learn production pipeline modeling. By transitioning from a linear baseline to an optimized Gradient Boosted LightGBM Classifier, the solution achieves outstanding predictive discrimination (ROC-AUC: 0.9029, PR-AUC: 0.8660) and is serialized into a standalone asynchronous FastAPI microservice with an interactive frontend interface.</w:t>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365d" w:val="clear"/>
            <w:tcMar>
              <w:top w:w="90.0" w:type="dxa"/>
              <w:left w:w="110.0" w:type="dxa"/>
              <w:bottom w:w="90.0" w:type="dxa"/>
              <w:right w:w="110.0" w:type="dxa"/>
            </w:tcMar>
          </w:tcPr>
          <w:p w:rsidR="00000000" w:rsidDel="00000000" w:rsidP="00000000" w:rsidRDefault="00000000" w:rsidRPr="00000000" w14:paraId="0000000E">
            <w:pPr>
              <w:spacing w:after="0" w:lineRule="auto"/>
              <w:rPr/>
            </w:pPr>
            <w:r w:rsidDel="00000000" w:rsidR="00000000" w:rsidRPr="00000000">
              <w:rPr>
                <w:b w:val="1"/>
                <w:bCs w:val="1"/>
                <w:color w:val="ffffff"/>
                <w:sz w:val="18"/>
                <w:szCs w:val="18"/>
                <w:rtl w:val="0"/>
              </w:rPr>
              <w:t xml:space="preserve">Metric Dimension</w:t>
            </w:r>
            <w:r w:rsidDel="00000000" w:rsidR="00000000" w:rsidRPr="00000000">
              <w:rPr>
                <w:rtl w:val="0"/>
              </w:rPr>
            </w:r>
          </w:p>
        </w:tc>
        <w:tc>
          <w:tcPr>
            <w:shd w:fill="1a365d" w:val="clear"/>
            <w:tcMar>
              <w:top w:w="90.0" w:type="dxa"/>
              <w:left w:w="110.0" w:type="dxa"/>
              <w:bottom w:w="90.0" w:type="dxa"/>
              <w:right w:w="110.0" w:type="dxa"/>
            </w:tcMar>
          </w:tcPr>
          <w:p w:rsidR="00000000" w:rsidDel="00000000" w:rsidP="00000000" w:rsidRDefault="00000000" w:rsidRPr="00000000" w14:paraId="0000000F">
            <w:pPr>
              <w:spacing w:after="0" w:lineRule="auto"/>
              <w:rPr/>
            </w:pPr>
            <w:r w:rsidDel="00000000" w:rsidR="00000000" w:rsidRPr="00000000">
              <w:rPr>
                <w:b w:val="1"/>
                <w:bCs w:val="1"/>
                <w:color w:val="ffffff"/>
                <w:sz w:val="18"/>
                <w:szCs w:val="18"/>
                <w:rtl w:val="0"/>
              </w:rPr>
              <w:t xml:space="preserve">Empirical Observation / Value</w:t>
            </w:r>
            <w:r w:rsidDel="00000000" w:rsidR="00000000" w:rsidRPr="00000000">
              <w:rPr>
                <w:rtl w:val="0"/>
              </w:rPr>
            </w:r>
          </w:p>
        </w:tc>
        <w:tc>
          <w:tcPr>
            <w:shd w:fill="1a365d" w:val="clear"/>
            <w:tcMar>
              <w:top w:w="90.0" w:type="dxa"/>
              <w:left w:w="110.0" w:type="dxa"/>
              <w:bottom w:w="90.0" w:type="dxa"/>
              <w:right w:w="11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18"/>
                <w:szCs w:val="18"/>
                <w:rtl w:val="0"/>
              </w:rPr>
              <w:t xml:space="preserve">Technical &amp; Economic Implication</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1a365d"/>
                <w:sz w:val="17"/>
                <w:szCs w:val="17"/>
                <w:rtl w:val="0"/>
              </w:rPr>
              <w:t xml:space="preserve">Analyzed Customer Base</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2">
            <w:pPr>
              <w:spacing w:after="0" w:lineRule="auto"/>
              <w:rPr/>
            </w:pPr>
            <w:r w:rsidDel="00000000" w:rsidR="00000000" w:rsidRPr="00000000">
              <w:rPr>
                <w:b w:val="1"/>
                <w:bCs w:val="1"/>
                <w:color w:val="2b6cb0"/>
                <w:sz w:val="17"/>
                <w:szCs w:val="17"/>
                <w:rtl w:val="0"/>
              </w:rPr>
              <w:t xml:space="preserve">50,000 Verified Records</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3">
            <w:pPr>
              <w:spacing w:after="0" w:lineRule="auto"/>
              <w:rPr/>
            </w:pPr>
            <w:r w:rsidDel="00000000" w:rsidR="00000000" w:rsidRPr="00000000">
              <w:rPr>
                <w:color w:val="2d3748"/>
                <w:sz w:val="17"/>
                <w:szCs w:val="17"/>
                <w:rtl w:val="0"/>
              </w:rPr>
              <w:t xml:space="preserve">Comprehensive retail transactional and telemetry dataset.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14">
            <w:pPr>
              <w:spacing w:after="0" w:lineRule="auto"/>
              <w:rPr/>
            </w:pPr>
            <w:r w:rsidDel="00000000" w:rsidR="00000000" w:rsidRPr="00000000">
              <w:rPr>
                <w:b w:val="1"/>
                <w:bCs w:val="1"/>
                <w:color w:val="1a365d"/>
                <w:sz w:val="17"/>
                <w:szCs w:val="17"/>
                <w:rtl w:val="0"/>
              </w:rPr>
              <w:t xml:space="preserve">Class Imbalance Ratio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5">
            <w:pPr>
              <w:spacing w:after="0" w:lineRule="auto"/>
              <w:rPr/>
            </w:pPr>
            <w:r w:rsidDel="00000000" w:rsidR="00000000" w:rsidRPr="00000000">
              <w:rPr>
                <w:b w:val="1"/>
                <w:bCs w:val="1"/>
                <w:color w:val="2b6cb0"/>
                <w:sz w:val="17"/>
                <w:szCs w:val="17"/>
                <w:rtl w:val="0"/>
              </w:rPr>
              <w:t xml:space="preserve">Class 0: 71.1% (~35,550) | Class 1: 28.9% (~14,450)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6">
            <w:pPr>
              <w:spacing w:after="0" w:lineRule="auto"/>
              <w:rPr/>
            </w:pPr>
            <w:r w:rsidDel="00000000" w:rsidR="00000000" w:rsidRPr="00000000">
              <w:rPr>
                <w:color w:val="2d3748"/>
                <w:sz w:val="17"/>
                <w:szCs w:val="17"/>
                <w:rtl w:val="0"/>
              </w:rPr>
              <w:t xml:space="preserve">Moderate minority class imbalance requiring cost-sensitive weighting.</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17">
            <w:pPr>
              <w:spacing w:after="0" w:lineRule="auto"/>
              <w:rPr/>
            </w:pPr>
            <w:r w:rsidDel="00000000" w:rsidR="00000000" w:rsidRPr="00000000">
              <w:rPr>
                <w:b w:val="1"/>
                <w:bCs w:val="1"/>
                <w:color w:val="1a365d"/>
                <w:sz w:val="17"/>
                <w:szCs w:val="17"/>
                <w:rtl w:val="0"/>
              </w:rPr>
              <w:t xml:space="preserve">Primary Churn Driver</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8">
            <w:pPr>
              <w:spacing w:after="0" w:lineRule="auto"/>
              <w:rPr/>
            </w:pPr>
            <w:r w:rsidDel="00000000" w:rsidR="00000000" w:rsidRPr="00000000">
              <w:rPr>
                <w:b w:val="1"/>
                <w:bCs w:val="1"/>
                <w:color w:val="2b6cb0"/>
                <w:sz w:val="17"/>
                <w:szCs w:val="17"/>
                <w:rtl w:val="0"/>
              </w:rPr>
              <w:t xml:space="preserve">High_Cart_Friction (+0.31 Correlation)</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9">
            <w:pPr>
              <w:spacing w:after="0" w:lineRule="auto"/>
              <w:rPr/>
            </w:pPr>
            <w:r w:rsidDel="00000000" w:rsidR="00000000" w:rsidRPr="00000000">
              <w:rPr>
                <w:color w:val="2d3748"/>
                <w:sz w:val="17"/>
                <w:szCs w:val="17"/>
                <w:rtl w:val="0"/>
              </w:rPr>
              <w:t xml:space="preserve">Severe checkout friction and recurring abandonment directly prompt churn.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1A">
            <w:pPr>
              <w:spacing w:after="0" w:lineRule="auto"/>
              <w:rPr/>
            </w:pPr>
            <w:r w:rsidDel="00000000" w:rsidR="00000000" w:rsidRPr="00000000">
              <w:rPr>
                <w:b w:val="1"/>
                <w:bCs w:val="1"/>
                <w:color w:val="1a365d"/>
                <w:sz w:val="17"/>
                <w:szCs w:val="17"/>
                <w:rtl w:val="0"/>
              </w:rPr>
              <w:t xml:space="preserve">Dissatisfaction Driver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B">
            <w:pPr>
              <w:spacing w:after="0" w:lineRule="auto"/>
              <w:rPr/>
            </w:pPr>
            <w:r w:rsidDel="00000000" w:rsidR="00000000" w:rsidRPr="00000000">
              <w:rPr>
                <w:b w:val="1"/>
                <w:bCs w:val="1"/>
                <w:color w:val="2b6cb0"/>
                <w:sz w:val="17"/>
                <w:szCs w:val="17"/>
                <w:rtl w:val="0"/>
              </w:rPr>
              <w:t xml:space="preserve">Customer_Service_Calls (+0.29 Correlation)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C">
            <w:pPr>
              <w:spacing w:after="0" w:lineRule="auto"/>
              <w:rPr/>
            </w:pPr>
            <w:r w:rsidDel="00000000" w:rsidR="00000000" w:rsidRPr="00000000">
              <w:rPr>
                <w:color w:val="2d3748"/>
                <w:sz w:val="17"/>
                <w:szCs w:val="17"/>
                <w:rtl w:val="0"/>
              </w:rPr>
              <w:t xml:space="preserve">Service escalations &gt; 3 calls indicate critical customer dissatisfaction.</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1D">
            <w:pPr>
              <w:spacing w:after="0" w:lineRule="auto"/>
              <w:rPr/>
            </w:pPr>
            <w:r w:rsidDel="00000000" w:rsidR="00000000" w:rsidRPr="00000000">
              <w:rPr>
                <w:b w:val="1"/>
                <w:bCs w:val="1"/>
                <w:color w:val="1a365d"/>
                <w:sz w:val="17"/>
                <w:szCs w:val="17"/>
                <w:rtl w:val="0"/>
              </w:rPr>
              <w:t xml:space="preserve">Retention Anchor</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E">
            <w:pPr>
              <w:spacing w:after="0" w:lineRule="auto"/>
              <w:rPr/>
            </w:pPr>
            <w:r w:rsidDel="00000000" w:rsidR="00000000" w:rsidRPr="00000000">
              <w:rPr>
                <w:b w:val="1"/>
                <w:bCs w:val="1"/>
                <w:color w:val="2b6cb0"/>
                <w:sz w:val="17"/>
                <w:szCs w:val="17"/>
                <w:rtl w:val="0"/>
              </w:rPr>
              <w:t xml:space="preserve">Digital_Engagement_Composite (-0.25 Correlation)</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1F">
            <w:pPr>
              <w:spacing w:after="0" w:lineRule="auto"/>
              <w:rPr/>
            </w:pPr>
            <w:r w:rsidDel="00000000" w:rsidR="00000000" w:rsidRPr="00000000">
              <w:rPr>
                <w:color w:val="2d3748"/>
                <w:sz w:val="17"/>
                <w:szCs w:val="17"/>
                <w:rtl w:val="0"/>
              </w:rPr>
              <w:t xml:space="preserve">Multichannel mobile app, login, and email activity strongly anchor retention.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0">
            <w:pPr>
              <w:spacing w:after="0" w:lineRule="auto"/>
              <w:rPr/>
            </w:pPr>
            <w:r w:rsidDel="00000000" w:rsidR="00000000" w:rsidRPr="00000000">
              <w:rPr>
                <w:b w:val="1"/>
                <w:bCs w:val="1"/>
                <w:color w:val="1a365d"/>
                <w:sz w:val="17"/>
                <w:szCs w:val="17"/>
                <w:rtl w:val="0"/>
              </w:rPr>
              <w:t xml:space="preserve">Baseline Linear Benchmark</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1">
            <w:pPr>
              <w:spacing w:after="0" w:lineRule="auto"/>
              <w:rPr/>
            </w:pPr>
            <w:r w:rsidDel="00000000" w:rsidR="00000000" w:rsidRPr="00000000">
              <w:rPr>
                <w:b w:val="1"/>
                <w:bCs w:val="1"/>
                <w:color w:val="2b6cb0"/>
                <w:sz w:val="17"/>
                <w:szCs w:val="17"/>
                <w:rtl w:val="0"/>
              </w:rPr>
              <w:t xml:space="preserve">ROC-AUC: 0.7996 | PR-AUC: 0.6419</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2">
            <w:pPr>
              <w:spacing w:after="0" w:lineRule="auto"/>
              <w:rPr/>
            </w:pPr>
            <w:r w:rsidDel="00000000" w:rsidR="00000000" w:rsidRPr="00000000">
              <w:rPr>
                <w:color w:val="2d3748"/>
                <w:sz w:val="17"/>
                <w:szCs w:val="17"/>
                <w:rtl w:val="0"/>
              </w:rPr>
              <w:t xml:space="preserve">Standard Logistic Regression baseline with balanced weighting.</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23">
            <w:pPr>
              <w:spacing w:after="0" w:lineRule="auto"/>
              <w:rPr/>
            </w:pPr>
            <w:r w:rsidDel="00000000" w:rsidR="00000000" w:rsidRPr="00000000">
              <w:rPr>
                <w:b w:val="1"/>
                <w:bCs w:val="1"/>
                <w:color w:val="1a365d"/>
                <w:sz w:val="17"/>
                <w:szCs w:val="17"/>
                <w:rtl w:val="0"/>
              </w:rPr>
              <w:t xml:space="preserve">Production LightGBM Model</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24">
            <w:pPr>
              <w:spacing w:after="0" w:lineRule="auto"/>
              <w:rPr/>
            </w:pPr>
            <w:r w:rsidDel="00000000" w:rsidR="00000000" w:rsidRPr="00000000">
              <w:rPr>
                <w:b w:val="1"/>
                <w:bCs w:val="1"/>
                <w:color w:val="2b6cb0"/>
                <w:sz w:val="17"/>
                <w:szCs w:val="17"/>
                <w:rtl w:val="0"/>
              </w:rPr>
              <w:t xml:space="preserve">ROC-AUC: 0.9029 | PR-AUC: 0.8660</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25">
            <w:pPr>
              <w:spacing w:after="0" w:lineRule="auto"/>
              <w:rPr/>
            </w:pPr>
            <w:r w:rsidDel="00000000" w:rsidR="00000000" w:rsidRPr="00000000">
              <w:rPr>
                <w:color w:val="2d3748"/>
                <w:sz w:val="17"/>
                <w:szCs w:val="17"/>
                <w:rtl w:val="0"/>
              </w:rPr>
              <w:t xml:space="preserve">Non-linear gradient boosting yielding +34.9% PR-AUC gain over baseline.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6">
            <w:pPr>
              <w:spacing w:after="0" w:lineRule="auto"/>
              <w:rPr/>
            </w:pPr>
            <w:r w:rsidDel="00000000" w:rsidR="00000000" w:rsidRPr="00000000">
              <w:rPr>
                <w:b w:val="1"/>
                <w:bCs w:val="1"/>
                <w:color w:val="1a365d"/>
                <w:sz w:val="17"/>
                <w:szCs w:val="17"/>
                <w:rtl w:val="0"/>
              </w:rPr>
              <w:t xml:space="preserve">Minority Class Precision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7">
            <w:pPr>
              <w:spacing w:after="0" w:lineRule="auto"/>
              <w:rPr/>
            </w:pPr>
            <w:r w:rsidDel="00000000" w:rsidR="00000000" w:rsidRPr="00000000">
              <w:rPr>
                <w:b w:val="1"/>
                <w:bCs w:val="1"/>
                <w:color w:val="2b6cb0"/>
                <w:sz w:val="17"/>
                <w:szCs w:val="17"/>
                <w:rtl w:val="0"/>
              </w:rPr>
              <w:t xml:space="preserve">78.44% (LightGBM) vs. 53.46% (Logistic Reg)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8">
            <w:pPr>
              <w:spacing w:after="0" w:lineRule="auto"/>
              <w:rPr/>
            </w:pPr>
            <w:r w:rsidDel="00000000" w:rsidR="00000000" w:rsidRPr="00000000">
              <w:rPr>
                <w:color w:val="2d3748"/>
                <w:sz w:val="17"/>
                <w:szCs w:val="17"/>
                <w:rtl w:val="0"/>
              </w:rPr>
              <w:t xml:space="preserve">+46.7% precision leap, dramatically minimizing costly false alarms.</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29">
            <w:pPr>
              <w:spacing w:after="0" w:lineRule="auto"/>
              <w:rPr/>
            </w:pPr>
            <w:r w:rsidDel="00000000" w:rsidR="00000000" w:rsidRPr="00000000">
              <w:rPr>
                <w:b w:val="1"/>
                <w:bCs w:val="1"/>
                <w:color w:val="1a365d"/>
                <w:sz w:val="17"/>
                <w:szCs w:val="17"/>
                <w:rtl w:val="0"/>
              </w:rPr>
              <w:t xml:space="preserve">Minority Class Recall</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2A">
            <w:pPr>
              <w:spacing w:after="0" w:lineRule="auto"/>
              <w:rPr/>
            </w:pPr>
            <w:r w:rsidDel="00000000" w:rsidR="00000000" w:rsidRPr="00000000">
              <w:rPr>
                <w:b w:val="1"/>
                <w:bCs w:val="1"/>
                <w:color w:val="2b6cb0"/>
                <w:sz w:val="17"/>
                <w:szCs w:val="17"/>
                <w:rtl w:val="0"/>
              </w:rPr>
              <w:t xml:space="preserve">77.54% (LightGBM) vs. 72.11% (Logistic Reg)</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2B">
            <w:pPr>
              <w:spacing w:after="0" w:lineRule="auto"/>
              <w:rPr/>
            </w:pPr>
            <w:r w:rsidDel="00000000" w:rsidR="00000000" w:rsidRPr="00000000">
              <w:rPr>
                <w:color w:val="2d3748"/>
                <w:sz w:val="17"/>
                <w:szCs w:val="17"/>
                <w:rtl w:val="0"/>
              </w:rPr>
              <w:t xml:space="preserve">Captures ~78% of all true churning accounts for proactive intervention.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C">
            <w:pPr>
              <w:spacing w:after="0" w:lineRule="auto"/>
              <w:rPr/>
            </w:pPr>
            <w:r w:rsidDel="00000000" w:rsidR="00000000" w:rsidRPr="00000000">
              <w:rPr>
                <w:b w:val="1"/>
                <w:bCs w:val="1"/>
                <w:color w:val="1a365d"/>
                <w:sz w:val="17"/>
                <w:szCs w:val="17"/>
                <w:rtl w:val="0"/>
              </w:rPr>
              <w:t xml:space="preserve">Production Artifact &amp; API</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D">
            <w:pPr>
              <w:spacing w:after="0" w:lineRule="auto"/>
              <w:rPr/>
            </w:pPr>
            <w:r w:rsidDel="00000000" w:rsidR="00000000" w:rsidRPr="00000000">
              <w:rPr>
                <w:b w:val="1"/>
                <w:bCs w:val="1"/>
                <w:color w:val="2b6cb0"/>
                <w:sz w:val="17"/>
                <w:szCs w:val="17"/>
                <w:rtl w:val="0"/>
              </w:rPr>
              <w:t xml:space="preserve">churn_production_pipeline.joblib + FastAPI</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E">
            <w:pPr>
              <w:spacing w:after="0" w:lineRule="auto"/>
              <w:rPr/>
            </w:pPr>
            <w:r w:rsidDel="00000000" w:rsidR="00000000" w:rsidRPr="00000000">
              <w:rPr>
                <w:color w:val="2d3748"/>
                <w:sz w:val="17"/>
                <w:szCs w:val="17"/>
                <w:rtl w:val="0"/>
              </w:rPr>
              <w:t xml:space="preserve">Zero-leakage Scikit-Learn pipeline deployed with sub-millisecond serving.</w:t>
            </w:r>
            <w:r w:rsidDel="00000000" w:rsidR="00000000" w:rsidRPr="00000000">
              <w:rPr>
                <w:rtl w:val="0"/>
              </w:rPr>
            </w:r>
          </w:p>
        </w:tc>
      </w:tr>
    </w:tbl>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pStyle w:val="Heading1"/>
        <w:keepNext w:val="1"/>
        <w:spacing w:after="120" w:before="280" w:lineRule="auto"/>
        <w:rPr/>
      </w:pPr>
      <w:bookmarkStart w:colFirst="0" w:colLast="0" w:name="_heading=h.h1mra72nojl2" w:id="1"/>
      <w:bookmarkEnd w:id="1"/>
      <w:r w:rsidDel="00000000" w:rsidR="00000000" w:rsidRPr="00000000">
        <w:rPr>
          <w:b w:val="1"/>
          <w:bCs w:val="1"/>
          <w:color w:val="1a365d"/>
          <w:sz w:val="30"/>
          <w:szCs w:val="30"/>
          <w:rtl w:val="0"/>
        </w:rPr>
        <w:t xml:space="preserve">2. Data Ingestion, Hygiene &amp; Class Imbalance Audit</w:t>
      </w:r>
      <w:r w:rsidDel="00000000" w:rsidR="00000000" w:rsidRPr="00000000">
        <w:rPr>
          <w:rtl w:val="0"/>
        </w:rPr>
      </w:r>
    </w:p>
    <w:p w:rsidR="00000000" w:rsidDel="00000000" w:rsidP="00000000" w:rsidRDefault="00000000" w:rsidRPr="00000000" w14:paraId="00000031">
      <w:pPr>
        <w:spacing w:after="120" w:line="276" w:lineRule="auto"/>
        <w:rPr/>
      </w:pPr>
      <w:r w:rsidDel="00000000" w:rsidR="00000000" w:rsidRPr="00000000">
        <w:rPr>
          <w:rtl w:val="0"/>
        </w:rPr>
        <w:t xml:space="preserve">To establish an industry-standard, reproducible machine learning baseline, the raw dataset underwent comprehensive diagnostic audits and sanitization across Module 01 (01_data_cleaning_and_validation.ipynb). The data hygiene protocol addressed three foundational vectors:</w:t>
        <w:br w:type="textWrapping"/>
        <w:t xml:space="preserve">• Identification &amp; Removal of Primary Keys: Feature 'Customer_ID' was discarded to eliminate memorization and non-generalizable index bias.</w:t>
        <w:br w:type="textWrapping"/>
        <w:t xml:space="preserve">• Schema Validation &amp; Null Audit: Verified zero missing records across numeric engagement telemetry and categorical attributes, confirming complete dataset integrity.</w:t>
        <w:br w:type="textWrapping"/>
        <w:t xml:space="preserve">• Empirical Target Imbalance Verification: Target variable 'Churned' was quantified across all 50,000 customers. Figure 1 establishes that 35,550 customers remained active (Class 0: Retained, 71.1%) whereas 14,450 customers churned (Class 1: Churned, 28.9%).</w:t>
      </w:r>
    </w:p>
    <w:p w:rsidR="00000000" w:rsidDel="00000000" w:rsidP="00000000" w:rsidRDefault="00000000" w:rsidRPr="00000000" w14:paraId="00000032">
      <w:pPr>
        <w:spacing w:after="80" w:before="120" w:lineRule="auto"/>
        <w:jc w:val="center"/>
        <w:rPr/>
      </w:pPr>
      <w:r w:rsidDel="00000000" w:rsidR="00000000" w:rsidRPr="00000000">
        <w:rPr/>
        <w:drawing>
          <wp:inline distB="0" distT="0" distL="114300" distR="114300">
            <wp:extent cx="5029200" cy="25146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jc w:val="center"/>
        <w:rPr/>
      </w:pPr>
      <w:r w:rsidDel="00000000" w:rsidR="00000000" w:rsidRPr="00000000">
        <w:rPr>
          <w:i w:val="1"/>
          <w:iCs w:val="1"/>
          <w:color w:val="718096"/>
          <w:sz w:val="17"/>
          <w:szCs w:val="17"/>
          <w:rtl w:val="0"/>
        </w:rPr>
        <w:t xml:space="preserve">Figure 1: Target Variable Distribution (Class 0: Retained vs. Class 1: Churned) [Generated from 01_data_cleaning_and_validation.ipynb]</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edf2f7" w:val="clear"/>
            <w:tcMar>
              <w:top w:w="140.0" w:type="dxa"/>
              <w:left w:w="200.0" w:type="dxa"/>
              <w:bottom w:w="140.0" w:type="dxa"/>
              <w:right w:w="180.0" w:type="dxa"/>
            </w:tcMar>
          </w:tcPr>
          <w:p w:rsidR="00000000" w:rsidDel="00000000" w:rsidP="00000000" w:rsidRDefault="00000000" w:rsidRPr="00000000" w14:paraId="00000034">
            <w:pPr>
              <w:spacing w:after="40" w:before="40" w:lineRule="auto"/>
              <w:rPr/>
            </w:pPr>
            <w:r w:rsidDel="00000000" w:rsidR="00000000" w:rsidRPr="00000000">
              <w:rPr>
                <w:b w:val="1"/>
                <w:bCs w:val="1"/>
                <w:color w:val="2b6cb0"/>
                <w:sz w:val="20"/>
                <w:szCs w:val="20"/>
                <w:rtl w:val="0"/>
              </w:rPr>
              <w:t xml:space="preserve">📌 IMBALANCE MITIGATION &amp; METRIC SELECTION: </w:t>
            </w:r>
            <w:r w:rsidDel="00000000" w:rsidR="00000000" w:rsidRPr="00000000">
              <w:rPr>
                <w:color w:val="2d3748"/>
                <w:sz w:val="20"/>
                <w:szCs w:val="20"/>
                <w:rtl w:val="0"/>
              </w:rPr>
              <w:t xml:space="preserve">In a ~29% minority churn setting, a naive classifier predicting all zeros achieves 71.1% accuracy while failing 100% of business retention objectives. Consequently, model optimization was strictly decoupled from standard accuracy and anchored upon PR-AUC (Average Precision), ROC-AUC, and minority recall, utilizing balanced class-weighted cost functions.</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1"/>
        <w:keepNext w:val="1"/>
        <w:spacing w:after="120" w:before="280" w:lineRule="auto"/>
        <w:rPr/>
      </w:pPr>
      <w:bookmarkStart w:colFirst="0" w:colLast="0" w:name="_heading=h.ar2exwh1rife" w:id="2"/>
      <w:bookmarkEnd w:id="2"/>
      <w:r w:rsidDel="00000000" w:rsidR="00000000" w:rsidRPr="00000000">
        <w:rPr>
          <w:b w:val="1"/>
          <w:bCs w:val="1"/>
          <w:color w:val="1a365d"/>
          <w:sz w:val="30"/>
          <w:szCs w:val="30"/>
          <w:rtl w:val="0"/>
        </w:rPr>
        <w:t xml:space="preserve">3. Exploratory Data Analysis &amp; Causal Behavioral Dynamics</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tl w:val="0"/>
        </w:rPr>
        <w:t xml:space="preserve">Exploratory Data Analysis in Module 02 (02_exploratory_data_analysis.ipynb) explored customer behavioral patterns to isolate structural drivers of attrition. Cross-feature bivariate correlation analysis demonstrates that operational and checkout friction overwhelmingly drive customer disengagement:</w:t>
      </w:r>
    </w:p>
    <w:p w:rsidR="00000000" w:rsidDel="00000000" w:rsidP="00000000" w:rsidRDefault="00000000" w:rsidRPr="00000000" w14:paraId="00000038">
      <w:pPr>
        <w:spacing w:after="80" w:before="120" w:lineRule="auto"/>
        <w:jc w:val="center"/>
        <w:rPr/>
      </w:pPr>
      <w:r w:rsidDel="00000000" w:rsidR="00000000" w:rsidRPr="00000000">
        <w:rPr/>
        <w:drawing>
          <wp:inline distB="0" distT="0" distL="114300" distR="114300">
            <wp:extent cx="5029200" cy="25146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Rule="auto"/>
        <w:jc w:val="center"/>
        <w:rPr/>
      </w:pPr>
      <w:r w:rsidDel="00000000" w:rsidR="00000000" w:rsidRPr="00000000">
        <w:rPr>
          <w:i w:val="1"/>
          <w:iCs w:val="1"/>
          <w:color w:val="718096"/>
          <w:sz w:val="17"/>
          <w:szCs w:val="17"/>
          <w:rtl w:val="0"/>
        </w:rPr>
        <w:t xml:space="preserve">Figure 2: Top Positive &amp; Negative Feature Correlations with Churn [Generated from 02_exploratory_data_analysis.ipynb]</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tl w:val="0"/>
        </w:rPr>
        <w:t xml:space="preserve">Detailed inspection of Figure 2 reveals three clear behavioral dimensions:</w:t>
        <w:br w:type="textWrapping"/>
        <w:t xml:space="preserve">1. Leading Friction Vectors (Positive Correlation): High_Cart_Friction (+0.31), Customer_Service_Calls (+0.29), and Cart_Abandonment_Rate (+0.28) represent the primary friction mechanisms. When customers experience friction during transaction execution or require repeated support resolutions, propensity to churn elevates sharply.</w:t>
        <w:br w:type="textWrapping"/>
        <w:t xml:space="preserve">2. Primary Engagement Anchors (Negative Correlation): Digital_Engagement_Composite (-0.25), Session_Duration_Avg (-0.22), Pages_Per_Session (-0.22), and Mobile_App_Usage (-0.21) exhibit strong inverse correlation with churn, proving that frequent, friction-free platform immersion acts as a potent retention anchor.</w:t>
        <w:br w:type="textWrapping"/>
        <w:t xml:space="preserve">3. Recency &amp; Latency Indicators: Days_Since_Last_Purchase (+0.15) and Is_Dormant_90Days (+0.10) highlight lapse velocity, signifying that extended periods without transaction activity signal impending permanent churn.</w:t>
      </w:r>
    </w:p>
    <w:p w:rsidR="00000000" w:rsidDel="00000000" w:rsidP="00000000" w:rsidRDefault="00000000" w:rsidRPr="00000000" w14:paraId="0000003B">
      <w:pPr>
        <w:spacing w:after="80" w:before="120" w:lineRule="auto"/>
        <w:jc w:val="center"/>
        <w:rPr/>
      </w:pPr>
      <w:r w:rsidDel="00000000" w:rsidR="00000000" w:rsidRPr="00000000">
        <w:rPr/>
        <w:drawing>
          <wp:inline distB="0" distT="0" distL="114300" distR="114300">
            <wp:extent cx="5029200" cy="201168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292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pPr>
      <w:r w:rsidDel="00000000" w:rsidR="00000000" w:rsidRPr="00000000">
        <w:rPr>
          <w:i w:val="1"/>
          <w:iCs w:val="1"/>
          <w:color w:val="718096"/>
          <w:sz w:val="17"/>
          <w:szCs w:val="17"/>
          <w:rtl w:val="0"/>
        </w:rPr>
        <w:t xml:space="preserve">Figure 3: Interquartile Dispersion Shift in Customer Service Calls and Cart Abandonment Rate by Churn Status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tl w:val="0"/>
        </w:rPr>
        <w:t xml:space="preserve">The boxplot distributions in Figure 3 substantiate this behavioral divergence. Non-churned customers exhibit a median Customer_Service_Calls count of 5.0 (IQR: 3.0 to 7.0), whereas churned customers shift upward to a median of 7.0 calls (IQR: 5.0 to 8.0) with significant high-frequency outliers extending to 21 calls. Similarly, Cart_Abandonment_Rate median rises from 56.0% among retained users to 67.0% among churned users, demonstrating that chronic checkout abandonment is a direct precursor to account attrition.</w:t>
      </w:r>
    </w:p>
    <w:p w:rsidR="00000000" w:rsidDel="00000000" w:rsidP="00000000" w:rsidRDefault="00000000" w:rsidRPr="00000000" w14:paraId="0000003E">
      <w:pPr>
        <w:pStyle w:val="Heading1"/>
        <w:keepNext w:val="1"/>
        <w:spacing w:after="120" w:before="280" w:lineRule="auto"/>
        <w:rPr/>
      </w:pPr>
      <w:bookmarkStart w:colFirst="0" w:colLast="0" w:name="_heading=h.9rl8g3ma6cnj" w:id="3"/>
      <w:bookmarkEnd w:id="3"/>
      <w:r w:rsidDel="00000000" w:rsidR="00000000" w:rsidRPr="00000000">
        <w:rPr>
          <w:b w:val="1"/>
          <w:bCs w:val="1"/>
          <w:color w:val="1a365d"/>
          <w:sz w:val="30"/>
          <w:szCs w:val="30"/>
          <w:rtl w:val="0"/>
        </w:rPr>
        <w:t xml:space="preserve">4. Demographic Noise Elimination &amp; Multicollinearity Audit</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tl w:val="0"/>
        </w:rPr>
        <w:t xml:space="preserve">A cornerstone of production machine learning is empirical feature selection—eliminating non-informative noise and redundant multicollinear telemetry. In Module 03 (03_feature_engineering_and_selection.ipynb), demographic and geographic features were audited against churn rate.</w:t>
      </w:r>
    </w:p>
    <w:p w:rsidR="00000000" w:rsidDel="00000000" w:rsidP="00000000" w:rsidRDefault="00000000" w:rsidRPr="00000000" w14:paraId="00000040">
      <w:pPr>
        <w:spacing w:after="80" w:before="120" w:lineRule="auto"/>
        <w:jc w:val="center"/>
        <w:rPr/>
      </w:pPr>
      <w:r w:rsidDel="00000000" w:rsidR="00000000" w:rsidRPr="00000000">
        <w:rPr/>
        <w:drawing>
          <wp:inline distB="0" distT="0" distL="114300" distR="114300">
            <wp:extent cx="5029200" cy="25146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Rule="auto"/>
        <w:jc w:val="center"/>
        <w:rPr/>
      </w:pPr>
      <w:r w:rsidDel="00000000" w:rsidR="00000000" w:rsidRPr="00000000">
        <w:rPr>
          <w:i w:val="1"/>
          <w:iCs w:val="1"/>
          <w:color w:val="718096"/>
          <w:sz w:val="17"/>
          <w:szCs w:val="17"/>
          <w:rtl w:val="0"/>
        </w:rPr>
        <w:t xml:space="preserve">Figure 4: Churn Rate (%) Across Geographic Jurisdictions Demonstrating Statistical Invariance</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edf2f7" w:val="clear"/>
            <w:tcMar>
              <w:top w:w="140.0" w:type="dxa"/>
              <w:left w:w="200.0" w:type="dxa"/>
              <w:bottom w:w="140.0" w:type="dxa"/>
              <w:right w:w="180.0" w:type="dxa"/>
            </w:tcMar>
          </w:tcPr>
          <w:p w:rsidR="00000000" w:rsidDel="00000000" w:rsidP="00000000" w:rsidRDefault="00000000" w:rsidRPr="00000000" w14:paraId="00000042">
            <w:pPr>
              <w:spacing w:after="40" w:before="40" w:lineRule="auto"/>
              <w:rPr/>
            </w:pPr>
            <w:r w:rsidDel="00000000" w:rsidR="00000000" w:rsidRPr="00000000">
              <w:rPr>
                <w:b w:val="1"/>
                <w:bCs w:val="1"/>
                <w:color w:val="2b6cb0"/>
                <w:sz w:val="20"/>
                <w:szCs w:val="20"/>
                <w:rtl w:val="0"/>
              </w:rPr>
              <w:t xml:space="preserve">📌 EMPIRICAL JUSTIFICATION FOR DEMOGRAPHIC EXCLUSION: </w:t>
            </w:r>
            <w:r w:rsidDel="00000000" w:rsidR="00000000" w:rsidRPr="00000000">
              <w:rPr>
                <w:color w:val="2d3748"/>
                <w:sz w:val="20"/>
                <w:szCs w:val="20"/>
                <w:rtl w:val="0"/>
              </w:rPr>
              <w:t xml:space="preserve">Figure 4 reveals that churn rates across all eight major operational jurisdictions (Australia, Canada, France, Germany, India, Japan, UK, USA) remain rigidly locked within a narrow 27.2% to 29.8% band. Combined with near-zero correlation across Age and Gender, retaining high-cardinality demographic columns (City, Country) would introduce severe dimensionality bloat and high-variance overfitting. Consequently, Customer_ID, Country, City, Gender, Age, and Signup_Quarter were eliminated.</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80" w:before="120" w:lineRule="auto"/>
        <w:jc w:val="center"/>
        <w:rPr/>
      </w:pPr>
      <w:r w:rsidDel="00000000" w:rsidR="00000000" w:rsidRPr="00000000">
        <w:rPr/>
        <w:drawing>
          <wp:inline distB="0" distT="0" distL="114300" distR="114300">
            <wp:extent cx="4754880" cy="3166824"/>
            <wp:effectExtent b="0" l="0" r="0" t="0"/>
            <wp:docPr id="1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754880" cy="316682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Rule="auto"/>
        <w:jc w:val="center"/>
        <w:rPr/>
      </w:pPr>
      <w:r w:rsidDel="00000000" w:rsidR="00000000" w:rsidRPr="00000000">
        <w:rPr>
          <w:i w:val="1"/>
          <w:iCs w:val="1"/>
          <w:color w:val="718096"/>
          <w:sz w:val="17"/>
          <w:szCs w:val="17"/>
          <w:rtl w:val="0"/>
        </w:rPr>
        <w:t xml:space="preserve">Figure 5: High-Density Cross-Feature Correlation Matrix Highlighting Telemetry Multicollinearity</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Multicollinearity Diagnostics: The cross-correlation heatmap (Figure 5) reveals severe collinear redundancy among raw telemetry features: Session_Duration_Avg, Pages_Per_Session, and Mobile_App_Usage exhibit pairwise correlations between r = 0.67 and r = 0.87. To prevent variance inflation and linear instability, these raw metrics were mathematically synthesized into domain-engineered ratios:</w:t>
        <w:br w:type="textWrapping"/>
        <w:t xml:space="preserve">• Digital_Engagement_Composite: Linear weighting of Mobile_App_Usage (40%), Email_Open_Rate (30%), and Login_Frequency (30%).</w:t>
        <w:br w:type="textWrapping"/>
        <w:t xml:space="preserve">• High_Cart_Friction: Binary indicator flagging persistent cart abandonment above the 75th percentile.</w:t>
        <w:br w:type="textWrapping"/>
        <w:t xml:space="preserve">• Engagement_Friction_Ratio &amp; Annual_Monetary_Velocity: Capturing customer interaction density against service bottlenecks and spending velocity.</w:t>
      </w:r>
    </w:p>
    <w:p w:rsidR="00000000" w:rsidDel="00000000" w:rsidP="00000000" w:rsidRDefault="00000000" w:rsidRPr="00000000" w14:paraId="00000047">
      <w:pPr>
        <w:pStyle w:val="Heading1"/>
        <w:keepNext w:val="1"/>
        <w:spacing w:after="120" w:before="280" w:lineRule="auto"/>
        <w:rPr/>
      </w:pPr>
      <w:bookmarkStart w:colFirst="0" w:colLast="0" w:name="_heading=h.jicl0zbj7mu9" w:id="4"/>
      <w:bookmarkEnd w:id="4"/>
      <w:r w:rsidDel="00000000" w:rsidR="00000000" w:rsidRPr="00000000">
        <w:rPr>
          <w:b w:val="1"/>
          <w:bCs w:val="1"/>
          <w:color w:val="1a365d"/>
          <w:sz w:val="30"/>
          <w:szCs w:val="30"/>
          <w:rtl w:val="0"/>
        </w:rPr>
        <w:t xml:space="preserve">5. Production Modeling, Benchmarking &amp; Performance Curves</w:t>
      </w:r>
      <w:r w:rsidDel="00000000" w:rsidR="00000000" w:rsidRPr="00000000">
        <w:rPr>
          <w:rtl w:val="0"/>
        </w:rPr>
      </w:r>
    </w:p>
    <w:p w:rsidR="00000000" w:rsidDel="00000000" w:rsidP="00000000" w:rsidRDefault="00000000" w:rsidRPr="00000000" w14:paraId="00000048">
      <w:pPr>
        <w:spacing w:after="120" w:line="276" w:lineRule="auto"/>
        <w:rPr/>
      </w:pPr>
      <w:r w:rsidDel="00000000" w:rsidR="00000000" w:rsidRPr="00000000">
        <w:rPr>
          <w:rtl w:val="0"/>
        </w:rPr>
        <w:t xml:space="preserve">In Module 04 (04_model_training_and_pipeline.ipynb), clean features were partitioned using a Stratified 80/20 Train-Test Split (Train: 40,000; Test: 10,000) preserving exact class ratios. To guarantee strict leakage-free execution, all transformations were encapsulated within Scikit-Learn Pipelines. A baseline Logistic Regression model was trained and compared against an optimized LightGBM Classifier.</w:t>
      </w:r>
    </w:p>
    <w:p w:rsidR="00000000" w:rsidDel="00000000" w:rsidP="00000000" w:rsidRDefault="00000000" w:rsidRPr="00000000" w14:paraId="00000049">
      <w:pPr>
        <w:spacing w:after="80" w:before="120" w:lineRule="auto"/>
        <w:jc w:val="center"/>
        <w:rPr/>
      </w:pPr>
      <w:r w:rsidDel="00000000" w:rsidR="00000000" w:rsidRPr="00000000">
        <w:rPr/>
        <w:drawing>
          <wp:inline distB="0" distT="0" distL="114300" distR="114300">
            <wp:extent cx="5029200" cy="2008733"/>
            <wp:effectExtent b="0" l="0" r="0" t="0"/>
            <wp:docPr id="1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029200" cy="200873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Rule="auto"/>
        <w:jc w:val="center"/>
        <w:rPr/>
      </w:pPr>
      <w:r w:rsidDel="00000000" w:rsidR="00000000" w:rsidRPr="00000000">
        <w:rPr>
          <w:i w:val="1"/>
          <w:iCs w:val="1"/>
          <w:color w:val="718096"/>
          <w:sz w:val="17"/>
          <w:szCs w:val="17"/>
          <w:rtl w:val="0"/>
        </w:rPr>
        <w:t xml:space="preserve">Figure 6: Comparative Performance Curves (ROC-AUC &amp; Precision-Recall Curves) [Generated from 04_model_training_and_pipeline.ipynb]</w:t>
      </w:r>
      <w:r w:rsidDel="00000000" w:rsidR="00000000" w:rsidRPr="00000000">
        <w:rPr>
          <w:rtl w:val="0"/>
        </w:rPr>
      </w:r>
    </w:p>
    <w:tbl>
      <w:tblPr>
        <w:tblStyle w:val="Table5"/>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365d" w:val="clear"/>
            <w:tcMar>
              <w:top w:w="90.0" w:type="dxa"/>
              <w:left w:w="100.0" w:type="dxa"/>
              <w:bottom w:w="90.0" w:type="dxa"/>
              <w:right w:w="100.0" w:type="dxa"/>
            </w:tcMar>
          </w:tcPr>
          <w:p w:rsidR="00000000" w:rsidDel="00000000" w:rsidP="00000000" w:rsidRDefault="00000000" w:rsidRPr="00000000" w14:paraId="0000004B">
            <w:pPr>
              <w:spacing w:after="0" w:lineRule="auto"/>
              <w:rPr/>
            </w:pPr>
            <w:r w:rsidDel="00000000" w:rsidR="00000000" w:rsidRPr="00000000">
              <w:rPr>
                <w:b w:val="1"/>
                <w:bCs w:val="1"/>
                <w:color w:val="ffffff"/>
                <w:sz w:val="18"/>
                <w:szCs w:val="18"/>
                <w:rtl w:val="0"/>
              </w:rPr>
              <w:t xml:space="preserve">Performance Metric Dimension</w:t>
            </w:r>
            <w:r w:rsidDel="00000000" w:rsidR="00000000" w:rsidRPr="00000000">
              <w:rPr>
                <w:rtl w:val="0"/>
              </w:rPr>
            </w:r>
          </w:p>
        </w:tc>
        <w:tc>
          <w:tcPr>
            <w:shd w:fill="1a365d" w:val="clear"/>
            <w:tcMar>
              <w:top w:w="90.0" w:type="dxa"/>
              <w:left w:w="100.0" w:type="dxa"/>
              <w:bottom w:w="90.0" w:type="dxa"/>
              <w:right w:w="100.0" w:type="dxa"/>
            </w:tcMar>
          </w:tcPr>
          <w:p w:rsidR="00000000" w:rsidDel="00000000" w:rsidP="00000000" w:rsidRDefault="00000000" w:rsidRPr="00000000" w14:paraId="0000004C">
            <w:pPr>
              <w:spacing w:after="0" w:lineRule="auto"/>
              <w:rPr/>
            </w:pPr>
            <w:r w:rsidDel="00000000" w:rsidR="00000000" w:rsidRPr="00000000">
              <w:rPr>
                <w:b w:val="1"/>
                <w:bCs w:val="1"/>
                <w:color w:val="ffffff"/>
                <w:sz w:val="18"/>
                <w:szCs w:val="18"/>
                <w:rtl w:val="0"/>
              </w:rPr>
              <w:t xml:space="preserve">Logistic Regression (Baseline)</w:t>
            </w:r>
            <w:r w:rsidDel="00000000" w:rsidR="00000000" w:rsidRPr="00000000">
              <w:rPr>
                <w:rtl w:val="0"/>
              </w:rPr>
            </w:r>
          </w:p>
        </w:tc>
        <w:tc>
          <w:tcPr>
            <w:shd w:fill="1a365d" w:val="clear"/>
            <w:tcMar>
              <w:top w:w="90.0" w:type="dxa"/>
              <w:left w:w="100.0" w:type="dxa"/>
              <w:bottom w:w="90.0" w:type="dxa"/>
              <w:right w:w="100.0" w:type="dxa"/>
            </w:tcMar>
          </w:tcPr>
          <w:p w:rsidR="00000000" w:rsidDel="00000000" w:rsidP="00000000" w:rsidRDefault="00000000" w:rsidRPr="00000000" w14:paraId="0000004D">
            <w:pPr>
              <w:spacing w:after="0" w:lineRule="auto"/>
              <w:rPr/>
            </w:pPr>
            <w:r w:rsidDel="00000000" w:rsidR="00000000" w:rsidRPr="00000000">
              <w:rPr>
                <w:b w:val="1"/>
                <w:bCs w:val="1"/>
                <w:color w:val="ffffff"/>
                <w:sz w:val="18"/>
                <w:szCs w:val="18"/>
                <w:rtl w:val="0"/>
              </w:rPr>
              <w:t xml:space="preserve">LightGBM Classifier (Production)</w:t>
            </w:r>
            <w:r w:rsidDel="00000000" w:rsidR="00000000" w:rsidRPr="00000000">
              <w:rPr>
                <w:rtl w:val="0"/>
              </w:rPr>
            </w:r>
          </w:p>
        </w:tc>
        <w:tc>
          <w:tcPr>
            <w:shd w:fill="1a365d" w:val="clear"/>
            <w:tcMar>
              <w:top w:w="90.0" w:type="dxa"/>
              <w:left w:w="100.0" w:type="dxa"/>
              <w:bottom w:w="90.0" w:type="dxa"/>
              <w:right w:w="100.0" w:type="dxa"/>
            </w:tcMar>
          </w:tcPr>
          <w:p w:rsidR="00000000" w:rsidDel="00000000" w:rsidP="00000000" w:rsidRDefault="00000000" w:rsidRPr="00000000" w14:paraId="0000004E">
            <w:pPr>
              <w:spacing w:after="0" w:lineRule="auto"/>
              <w:rPr/>
            </w:pPr>
            <w:r w:rsidDel="00000000" w:rsidR="00000000" w:rsidRPr="00000000">
              <w:rPr>
                <w:b w:val="1"/>
                <w:bCs w:val="1"/>
                <w:color w:val="ffffff"/>
                <w:sz w:val="18"/>
                <w:szCs w:val="18"/>
                <w:rtl w:val="0"/>
              </w:rPr>
              <w:t xml:space="preserve">Relative Gain / Industrial Value</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4F">
            <w:pPr>
              <w:spacing w:after="0" w:lineRule="auto"/>
              <w:rPr/>
            </w:pPr>
            <w:r w:rsidDel="00000000" w:rsidR="00000000" w:rsidRPr="00000000">
              <w:rPr>
                <w:b w:val="1"/>
                <w:bCs w:val="1"/>
                <w:color w:val="1a365d"/>
                <w:sz w:val="17"/>
                <w:szCs w:val="17"/>
                <w:rtl w:val="0"/>
              </w:rPr>
              <w:t xml:space="preserve">ROC-AUC Score</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0">
            <w:pPr>
              <w:spacing w:after="0" w:lineRule="auto"/>
              <w:rPr/>
            </w:pPr>
            <w:r w:rsidDel="00000000" w:rsidR="00000000" w:rsidRPr="00000000">
              <w:rPr>
                <w:color w:val="2d3748"/>
                <w:sz w:val="17"/>
                <w:szCs w:val="17"/>
                <w:rtl w:val="0"/>
              </w:rPr>
              <w:t xml:space="preserve">0.7996</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1">
            <w:pPr>
              <w:spacing w:after="0" w:lineRule="auto"/>
              <w:rPr/>
            </w:pPr>
            <w:r w:rsidDel="00000000" w:rsidR="00000000" w:rsidRPr="00000000">
              <w:rPr>
                <w:b w:val="1"/>
                <w:bCs w:val="1"/>
                <w:color w:val="2b6cb0"/>
                <w:sz w:val="17"/>
                <w:szCs w:val="17"/>
                <w:rtl w:val="0"/>
              </w:rPr>
              <w:t xml:space="preserve">0.9029</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2">
            <w:pPr>
              <w:spacing w:after="0" w:lineRule="auto"/>
              <w:rPr/>
            </w:pPr>
            <w:r w:rsidDel="00000000" w:rsidR="00000000" w:rsidRPr="00000000">
              <w:rPr>
                <w:color w:val="2d3748"/>
                <w:sz w:val="17"/>
                <w:szCs w:val="17"/>
                <w:rtl w:val="0"/>
              </w:rPr>
              <w:t xml:space="preserve">+12.9% Improvement (Strong Discrimination)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3">
            <w:pPr>
              <w:spacing w:after="0" w:lineRule="auto"/>
              <w:rPr/>
            </w:pPr>
            <w:r w:rsidDel="00000000" w:rsidR="00000000" w:rsidRPr="00000000">
              <w:rPr>
                <w:b w:val="1"/>
                <w:bCs w:val="1"/>
                <w:color w:val="1a365d"/>
                <w:sz w:val="17"/>
                <w:szCs w:val="17"/>
                <w:rtl w:val="0"/>
              </w:rPr>
              <w:t xml:space="preserve">PR-AUC (Average Precision)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4">
            <w:pPr>
              <w:spacing w:after="0" w:lineRule="auto"/>
              <w:rPr/>
            </w:pPr>
            <w:r w:rsidDel="00000000" w:rsidR="00000000" w:rsidRPr="00000000">
              <w:rPr>
                <w:color w:val="2d3748"/>
                <w:sz w:val="17"/>
                <w:szCs w:val="17"/>
                <w:rtl w:val="0"/>
              </w:rPr>
              <w:t xml:space="preserve">0.6419</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5">
            <w:pPr>
              <w:spacing w:after="0" w:lineRule="auto"/>
              <w:rPr/>
            </w:pPr>
            <w:r w:rsidDel="00000000" w:rsidR="00000000" w:rsidRPr="00000000">
              <w:rPr>
                <w:b w:val="1"/>
                <w:bCs w:val="1"/>
                <w:color w:val="2b6cb0"/>
                <w:sz w:val="17"/>
                <w:szCs w:val="17"/>
                <w:rtl w:val="0"/>
              </w:rPr>
              <w:t xml:space="preserve">0.8660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spacing w:after="0" w:lineRule="auto"/>
              <w:rPr/>
            </w:pPr>
            <w:r w:rsidDel="00000000" w:rsidR="00000000" w:rsidRPr="00000000">
              <w:rPr>
                <w:color w:val="2d3748"/>
                <w:sz w:val="17"/>
                <w:szCs w:val="17"/>
                <w:rtl w:val="0"/>
              </w:rPr>
              <w:t xml:space="preserve">+34.9% Jump (Primary Imbalance Metric)</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57">
            <w:pPr>
              <w:spacing w:after="0" w:lineRule="auto"/>
              <w:rPr/>
            </w:pPr>
            <w:r w:rsidDel="00000000" w:rsidR="00000000" w:rsidRPr="00000000">
              <w:rPr>
                <w:b w:val="1"/>
                <w:bCs w:val="1"/>
                <w:color w:val="1a365d"/>
                <w:sz w:val="17"/>
                <w:szCs w:val="17"/>
                <w:rtl w:val="0"/>
              </w:rPr>
              <w:t xml:space="preserve">Precision (Class 1 - Churn)</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8">
            <w:pPr>
              <w:spacing w:after="0" w:lineRule="auto"/>
              <w:rPr/>
            </w:pPr>
            <w:r w:rsidDel="00000000" w:rsidR="00000000" w:rsidRPr="00000000">
              <w:rPr>
                <w:color w:val="2d3748"/>
                <w:sz w:val="17"/>
                <w:szCs w:val="17"/>
                <w:rtl w:val="0"/>
              </w:rPr>
              <w:t xml:space="preserve">53.46%</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9">
            <w:pPr>
              <w:spacing w:after="0" w:lineRule="auto"/>
              <w:rPr/>
            </w:pPr>
            <w:r w:rsidDel="00000000" w:rsidR="00000000" w:rsidRPr="00000000">
              <w:rPr>
                <w:b w:val="1"/>
                <w:bCs w:val="1"/>
                <w:color w:val="2b6cb0"/>
                <w:sz w:val="17"/>
                <w:szCs w:val="17"/>
                <w:rtl w:val="0"/>
              </w:rPr>
              <w:t xml:space="preserve">78.44%</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5A">
            <w:pPr>
              <w:spacing w:after="0" w:lineRule="auto"/>
              <w:rPr/>
            </w:pPr>
            <w:r w:rsidDel="00000000" w:rsidR="00000000" w:rsidRPr="00000000">
              <w:rPr>
                <w:color w:val="2d3748"/>
                <w:sz w:val="17"/>
                <w:szCs w:val="17"/>
                <w:rtl w:val="0"/>
              </w:rPr>
              <w:t xml:space="preserve">+46.7% Gain (Minimized False Positive Cost)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spacing w:after="0" w:lineRule="auto"/>
              <w:rPr/>
            </w:pPr>
            <w:r w:rsidDel="00000000" w:rsidR="00000000" w:rsidRPr="00000000">
              <w:rPr>
                <w:b w:val="1"/>
                <w:bCs w:val="1"/>
                <w:color w:val="1a365d"/>
                <w:sz w:val="17"/>
                <w:szCs w:val="17"/>
                <w:rtl w:val="0"/>
              </w:rPr>
              <w:t xml:space="preserve">Recall (Class 1 - Churn)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spacing w:after="0" w:lineRule="auto"/>
              <w:rPr/>
            </w:pPr>
            <w:r w:rsidDel="00000000" w:rsidR="00000000" w:rsidRPr="00000000">
              <w:rPr>
                <w:color w:val="2d3748"/>
                <w:sz w:val="17"/>
                <w:szCs w:val="17"/>
                <w:rtl w:val="0"/>
              </w:rPr>
              <w:t xml:space="preserve">72.11%</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spacing w:after="0" w:lineRule="auto"/>
              <w:rPr/>
            </w:pPr>
            <w:r w:rsidDel="00000000" w:rsidR="00000000" w:rsidRPr="00000000">
              <w:rPr>
                <w:b w:val="1"/>
                <w:bCs w:val="1"/>
                <w:color w:val="2b6cb0"/>
                <w:sz w:val="17"/>
                <w:szCs w:val="17"/>
                <w:rtl w:val="0"/>
              </w:rPr>
              <w:t xml:space="preserve">77.54%</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E">
            <w:pPr>
              <w:spacing w:after="0" w:lineRule="auto"/>
              <w:rPr/>
            </w:pPr>
            <w:r w:rsidDel="00000000" w:rsidR="00000000" w:rsidRPr="00000000">
              <w:rPr>
                <w:color w:val="2d3748"/>
                <w:sz w:val="17"/>
                <w:szCs w:val="17"/>
                <w:rtl w:val="0"/>
              </w:rPr>
              <w:t xml:space="preserve">+7.5% Lift (Higher Churn Capture Rate)</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5F">
            <w:pPr>
              <w:spacing w:after="0" w:lineRule="auto"/>
              <w:rPr/>
            </w:pPr>
            <w:r w:rsidDel="00000000" w:rsidR="00000000" w:rsidRPr="00000000">
              <w:rPr>
                <w:b w:val="1"/>
                <w:bCs w:val="1"/>
                <w:color w:val="1a365d"/>
                <w:sz w:val="17"/>
                <w:szCs w:val="17"/>
                <w:rtl w:val="0"/>
              </w:rPr>
              <w:t xml:space="preserve">F1-Score (Class 1 - Churn)</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60">
            <w:pPr>
              <w:spacing w:after="0" w:lineRule="auto"/>
              <w:rPr/>
            </w:pPr>
            <w:r w:rsidDel="00000000" w:rsidR="00000000" w:rsidRPr="00000000">
              <w:rPr>
                <w:color w:val="2d3748"/>
                <w:sz w:val="17"/>
                <w:szCs w:val="17"/>
                <w:rtl w:val="0"/>
              </w:rPr>
              <w:t xml:space="preserve">0.6140</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61">
            <w:pPr>
              <w:spacing w:after="0" w:lineRule="auto"/>
              <w:rPr/>
            </w:pPr>
            <w:r w:rsidDel="00000000" w:rsidR="00000000" w:rsidRPr="00000000">
              <w:rPr>
                <w:b w:val="1"/>
                <w:bCs w:val="1"/>
                <w:color w:val="2b6cb0"/>
                <w:sz w:val="17"/>
                <w:szCs w:val="17"/>
                <w:rtl w:val="0"/>
              </w:rPr>
              <w:t xml:space="preserve">0.7799</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62">
            <w:pPr>
              <w:spacing w:after="0" w:lineRule="auto"/>
              <w:rPr/>
            </w:pPr>
            <w:r w:rsidDel="00000000" w:rsidR="00000000" w:rsidRPr="00000000">
              <w:rPr>
                <w:color w:val="2d3748"/>
                <w:sz w:val="17"/>
                <w:szCs w:val="17"/>
                <w:rtl w:val="0"/>
              </w:rPr>
              <w:t xml:space="preserve">+27.0% Comprehensive Harmonic Gain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3">
            <w:pPr>
              <w:spacing w:after="0" w:lineRule="auto"/>
              <w:rPr/>
            </w:pPr>
            <w:r w:rsidDel="00000000" w:rsidR="00000000" w:rsidRPr="00000000">
              <w:rPr>
                <w:b w:val="1"/>
                <w:bCs w:val="1"/>
                <w:color w:val="1a365d"/>
                <w:sz w:val="17"/>
                <w:szCs w:val="17"/>
                <w:rtl w:val="0"/>
              </w:rPr>
              <w:t xml:space="preserve">Overall Model Accuracy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4">
            <w:pPr>
              <w:spacing w:after="0" w:lineRule="auto"/>
              <w:rPr/>
            </w:pPr>
            <w:r w:rsidDel="00000000" w:rsidR="00000000" w:rsidRPr="00000000">
              <w:rPr>
                <w:color w:val="2d3748"/>
                <w:sz w:val="17"/>
                <w:szCs w:val="17"/>
                <w:rtl w:val="0"/>
              </w:rPr>
              <w:t xml:space="preserve">73.80%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5">
            <w:pPr>
              <w:spacing w:after="0" w:lineRule="auto"/>
              <w:rPr/>
            </w:pPr>
            <w:r w:rsidDel="00000000" w:rsidR="00000000" w:rsidRPr="00000000">
              <w:rPr>
                <w:b w:val="1"/>
                <w:bCs w:val="1"/>
                <w:color w:val="2b6cb0"/>
                <w:sz w:val="17"/>
                <w:szCs w:val="17"/>
                <w:rtl w:val="0"/>
              </w:rPr>
              <w:t xml:space="preserve">87.35%</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6">
            <w:pPr>
              <w:spacing w:after="0" w:lineRule="auto"/>
              <w:rPr/>
            </w:pPr>
            <w:r w:rsidDel="00000000" w:rsidR="00000000" w:rsidRPr="00000000">
              <w:rPr>
                <w:color w:val="2d3748"/>
                <w:sz w:val="17"/>
                <w:szCs w:val="17"/>
                <w:rtl w:val="0"/>
              </w:rPr>
              <w:t xml:space="preserve">+18.4% Net Accuracy Improvement</w:t>
            </w:r>
            <w:r w:rsidDel="00000000" w:rsidR="00000000" w:rsidRPr="00000000">
              <w:rPr>
                <w:rtl w:val="0"/>
              </w:rPr>
            </w:r>
          </w:p>
        </w:tc>
      </w:tr>
    </w:tbl>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pStyle w:val="Heading1"/>
        <w:keepNext w:val="1"/>
        <w:spacing w:after="120" w:before="280" w:lineRule="auto"/>
        <w:rPr/>
      </w:pPr>
      <w:bookmarkStart w:colFirst="0" w:colLast="0" w:name="_heading=h.39cb4rpnqvk1" w:id="5"/>
      <w:bookmarkEnd w:id="5"/>
      <w:r w:rsidDel="00000000" w:rsidR="00000000" w:rsidRPr="00000000">
        <w:rPr>
          <w:b w:val="1"/>
          <w:bCs w:val="1"/>
          <w:color w:val="1a365d"/>
          <w:sz w:val="30"/>
          <w:szCs w:val="30"/>
          <w:rtl w:val="0"/>
        </w:rPr>
        <w:t xml:space="preserve">6. Production Architecture &amp; FastAPI Serving Deployment</w:t>
      </w:r>
      <w:r w:rsidDel="00000000" w:rsidR="00000000" w:rsidRPr="00000000">
        <w:rPr>
          <w:rtl w:val="0"/>
        </w:rPr>
      </w:r>
    </w:p>
    <w:p w:rsidR="00000000" w:rsidDel="00000000" w:rsidP="00000000" w:rsidRDefault="00000000" w:rsidRPr="00000000" w14:paraId="00000069">
      <w:pPr>
        <w:spacing w:after="120" w:line="276" w:lineRule="auto"/>
        <w:rPr/>
      </w:pPr>
      <w:r w:rsidDel="00000000" w:rsidR="00000000" w:rsidRPr="00000000">
        <w:rPr>
          <w:rtl w:val="0"/>
        </w:rPr>
        <w:t xml:space="preserve">To fulfill the core portfolio requirement of translating research models into industry-grade production assets, the finalized LightGBM pipeline was serialized into 'churn_production_pipeline.joblib'. The deployment architecture is realized through an asynchronous FastAPI service (app.py) structured as follows:</w:t>
        <w:br w:type="textWrapping"/>
        <w:t xml:space="preserve">• Leakage-Free Inference Pipeline: The serialized artifact encapsulates the entire preprocessing, feature reindexing, and boosting model, guaranteeing identical transformation at inference time without feature skew.</w:t>
        <w:br w:type="textWrapping"/>
        <w:t xml:space="preserve">• Programmatic RESTful Endpoint (/predict): Accepts typed JSON payloads validated via Pydantic (CustomerData schema), performing schema verification and returning predictions and real-valued probabilities with sub-5ms latency.</w:t>
        <w:br w:type="textWrapping"/>
        <w:t xml:space="preserve">• Interactive User Interface (/ &amp; /predict_form): A Jinja2-templated HTML5 frontend enabling commercial account managers and non-technical stakeholders to input customer friction scores and immediately receive color-coded churn risk assessments.</w:t>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365d" w:val="clear"/>
            <w:tcMar>
              <w:top w:w="90.0" w:type="dxa"/>
              <w:left w:w="100.0" w:type="dxa"/>
              <w:bottom w:w="90.0" w:type="dxa"/>
              <w:right w:w="100.0" w:type="dxa"/>
            </w:tcMar>
          </w:tcPr>
          <w:p w:rsidR="00000000" w:rsidDel="00000000" w:rsidP="00000000" w:rsidRDefault="00000000" w:rsidRPr="00000000" w14:paraId="0000006A">
            <w:pPr>
              <w:spacing w:after="0" w:lineRule="auto"/>
              <w:rPr/>
            </w:pPr>
            <w:r w:rsidDel="00000000" w:rsidR="00000000" w:rsidRPr="00000000">
              <w:rPr>
                <w:b w:val="1"/>
                <w:bCs w:val="1"/>
                <w:color w:val="ffffff"/>
                <w:sz w:val="18"/>
                <w:szCs w:val="18"/>
                <w:rtl w:val="0"/>
              </w:rPr>
              <w:t xml:space="preserve">Deployment Interface</w:t>
            </w:r>
            <w:r w:rsidDel="00000000" w:rsidR="00000000" w:rsidRPr="00000000">
              <w:rPr>
                <w:rtl w:val="0"/>
              </w:rPr>
            </w:r>
          </w:p>
        </w:tc>
        <w:tc>
          <w:tcPr>
            <w:shd w:fill="1a365d" w:val="clear"/>
            <w:tcMar>
              <w:top w:w="90.0" w:type="dxa"/>
              <w:left w:w="100.0" w:type="dxa"/>
              <w:bottom w:w="90.0" w:type="dxa"/>
              <w:right w:w="100.0" w:type="dxa"/>
            </w:tcMar>
          </w:tcPr>
          <w:p w:rsidR="00000000" w:rsidDel="00000000" w:rsidP="00000000" w:rsidRDefault="00000000" w:rsidRPr="00000000" w14:paraId="0000006B">
            <w:pPr>
              <w:spacing w:after="0" w:lineRule="auto"/>
              <w:rPr/>
            </w:pPr>
            <w:r w:rsidDel="00000000" w:rsidR="00000000" w:rsidRPr="00000000">
              <w:rPr>
                <w:b w:val="1"/>
                <w:bCs w:val="1"/>
                <w:color w:val="ffffff"/>
                <w:sz w:val="18"/>
                <w:szCs w:val="18"/>
                <w:rtl w:val="0"/>
              </w:rPr>
              <w:t xml:space="preserve">Endpoint / Protocol</w:t>
            </w:r>
            <w:r w:rsidDel="00000000" w:rsidR="00000000" w:rsidRPr="00000000">
              <w:rPr>
                <w:rtl w:val="0"/>
              </w:rPr>
            </w:r>
          </w:p>
        </w:tc>
        <w:tc>
          <w:tcPr>
            <w:shd w:fill="1a365d" w:val="clear"/>
            <w:tcMar>
              <w:top w:w="90.0" w:type="dxa"/>
              <w:left w:w="100.0" w:type="dxa"/>
              <w:bottom w:w="90.0" w:type="dxa"/>
              <w:right w:w="100.0" w:type="dxa"/>
            </w:tcMar>
          </w:tcPr>
          <w:p w:rsidR="00000000" w:rsidDel="00000000" w:rsidP="00000000" w:rsidRDefault="00000000" w:rsidRPr="00000000" w14:paraId="0000006C">
            <w:pPr>
              <w:spacing w:after="0" w:lineRule="auto"/>
              <w:rPr/>
            </w:pPr>
            <w:r w:rsidDel="00000000" w:rsidR="00000000" w:rsidRPr="00000000">
              <w:rPr>
                <w:b w:val="1"/>
                <w:bCs w:val="1"/>
                <w:color w:val="ffffff"/>
                <w:sz w:val="18"/>
                <w:szCs w:val="18"/>
                <w:rtl w:val="0"/>
              </w:rPr>
              <w:t xml:space="preserve">Operational Functionality</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6D">
            <w:pPr>
              <w:spacing w:after="0" w:lineRule="auto"/>
              <w:rPr/>
            </w:pPr>
            <w:r w:rsidDel="00000000" w:rsidR="00000000" w:rsidRPr="00000000">
              <w:rPr>
                <w:b w:val="1"/>
                <w:bCs w:val="1"/>
                <w:color w:val="1a365d"/>
                <w:sz w:val="17"/>
                <w:szCs w:val="17"/>
                <w:rtl w:val="0"/>
              </w:rPr>
              <w:t xml:space="preserve">REST Microservice</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6E">
            <w:pPr>
              <w:spacing w:after="0" w:lineRule="auto"/>
              <w:rPr/>
            </w:pPr>
            <w:r w:rsidDel="00000000" w:rsidR="00000000" w:rsidRPr="00000000">
              <w:rPr>
                <w:b w:val="1"/>
                <w:bCs w:val="1"/>
                <w:color w:val="2b6cb0"/>
                <w:sz w:val="17"/>
                <w:szCs w:val="17"/>
                <w:rtl w:val="0"/>
              </w:rPr>
              <w:t xml:space="preserve">POST /predict</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6F">
            <w:pPr>
              <w:spacing w:after="0" w:lineRule="auto"/>
              <w:rPr/>
            </w:pPr>
            <w:r w:rsidDel="00000000" w:rsidR="00000000" w:rsidRPr="00000000">
              <w:rPr>
                <w:color w:val="2d3748"/>
                <w:sz w:val="17"/>
                <w:szCs w:val="17"/>
                <w:rtl w:val="0"/>
              </w:rPr>
              <w:t xml:space="preserve">Real-time programmatic inference for CRM &amp; automated marketing microservices.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0">
            <w:pPr>
              <w:spacing w:after="0" w:lineRule="auto"/>
              <w:rPr/>
            </w:pPr>
            <w:r w:rsidDel="00000000" w:rsidR="00000000" w:rsidRPr="00000000">
              <w:rPr>
                <w:b w:val="1"/>
                <w:bCs w:val="1"/>
                <w:color w:val="1a365d"/>
                <w:sz w:val="17"/>
                <w:szCs w:val="17"/>
                <w:rtl w:val="0"/>
              </w:rPr>
              <w:t xml:space="preserve">Web Client Interface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1">
            <w:pPr>
              <w:spacing w:after="0" w:lineRule="auto"/>
              <w:rPr/>
            </w:pPr>
            <w:r w:rsidDel="00000000" w:rsidR="00000000" w:rsidRPr="00000000">
              <w:rPr>
                <w:b w:val="1"/>
                <w:bCs w:val="1"/>
                <w:color w:val="2b6cb0"/>
                <w:sz w:val="17"/>
                <w:szCs w:val="17"/>
                <w:rtl w:val="0"/>
              </w:rPr>
              <w:t xml:space="preserve">GET / &amp; POST /predict_form</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2">
            <w:pPr>
              <w:spacing w:after="0" w:lineRule="auto"/>
              <w:rPr/>
            </w:pPr>
            <w:r w:rsidDel="00000000" w:rsidR="00000000" w:rsidRPr="00000000">
              <w:rPr>
                <w:color w:val="2d3748"/>
                <w:sz w:val="17"/>
                <w:szCs w:val="17"/>
                <w:rtl w:val="0"/>
              </w:rPr>
              <w:t xml:space="preserve">Interactive dashboard with immediate visual risk badge rendering.</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73">
            <w:pPr>
              <w:spacing w:after="0" w:lineRule="auto"/>
              <w:rPr/>
            </w:pPr>
            <w:r w:rsidDel="00000000" w:rsidR="00000000" w:rsidRPr="00000000">
              <w:rPr>
                <w:b w:val="1"/>
                <w:bCs w:val="1"/>
                <w:color w:val="1a365d"/>
                <w:sz w:val="17"/>
                <w:szCs w:val="17"/>
                <w:rtl w:val="0"/>
              </w:rPr>
              <w:t xml:space="preserve">Interactive API Docs</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74">
            <w:pPr>
              <w:spacing w:after="0" w:lineRule="auto"/>
              <w:rPr/>
            </w:pPr>
            <w:r w:rsidDel="00000000" w:rsidR="00000000" w:rsidRPr="00000000">
              <w:rPr>
                <w:b w:val="1"/>
                <w:bCs w:val="1"/>
                <w:color w:val="2b6cb0"/>
                <w:sz w:val="17"/>
                <w:szCs w:val="17"/>
                <w:rtl w:val="0"/>
              </w:rPr>
              <w:t xml:space="preserve">GET /docs</w:t>
            </w:r>
            <w:r w:rsidDel="00000000" w:rsidR="00000000" w:rsidRPr="00000000">
              <w:rPr>
                <w:rtl w:val="0"/>
              </w:rPr>
            </w:r>
          </w:p>
        </w:tc>
        <w:tc>
          <w:tcPr>
            <w:shd w:fill="f7fafc" w:val="clear"/>
            <w:tcMar>
              <w:top w:w="70.0" w:type="dxa"/>
              <w:left w:w="100.0" w:type="dxa"/>
              <w:bottom w:w="70.0" w:type="dxa"/>
              <w:right w:w="100.0" w:type="dxa"/>
            </w:tcMar>
          </w:tcPr>
          <w:p w:rsidR="00000000" w:rsidDel="00000000" w:rsidP="00000000" w:rsidRDefault="00000000" w:rsidRPr="00000000" w14:paraId="00000075">
            <w:pPr>
              <w:spacing w:after="0" w:lineRule="auto"/>
              <w:rPr/>
            </w:pPr>
            <w:r w:rsidDel="00000000" w:rsidR="00000000" w:rsidRPr="00000000">
              <w:rPr>
                <w:color w:val="2d3748"/>
                <w:sz w:val="17"/>
                <w:szCs w:val="17"/>
                <w:rtl w:val="0"/>
              </w:rPr>
              <w:t xml:space="preserve">Automated Swagger UI specification for seamless developer integration.</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pStyle w:val="Heading1"/>
        <w:keepNext w:val="1"/>
        <w:spacing w:after="120" w:before="280" w:lineRule="auto"/>
        <w:rPr/>
      </w:pPr>
      <w:bookmarkStart w:colFirst="0" w:colLast="0" w:name="_heading=h.dqsmyy48i52n" w:id="6"/>
      <w:bookmarkEnd w:id="6"/>
      <w:r w:rsidDel="00000000" w:rsidR="00000000" w:rsidRPr="00000000">
        <w:rPr>
          <w:b w:val="1"/>
          <w:bCs w:val="1"/>
          <w:color w:val="1a365d"/>
          <w:sz w:val="30"/>
          <w:szCs w:val="30"/>
          <w:rtl w:val="0"/>
        </w:rPr>
        <w:t xml:space="preserve">7. Strategic Business Interventions &amp; Assessment Rubric Fulfillment</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rtl w:val="0"/>
        </w:rPr>
        <w:t xml:space="preserve">The deployment of this predictive engine enables e-commerce management to transition from reactive post-churn customer recovery to proactive, friction-targeted retention strategies: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a365d"/>
          <w:sz w:val="22"/>
          <w:szCs w:val="22"/>
          <w:u w:val="none"/>
          <w:shd w:fill="auto" w:val="clear"/>
          <w:vertAlign w:val="baseline"/>
          <w:rtl w:val="0"/>
        </w:rPr>
        <w:t xml:space="preserve">Automated Priority Support Escalations: </w:t>
      </w:r>
      <w:r w:rsidDel="00000000" w:rsidR="00000000" w:rsidRPr="00000000">
        <w:rPr>
          <w:rFonts w:ascii="Cambria" w:cs="Cambria" w:eastAsia="Cambria" w:hAnsi="Cambria"/>
          <w:b w:val="0"/>
          <w:bCs w:val="0"/>
          <w:i w:val="0"/>
          <w:iCs w:val="0"/>
          <w:smallCaps w:val="0"/>
          <w:strike w:val="0"/>
          <w:color w:val="2d3748"/>
          <w:sz w:val="22"/>
          <w:szCs w:val="22"/>
          <w:u w:val="none"/>
          <w:shd w:fill="auto" w:val="clear"/>
          <w:vertAlign w:val="baseline"/>
          <w:rtl w:val="0"/>
        </w:rPr>
        <w:t xml:space="preserve">When a customer's Customer_Service_Calls exceeds 3 or enters high-frequency velocity, automated webhooks instantly route the user account to Senior Customer Care specialists to resolve pending issues before cancellation.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a365d"/>
          <w:sz w:val="22"/>
          <w:szCs w:val="22"/>
          <w:u w:val="none"/>
          <w:shd w:fill="auto" w:val="clear"/>
          <w:vertAlign w:val="baseline"/>
          <w:rtl w:val="0"/>
        </w:rPr>
        <w:t xml:space="preserve">Dynamic Cart Exit-Intent Interventions: </w:t>
      </w:r>
      <w:r w:rsidDel="00000000" w:rsidR="00000000" w:rsidRPr="00000000">
        <w:rPr>
          <w:rFonts w:ascii="Cambria" w:cs="Cambria" w:eastAsia="Cambria" w:hAnsi="Cambria"/>
          <w:b w:val="0"/>
          <w:bCs w:val="0"/>
          <w:i w:val="0"/>
          <w:iCs w:val="0"/>
          <w:smallCaps w:val="0"/>
          <w:strike w:val="0"/>
          <w:color w:val="2d3748"/>
          <w:sz w:val="22"/>
          <w:szCs w:val="22"/>
          <w:u w:val="none"/>
          <w:shd w:fill="auto" w:val="clear"/>
          <w:vertAlign w:val="baseline"/>
          <w:rtl w:val="0"/>
        </w:rPr>
        <w:t xml:space="preserve">Users flagged with High_Cart_Friction = 1 and Cart_Abandonment_Rate &gt; 70% are automatically targeted with tailored checkout incentives, such as free express shipping or one-time promotional discounts to prevent checkout abandonment.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a365d"/>
          <w:sz w:val="22"/>
          <w:szCs w:val="22"/>
          <w:u w:val="none"/>
          <w:shd w:fill="auto" w:val="clear"/>
          <w:vertAlign w:val="baseline"/>
          <w:rtl w:val="0"/>
        </w:rPr>
        <w:t xml:space="preserve">Dormancy Reactivation Workflows: </w:t>
      </w:r>
      <w:r w:rsidDel="00000000" w:rsidR="00000000" w:rsidRPr="00000000">
        <w:rPr>
          <w:rFonts w:ascii="Cambria" w:cs="Cambria" w:eastAsia="Cambria" w:hAnsi="Cambria"/>
          <w:b w:val="0"/>
          <w:bCs w:val="0"/>
          <w:i w:val="0"/>
          <w:iCs w:val="0"/>
          <w:smallCaps w:val="0"/>
          <w:strike w:val="0"/>
          <w:color w:val="2d3748"/>
          <w:sz w:val="22"/>
          <w:szCs w:val="22"/>
          <w:u w:val="none"/>
          <w:shd w:fill="auto" w:val="clear"/>
          <w:vertAlign w:val="baseline"/>
          <w:rtl w:val="0"/>
        </w:rPr>
        <w:t xml:space="preserve">Accounts with Days_Since_Last_Purchase &gt; 90 and high predicted churn probability (&gt; 0.65) trigger automated multi-channel re-engagement email and SMS workflows, mitigating customer lapse velocity.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a365d"/>
          <w:sz w:val="22"/>
          <w:szCs w:val="22"/>
          <w:u w:val="none"/>
          <w:shd w:fill="auto" w:val="clear"/>
          <w:vertAlign w:val="baseline"/>
          <w:rtl w:val="0"/>
        </w:rPr>
        <w:t xml:space="preserve">Task 4 Assessment Rubric Fulfillment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1a365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d3748"/>
          <w:sz w:val="22"/>
          <w:szCs w:val="22"/>
          <w:u w:val="none"/>
          <w:shd w:fill="auto" w:val="clear"/>
          <w:vertAlign w:val="baseline"/>
          <w:rtl w:val="0"/>
        </w:rPr>
        <w:t xml:space="preserve">This deliverable successfully executes every core technical rubric:</w:t>
        <w:br w:type="textWrapping"/>
        <w:t xml:space="preserve">  • Module 01: Preprocessing, Data Hygiene &amp; Class Audit.</w:t>
        <w:br w:type="textWrapping"/>
        <w:t xml:space="preserve">  • Module 02: Advanced Statistical EDA, Correlation &amp; Dispersion Profiling.</w:t>
        <w:br w:type="textWrapping"/>
        <w:t xml:space="preserve">  • Module 03: Feature Engineering, Demographics Pruning &amp; Collinearity Elimination.</w:t>
        <w:br w:type="textWrapping"/>
        <w:t xml:space="preserve">  • Module 04: Leakage-Free Scikit-Learn Pipeline Modeling &amp; LightGBM Benchmarking (ROC-AUC 0.9029, PR-AUC 0.8660).</w:t>
        <w:br w:type="textWrapping"/>
        <w:t xml:space="preserve">  • Production Deployment: Standalone FastAPI Service &amp; Interactive Web UI.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png"/><Relationship Id="rId12" Type="http://schemas.openxmlformats.org/officeDocument/2006/relationships/image" Target="media/image6.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sLDLOcCO0ZqZef/a1sC7Xpt/w==">CgMxLjAyDmgub2ZzYzRzMWU0ZnZ0Mg5oLmgxbXJhNzJub2psMjIOaC5hcjJleHdoMXJpZmUyDmguOXJsOGczbWE2Y25qMg5oLmppY2wwemJqN211OTIOaC4zOWNiNHJwbnF2azEyDmguZHFzbXl5NDhpNTJuOAByITFfR0ZxR0dNa3l2NDFsZUptRVBRaXhKMW1XeU0tUnFBWg==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