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C23EB" w14:textId="77777777" w:rsidR="000C730C" w:rsidRDefault="000C730C" w:rsidP="000C730C">
      <w:pPr>
        <w:jc w:val="center"/>
        <w:rPr>
          <w:rFonts w:ascii="Arial" w:hAnsi="Arial" w:cs="Arial"/>
          <w:sz w:val="20"/>
          <w:szCs w:val="20"/>
          <w:lang w:val="en-IE"/>
        </w:rPr>
      </w:pPr>
    </w:p>
    <w:p w14:paraId="58E8D878" w14:textId="01DFF27F" w:rsidR="000C730C" w:rsidRPr="000C730C" w:rsidRDefault="000C730C" w:rsidP="000C730C">
      <w:pPr>
        <w:jc w:val="center"/>
        <w:rPr>
          <w:rFonts w:ascii="Times New Roman" w:hAnsi="Times New Roman" w:cs="Times New Roman"/>
          <w:sz w:val="28"/>
          <w:szCs w:val="28"/>
        </w:rPr>
      </w:pPr>
      <w:r>
        <w:rPr>
          <w:noProof/>
          <w:lang w:val="en-IE" w:eastAsia="en-IE"/>
        </w:rPr>
        <w:drawing>
          <wp:inline distT="0" distB="0" distL="0" distR="0" wp14:anchorId="7BEC6419" wp14:editId="2820F916">
            <wp:extent cx="1659467" cy="2435087"/>
            <wp:effectExtent l="0" t="0" r="4445" b="3810"/>
            <wp:docPr id="2" name="Picture 2" descr="ucd_brandmark_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d_brandmark_black"/>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71080" cy="2452127"/>
                    </a:xfrm>
                    <a:prstGeom prst="rect">
                      <a:avLst/>
                    </a:prstGeom>
                    <a:noFill/>
                    <a:ln>
                      <a:noFill/>
                    </a:ln>
                  </pic:spPr>
                </pic:pic>
              </a:graphicData>
            </a:graphic>
          </wp:inline>
        </w:drawing>
      </w:r>
    </w:p>
    <w:p w14:paraId="07669F3F" w14:textId="2F245BCB" w:rsidR="000C730C" w:rsidRPr="000C730C" w:rsidRDefault="000C730C" w:rsidP="000C730C">
      <w:pPr>
        <w:jc w:val="center"/>
        <w:rPr>
          <w:rFonts w:ascii="Times New Roman" w:hAnsi="Times New Roman" w:cs="Times New Roman"/>
          <w:sz w:val="28"/>
          <w:szCs w:val="28"/>
        </w:rPr>
      </w:pPr>
    </w:p>
    <w:p w14:paraId="20E23C76" w14:textId="77777777" w:rsidR="000C730C" w:rsidRPr="000C730C" w:rsidRDefault="000C730C" w:rsidP="000C730C">
      <w:pPr>
        <w:jc w:val="center"/>
        <w:rPr>
          <w:rFonts w:ascii="Times New Roman" w:hAnsi="Times New Roman" w:cs="Times New Roman"/>
          <w:sz w:val="28"/>
          <w:szCs w:val="28"/>
        </w:rPr>
      </w:pPr>
    </w:p>
    <w:p w14:paraId="446BFEE8" w14:textId="77777777" w:rsidR="000C730C" w:rsidRPr="000C730C" w:rsidRDefault="000C730C" w:rsidP="000C730C">
      <w:pPr>
        <w:spacing w:line="480" w:lineRule="auto"/>
        <w:jc w:val="center"/>
        <w:rPr>
          <w:rFonts w:ascii="Times New Roman" w:hAnsi="Times New Roman" w:cs="Times New Roman"/>
          <w:b/>
          <w:bCs/>
          <w:sz w:val="28"/>
          <w:szCs w:val="28"/>
        </w:rPr>
      </w:pPr>
      <w:r w:rsidRPr="000C730C">
        <w:rPr>
          <w:rFonts w:ascii="Times New Roman" w:hAnsi="Times New Roman" w:cs="Times New Roman"/>
          <w:b/>
          <w:bCs/>
          <w:sz w:val="28"/>
          <w:szCs w:val="28"/>
        </w:rPr>
        <w:t>COLLEGE OF ENGINEERING &amp; ARCHITECTURE</w:t>
      </w:r>
    </w:p>
    <w:p w14:paraId="7E1ED056" w14:textId="77777777" w:rsidR="000C730C" w:rsidRPr="000C730C" w:rsidRDefault="000C730C" w:rsidP="000C730C">
      <w:pPr>
        <w:spacing w:line="480" w:lineRule="auto"/>
        <w:jc w:val="center"/>
        <w:rPr>
          <w:rFonts w:ascii="Times New Roman" w:hAnsi="Times New Roman" w:cs="Times New Roman"/>
          <w:b/>
          <w:bCs/>
          <w:sz w:val="28"/>
          <w:szCs w:val="28"/>
        </w:rPr>
      </w:pPr>
      <w:r w:rsidRPr="000C730C">
        <w:rPr>
          <w:rFonts w:ascii="Times New Roman" w:hAnsi="Times New Roman" w:cs="Times New Roman"/>
          <w:b/>
          <w:bCs/>
          <w:sz w:val="28"/>
          <w:szCs w:val="28"/>
        </w:rPr>
        <w:t>UCD SCHOOL OF MECHANICAL &amp; MATERIALS ENGINEERING</w:t>
      </w:r>
    </w:p>
    <w:p w14:paraId="5E6C6CDA" w14:textId="0495459A" w:rsidR="000C730C" w:rsidRPr="000C730C" w:rsidRDefault="000C730C" w:rsidP="000C730C">
      <w:pPr>
        <w:jc w:val="both"/>
        <w:rPr>
          <w:rFonts w:ascii="Times New Roman" w:hAnsi="Times New Roman" w:cs="Times New Roman"/>
          <w:sz w:val="28"/>
          <w:szCs w:val="28"/>
          <w:lang w:val="en-IE"/>
        </w:rPr>
      </w:pPr>
    </w:p>
    <w:tbl>
      <w:tblPr>
        <w:tblStyle w:val="TableGrid"/>
        <w:tblW w:w="0" w:type="auto"/>
        <w:tblInd w:w="562" w:type="dxa"/>
        <w:tblLook w:val="04A0" w:firstRow="1" w:lastRow="0" w:firstColumn="1" w:lastColumn="0" w:noHBand="0" w:noVBand="1"/>
      </w:tblPr>
      <w:tblGrid>
        <w:gridCol w:w="3261"/>
        <w:gridCol w:w="5953"/>
      </w:tblGrid>
      <w:tr w:rsidR="000C730C" w:rsidRPr="000C730C" w14:paraId="1317F0DF" w14:textId="77777777" w:rsidTr="000C730C">
        <w:tc>
          <w:tcPr>
            <w:tcW w:w="3261" w:type="dxa"/>
          </w:tcPr>
          <w:p w14:paraId="19C4F393" w14:textId="60E08B10" w:rsidR="000C730C" w:rsidRPr="000C730C" w:rsidRDefault="000C730C" w:rsidP="000C730C">
            <w:pPr>
              <w:spacing w:line="360" w:lineRule="auto"/>
              <w:jc w:val="both"/>
              <w:rPr>
                <w:rFonts w:ascii="Times New Roman" w:hAnsi="Times New Roman" w:cs="Times New Roman"/>
                <w:b/>
                <w:bCs/>
                <w:sz w:val="28"/>
                <w:szCs w:val="28"/>
                <w:lang w:val="en-IE"/>
              </w:rPr>
            </w:pPr>
            <w:r w:rsidRPr="000C730C">
              <w:rPr>
                <w:rFonts w:ascii="Times New Roman" w:hAnsi="Times New Roman" w:cs="Times New Roman"/>
                <w:b/>
                <w:bCs/>
                <w:sz w:val="28"/>
                <w:szCs w:val="28"/>
                <w:lang w:val="en-IE"/>
              </w:rPr>
              <w:t>Module Code</w:t>
            </w:r>
          </w:p>
        </w:tc>
        <w:tc>
          <w:tcPr>
            <w:tcW w:w="5953" w:type="dxa"/>
          </w:tcPr>
          <w:p w14:paraId="33C120E6" w14:textId="516CFE08" w:rsidR="000C730C" w:rsidRPr="000C730C" w:rsidRDefault="000C730C" w:rsidP="000C730C">
            <w:pPr>
              <w:spacing w:line="360" w:lineRule="auto"/>
              <w:jc w:val="both"/>
              <w:rPr>
                <w:rFonts w:ascii="Times New Roman" w:hAnsi="Times New Roman" w:cs="Times New Roman"/>
                <w:sz w:val="28"/>
                <w:szCs w:val="28"/>
                <w:lang w:val="en-IE"/>
              </w:rPr>
            </w:pPr>
            <w:r w:rsidRPr="000C730C">
              <w:rPr>
                <w:rFonts w:ascii="Times New Roman" w:hAnsi="Times New Roman" w:cs="Times New Roman"/>
                <w:sz w:val="28"/>
                <w:szCs w:val="28"/>
                <w:lang w:val="en-IE"/>
              </w:rPr>
              <w:t>MEEN40790</w:t>
            </w:r>
          </w:p>
        </w:tc>
      </w:tr>
      <w:tr w:rsidR="000C730C" w:rsidRPr="000C730C" w14:paraId="0564A928" w14:textId="77777777" w:rsidTr="000C730C">
        <w:tc>
          <w:tcPr>
            <w:tcW w:w="3261" w:type="dxa"/>
          </w:tcPr>
          <w:p w14:paraId="18806245" w14:textId="2B855A2A" w:rsidR="000C730C" w:rsidRPr="000C730C" w:rsidRDefault="000C730C" w:rsidP="000C730C">
            <w:pPr>
              <w:spacing w:line="360" w:lineRule="auto"/>
              <w:jc w:val="both"/>
              <w:rPr>
                <w:rFonts w:ascii="Times New Roman" w:hAnsi="Times New Roman" w:cs="Times New Roman"/>
                <w:b/>
                <w:bCs/>
                <w:sz w:val="28"/>
                <w:szCs w:val="28"/>
                <w:lang w:val="en-IE"/>
              </w:rPr>
            </w:pPr>
            <w:r w:rsidRPr="000C730C">
              <w:rPr>
                <w:rFonts w:ascii="Times New Roman" w:hAnsi="Times New Roman" w:cs="Times New Roman"/>
                <w:b/>
                <w:bCs/>
                <w:sz w:val="28"/>
                <w:szCs w:val="28"/>
                <w:lang w:val="en-IE"/>
              </w:rPr>
              <w:t>Module Title</w:t>
            </w:r>
          </w:p>
        </w:tc>
        <w:tc>
          <w:tcPr>
            <w:tcW w:w="5953" w:type="dxa"/>
          </w:tcPr>
          <w:p w14:paraId="1046C0F1" w14:textId="41B6D913" w:rsidR="000C730C" w:rsidRPr="000C730C" w:rsidRDefault="000C730C" w:rsidP="000C730C">
            <w:pPr>
              <w:spacing w:line="360" w:lineRule="auto"/>
              <w:jc w:val="both"/>
              <w:rPr>
                <w:rFonts w:ascii="Times New Roman" w:hAnsi="Times New Roman" w:cs="Times New Roman"/>
                <w:sz w:val="28"/>
                <w:szCs w:val="28"/>
                <w:lang w:val="en-IE"/>
              </w:rPr>
            </w:pPr>
            <w:r w:rsidRPr="000C730C">
              <w:rPr>
                <w:rFonts w:ascii="Times New Roman" w:hAnsi="Times New Roman" w:cs="Times New Roman"/>
                <w:sz w:val="28"/>
                <w:szCs w:val="28"/>
                <w:lang w:val="en-IE"/>
              </w:rPr>
              <w:t>Supply Chain Design &amp; Analysis</w:t>
            </w:r>
          </w:p>
        </w:tc>
      </w:tr>
      <w:tr w:rsidR="000C730C" w:rsidRPr="000C730C" w14:paraId="05336A09" w14:textId="77777777" w:rsidTr="000C730C">
        <w:tc>
          <w:tcPr>
            <w:tcW w:w="3261" w:type="dxa"/>
          </w:tcPr>
          <w:p w14:paraId="01BA2193" w14:textId="6111F4EE" w:rsidR="000C730C" w:rsidRPr="000C730C" w:rsidRDefault="000C730C" w:rsidP="000C730C">
            <w:pPr>
              <w:spacing w:line="360" w:lineRule="auto"/>
              <w:jc w:val="both"/>
              <w:rPr>
                <w:rFonts w:ascii="Times New Roman" w:hAnsi="Times New Roman" w:cs="Times New Roman"/>
                <w:b/>
                <w:bCs/>
                <w:sz w:val="28"/>
                <w:szCs w:val="28"/>
                <w:lang w:val="en-IE"/>
              </w:rPr>
            </w:pPr>
            <w:r w:rsidRPr="000C730C">
              <w:rPr>
                <w:rFonts w:ascii="Times New Roman" w:hAnsi="Times New Roman" w:cs="Times New Roman"/>
                <w:b/>
                <w:bCs/>
                <w:sz w:val="28"/>
                <w:szCs w:val="28"/>
                <w:lang w:val="en-IE"/>
              </w:rPr>
              <w:t>Module Coordinator</w:t>
            </w:r>
          </w:p>
        </w:tc>
        <w:tc>
          <w:tcPr>
            <w:tcW w:w="5953" w:type="dxa"/>
          </w:tcPr>
          <w:p w14:paraId="5CA6C729" w14:textId="41615B80" w:rsidR="000C730C" w:rsidRPr="000C730C" w:rsidRDefault="000C730C" w:rsidP="000C730C">
            <w:pPr>
              <w:spacing w:line="360" w:lineRule="auto"/>
              <w:jc w:val="both"/>
              <w:rPr>
                <w:rFonts w:ascii="Times New Roman" w:hAnsi="Times New Roman" w:cs="Times New Roman"/>
                <w:sz w:val="28"/>
                <w:szCs w:val="28"/>
                <w:lang w:val="en-IE"/>
              </w:rPr>
            </w:pPr>
            <w:proofErr w:type="spellStart"/>
            <w:r w:rsidRPr="000C730C">
              <w:rPr>
                <w:rFonts w:ascii="Times New Roman" w:hAnsi="Times New Roman" w:cs="Times New Roman"/>
                <w:sz w:val="28"/>
                <w:szCs w:val="28"/>
                <w:lang w:val="en-IE"/>
              </w:rPr>
              <w:t>Dr.</w:t>
            </w:r>
            <w:proofErr w:type="spellEnd"/>
            <w:r w:rsidRPr="000C730C">
              <w:rPr>
                <w:rFonts w:ascii="Times New Roman" w:hAnsi="Times New Roman" w:cs="Times New Roman"/>
                <w:sz w:val="28"/>
                <w:szCs w:val="28"/>
                <w:lang w:val="en-IE"/>
              </w:rPr>
              <w:t xml:space="preserve"> Vincent </w:t>
            </w:r>
            <w:proofErr w:type="spellStart"/>
            <w:r w:rsidRPr="000C730C">
              <w:rPr>
                <w:rFonts w:ascii="Times New Roman" w:hAnsi="Times New Roman" w:cs="Times New Roman"/>
                <w:sz w:val="28"/>
                <w:szCs w:val="28"/>
                <w:lang w:val="en-IE"/>
              </w:rPr>
              <w:t>Hargaden</w:t>
            </w:r>
            <w:proofErr w:type="spellEnd"/>
          </w:p>
        </w:tc>
      </w:tr>
      <w:tr w:rsidR="000C730C" w:rsidRPr="000C730C" w14:paraId="63A89019" w14:textId="77777777" w:rsidTr="000C730C">
        <w:tc>
          <w:tcPr>
            <w:tcW w:w="3261" w:type="dxa"/>
          </w:tcPr>
          <w:p w14:paraId="2077823C" w14:textId="77777777" w:rsidR="000C730C" w:rsidRPr="000C730C" w:rsidRDefault="000C730C" w:rsidP="000C730C">
            <w:pPr>
              <w:spacing w:line="360" w:lineRule="auto"/>
              <w:jc w:val="both"/>
              <w:rPr>
                <w:rFonts w:ascii="Times New Roman" w:hAnsi="Times New Roman" w:cs="Times New Roman"/>
                <w:b/>
                <w:bCs/>
                <w:sz w:val="28"/>
                <w:szCs w:val="28"/>
                <w:lang w:val="en-IE"/>
              </w:rPr>
            </w:pPr>
          </w:p>
        </w:tc>
        <w:tc>
          <w:tcPr>
            <w:tcW w:w="5953" w:type="dxa"/>
          </w:tcPr>
          <w:p w14:paraId="23CBFCA8" w14:textId="77777777" w:rsidR="000C730C" w:rsidRPr="000C730C" w:rsidRDefault="000C730C" w:rsidP="000C730C">
            <w:pPr>
              <w:spacing w:line="360" w:lineRule="auto"/>
              <w:jc w:val="both"/>
              <w:rPr>
                <w:rFonts w:ascii="Times New Roman" w:hAnsi="Times New Roman" w:cs="Times New Roman"/>
                <w:sz w:val="28"/>
                <w:szCs w:val="28"/>
                <w:lang w:val="en-IE"/>
              </w:rPr>
            </w:pPr>
          </w:p>
        </w:tc>
      </w:tr>
      <w:tr w:rsidR="000C730C" w:rsidRPr="000C730C" w14:paraId="02FBBA75" w14:textId="77777777" w:rsidTr="000C730C">
        <w:tc>
          <w:tcPr>
            <w:tcW w:w="3261" w:type="dxa"/>
          </w:tcPr>
          <w:p w14:paraId="54ACEB78" w14:textId="5F2DFB7F" w:rsidR="000C730C" w:rsidRPr="000C730C" w:rsidRDefault="000C730C" w:rsidP="000C730C">
            <w:pPr>
              <w:spacing w:line="360" w:lineRule="auto"/>
              <w:jc w:val="both"/>
              <w:rPr>
                <w:rFonts w:ascii="Times New Roman" w:hAnsi="Times New Roman" w:cs="Times New Roman"/>
                <w:b/>
                <w:bCs/>
                <w:sz w:val="28"/>
                <w:szCs w:val="28"/>
                <w:lang w:val="en-IE"/>
              </w:rPr>
            </w:pPr>
            <w:r w:rsidRPr="000C730C">
              <w:rPr>
                <w:rFonts w:ascii="Times New Roman" w:hAnsi="Times New Roman" w:cs="Times New Roman"/>
                <w:b/>
                <w:bCs/>
                <w:sz w:val="28"/>
                <w:szCs w:val="28"/>
                <w:lang w:val="en-IE"/>
              </w:rPr>
              <w:t>Student Last Name</w:t>
            </w:r>
          </w:p>
        </w:tc>
        <w:tc>
          <w:tcPr>
            <w:tcW w:w="5953" w:type="dxa"/>
          </w:tcPr>
          <w:p w14:paraId="08D23303" w14:textId="62E7D93C" w:rsidR="000C730C" w:rsidRPr="000C730C" w:rsidRDefault="00CB3503" w:rsidP="000C730C">
            <w:pPr>
              <w:spacing w:line="360" w:lineRule="auto"/>
              <w:jc w:val="both"/>
              <w:rPr>
                <w:rFonts w:ascii="Times New Roman" w:hAnsi="Times New Roman" w:cs="Times New Roman"/>
                <w:sz w:val="28"/>
                <w:szCs w:val="28"/>
                <w:lang w:val="en-IE"/>
              </w:rPr>
            </w:pPr>
            <w:r>
              <w:rPr>
                <w:rFonts w:ascii="Times New Roman" w:hAnsi="Times New Roman" w:cs="Times New Roman"/>
                <w:sz w:val="28"/>
                <w:szCs w:val="28"/>
                <w:lang w:val="en-IE"/>
              </w:rPr>
              <w:t>Ramani</w:t>
            </w:r>
          </w:p>
        </w:tc>
      </w:tr>
      <w:tr w:rsidR="000C730C" w:rsidRPr="000C730C" w14:paraId="38EFEC90" w14:textId="77777777" w:rsidTr="000C730C">
        <w:tc>
          <w:tcPr>
            <w:tcW w:w="3261" w:type="dxa"/>
          </w:tcPr>
          <w:p w14:paraId="6785985B" w14:textId="7D63710B" w:rsidR="000C730C" w:rsidRPr="000C730C" w:rsidRDefault="000C730C" w:rsidP="000C730C">
            <w:pPr>
              <w:spacing w:line="360" w:lineRule="auto"/>
              <w:jc w:val="both"/>
              <w:rPr>
                <w:rFonts w:ascii="Times New Roman" w:hAnsi="Times New Roman" w:cs="Times New Roman"/>
                <w:b/>
                <w:bCs/>
                <w:sz w:val="28"/>
                <w:szCs w:val="28"/>
                <w:lang w:val="en-IE"/>
              </w:rPr>
            </w:pPr>
            <w:r w:rsidRPr="000C730C">
              <w:rPr>
                <w:rFonts w:ascii="Times New Roman" w:hAnsi="Times New Roman" w:cs="Times New Roman"/>
                <w:b/>
                <w:bCs/>
                <w:sz w:val="28"/>
                <w:szCs w:val="28"/>
                <w:lang w:val="en-IE"/>
              </w:rPr>
              <w:t>Student First</w:t>
            </w:r>
            <w:r w:rsidR="00CB3503">
              <w:rPr>
                <w:rFonts w:ascii="Times New Roman" w:hAnsi="Times New Roman" w:cs="Times New Roman"/>
                <w:b/>
                <w:bCs/>
                <w:sz w:val="28"/>
                <w:szCs w:val="28"/>
                <w:lang w:val="en-IE"/>
              </w:rPr>
              <w:t xml:space="preserve"> N</w:t>
            </w:r>
            <w:r w:rsidRPr="000C730C">
              <w:rPr>
                <w:rFonts w:ascii="Times New Roman" w:hAnsi="Times New Roman" w:cs="Times New Roman"/>
                <w:b/>
                <w:bCs/>
                <w:sz w:val="28"/>
                <w:szCs w:val="28"/>
                <w:lang w:val="en-IE"/>
              </w:rPr>
              <w:t>ame</w:t>
            </w:r>
          </w:p>
        </w:tc>
        <w:tc>
          <w:tcPr>
            <w:tcW w:w="5953" w:type="dxa"/>
          </w:tcPr>
          <w:p w14:paraId="0B32DA5E" w14:textId="7B515E4A" w:rsidR="000C730C" w:rsidRPr="000C730C" w:rsidRDefault="00CB3503" w:rsidP="000C730C">
            <w:pPr>
              <w:spacing w:line="360" w:lineRule="auto"/>
              <w:jc w:val="both"/>
              <w:rPr>
                <w:rFonts w:ascii="Times New Roman" w:hAnsi="Times New Roman" w:cs="Times New Roman"/>
                <w:sz w:val="28"/>
                <w:szCs w:val="28"/>
                <w:lang w:val="en-IE"/>
              </w:rPr>
            </w:pPr>
            <w:r>
              <w:rPr>
                <w:rFonts w:ascii="Times New Roman" w:hAnsi="Times New Roman" w:cs="Times New Roman"/>
                <w:sz w:val="28"/>
                <w:szCs w:val="28"/>
                <w:lang w:val="en-IE"/>
              </w:rPr>
              <w:t>Durgesh</w:t>
            </w:r>
          </w:p>
        </w:tc>
      </w:tr>
      <w:tr w:rsidR="000C730C" w:rsidRPr="000C730C" w14:paraId="41B3939B" w14:textId="77777777" w:rsidTr="000C730C">
        <w:tc>
          <w:tcPr>
            <w:tcW w:w="3261" w:type="dxa"/>
          </w:tcPr>
          <w:p w14:paraId="3162B6F4" w14:textId="632E525D" w:rsidR="000C730C" w:rsidRPr="000C730C" w:rsidRDefault="000C730C" w:rsidP="000C730C">
            <w:pPr>
              <w:spacing w:line="360" w:lineRule="auto"/>
              <w:jc w:val="both"/>
              <w:rPr>
                <w:rFonts w:ascii="Times New Roman" w:hAnsi="Times New Roman" w:cs="Times New Roman"/>
                <w:b/>
                <w:bCs/>
                <w:sz w:val="28"/>
                <w:szCs w:val="28"/>
                <w:lang w:val="en-IE"/>
              </w:rPr>
            </w:pPr>
            <w:r w:rsidRPr="000C730C">
              <w:rPr>
                <w:rFonts w:ascii="Times New Roman" w:hAnsi="Times New Roman" w:cs="Times New Roman"/>
                <w:b/>
                <w:bCs/>
                <w:sz w:val="28"/>
                <w:szCs w:val="28"/>
                <w:lang w:val="en-IE"/>
              </w:rPr>
              <w:t>Student Number</w:t>
            </w:r>
          </w:p>
        </w:tc>
        <w:tc>
          <w:tcPr>
            <w:tcW w:w="5953" w:type="dxa"/>
          </w:tcPr>
          <w:p w14:paraId="331181F6" w14:textId="618FC239" w:rsidR="000C730C" w:rsidRPr="000C730C" w:rsidRDefault="00CB3503" w:rsidP="000C730C">
            <w:pPr>
              <w:spacing w:line="360" w:lineRule="auto"/>
              <w:jc w:val="both"/>
              <w:rPr>
                <w:rFonts w:ascii="Times New Roman" w:hAnsi="Times New Roman" w:cs="Times New Roman"/>
                <w:sz w:val="28"/>
                <w:szCs w:val="28"/>
                <w:lang w:val="en-IE"/>
              </w:rPr>
            </w:pPr>
            <w:r>
              <w:rPr>
                <w:rFonts w:ascii="Times New Roman" w:hAnsi="Times New Roman" w:cs="Times New Roman"/>
                <w:sz w:val="28"/>
                <w:szCs w:val="28"/>
                <w:lang w:val="en-IE"/>
              </w:rPr>
              <w:t>21202634</w:t>
            </w:r>
          </w:p>
        </w:tc>
      </w:tr>
      <w:tr w:rsidR="000C730C" w:rsidRPr="000C730C" w14:paraId="57C6FE60" w14:textId="77777777" w:rsidTr="000C730C">
        <w:tc>
          <w:tcPr>
            <w:tcW w:w="3261" w:type="dxa"/>
          </w:tcPr>
          <w:p w14:paraId="132ADFF2" w14:textId="77777777" w:rsidR="000C730C" w:rsidRPr="000C730C" w:rsidRDefault="000C730C" w:rsidP="000C730C">
            <w:pPr>
              <w:spacing w:line="360" w:lineRule="auto"/>
              <w:jc w:val="both"/>
              <w:rPr>
                <w:rFonts w:ascii="Times New Roman" w:hAnsi="Times New Roman" w:cs="Times New Roman"/>
                <w:b/>
                <w:bCs/>
                <w:sz w:val="28"/>
                <w:szCs w:val="28"/>
                <w:lang w:val="en-IE"/>
              </w:rPr>
            </w:pPr>
          </w:p>
        </w:tc>
        <w:tc>
          <w:tcPr>
            <w:tcW w:w="5953" w:type="dxa"/>
          </w:tcPr>
          <w:p w14:paraId="6EDE0DDE" w14:textId="77777777" w:rsidR="000C730C" w:rsidRPr="000C730C" w:rsidRDefault="000C730C" w:rsidP="000C730C">
            <w:pPr>
              <w:spacing w:line="360" w:lineRule="auto"/>
              <w:jc w:val="both"/>
              <w:rPr>
                <w:rFonts w:ascii="Times New Roman" w:hAnsi="Times New Roman" w:cs="Times New Roman"/>
                <w:sz w:val="28"/>
                <w:szCs w:val="28"/>
                <w:lang w:val="en-IE"/>
              </w:rPr>
            </w:pPr>
          </w:p>
        </w:tc>
      </w:tr>
      <w:tr w:rsidR="000C730C" w:rsidRPr="000C730C" w14:paraId="2F3A92E9" w14:textId="77777777" w:rsidTr="000C730C">
        <w:tc>
          <w:tcPr>
            <w:tcW w:w="3261" w:type="dxa"/>
          </w:tcPr>
          <w:p w14:paraId="69B3860E" w14:textId="27117D4C" w:rsidR="000C730C" w:rsidRPr="000C730C" w:rsidRDefault="000C730C" w:rsidP="000C730C">
            <w:pPr>
              <w:spacing w:line="360" w:lineRule="auto"/>
              <w:jc w:val="both"/>
              <w:rPr>
                <w:rFonts w:ascii="Times New Roman" w:hAnsi="Times New Roman" w:cs="Times New Roman"/>
                <w:b/>
                <w:bCs/>
                <w:sz w:val="28"/>
                <w:szCs w:val="28"/>
                <w:lang w:val="en-IE"/>
              </w:rPr>
            </w:pPr>
            <w:r w:rsidRPr="000C730C">
              <w:rPr>
                <w:rFonts w:ascii="Times New Roman" w:hAnsi="Times New Roman" w:cs="Times New Roman"/>
                <w:b/>
                <w:bCs/>
                <w:sz w:val="28"/>
                <w:szCs w:val="28"/>
                <w:lang w:val="en-IE"/>
              </w:rPr>
              <w:t>Date of Submission</w:t>
            </w:r>
          </w:p>
        </w:tc>
        <w:tc>
          <w:tcPr>
            <w:tcW w:w="5953" w:type="dxa"/>
          </w:tcPr>
          <w:p w14:paraId="272AC7AA" w14:textId="49A90297" w:rsidR="000C730C" w:rsidRPr="000C730C" w:rsidRDefault="00CB3503" w:rsidP="000C730C">
            <w:pPr>
              <w:spacing w:line="360" w:lineRule="auto"/>
              <w:jc w:val="both"/>
              <w:rPr>
                <w:rFonts w:ascii="Times New Roman" w:hAnsi="Times New Roman" w:cs="Times New Roman"/>
                <w:sz w:val="28"/>
                <w:szCs w:val="28"/>
                <w:lang w:val="en-IE"/>
              </w:rPr>
            </w:pPr>
            <w:r>
              <w:rPr>
                <w:rFonts w:ascii="Times New Roman" w:hAnsi="Times New Roman" w:cs="Times New Roman"/>
                <w:sz w:val="28"/>
                <w:szCs w:val="28"/>
                <w:lang w:val="en-IE"/>
              </w:rPr>
              <w:t>15-Oct-2021</w:t>
            </w:r>
          </w:p>
        </w:tc>
      </w:tr>
      <w:tr w:rsidR="000C730C" w:rsidRPr="000C730C" w14:paraId="081C83E7" w14:textId="77777777" w:rsidTr="000C730C">
        <w:tc>
          <w:tcPr>
            <w:tcW w:w="3261" w:type="dxa"/>
          </w:tcPr>
          <w:p w14:paraId="58C81B1B" w14:textId="3F0F3B31" w:rsidR="000C730C" w:rsidRPr="000C730C" w:rsidRDefault="000C730C" w:rsidP="000C730C">
            <w:pPr>
              <w:jc w:val="both"/>
              <w:rPr>
                <w:rFonts w:ascii="Times New Roman" w:hAnsi="Times New Roman" w:cs="Times New Roman"/>
                <w:b/>
                <w:bCs/>
                <w:i/>
                <w:iCs/>
              </w:rPr>
            </w:pPr>
            <w:r w:rsidRPr="000C730C">
              <w:rPr>
                <w:rFonts w:ascii="Times New Roman" w:hAnsi="Times New Roman" w:cs="Times New Roman"/>
                <w:b/>
                <w:bCs/>
                <w:i/>
                <w:iCs/>
              </w:rPr>
              <w:t>I declare that the material contained in this project is the end result of my own work and that due acknowledgment has been given in the bibliography to ALL sources, be they printed, electronic or personal</w:t>
            </w:r>
          </w:p>
        </w:tc>
        <w:tc>
          <w:tcPr>
            <w:tcW w:w="5953" w:type="dxa"/>
          </w:tcPr>
          <w:p w14:paraId="0FC4B33A" w14:textId="2288E273" w:rsidR="000C730C" w:rsidRPr="00534851" w:rsidRDefault="00CB3503" w:rsidP="000C730C">
            <w:pPr>
              <w:spacing w:line="360" w:lineRule="auto"/>
              <w:jc w:val="both"/>
              <w:rPr>
                <w:rFonts w:ascii="Times New Roman" w:hAnsi="Times New Roman" w:cs="Times New Roman"/>
                <w:i/>
                <w:iCs/>
                <w:sz w:val="28"/>
                <w:szCs w:val="28"/>
                <w:lang w:val="en-IE"/>
              </w:rPr>
            </w:pPr>
            <w:r>
              <w:rPr>
                <w:rFonts w:ascii="Times New Roman" w:hAnsi="Times New Roman" w:cs="Times New Roman"/>
                <w:i/>
                <w:iCs/>
                <w:sz w:val="28"/>
                <w:szCs w:val="28"/>
                <w:lang w:val="en-IE"/>
              </w:rPr>
              <w:t>Durgesh Ramani</w:t>
            </w:r>
          </w:p>
        </w:tc>
      </w:tr>
    </w:tbl>
    <w:p w14:paraId="68000A89" w14:textId="77777777" w:rsidR="004E7DAB" w:rsidRPr="000C730C" w:rsidRDefault="004E7DAB">
      <w:pPr>
        <w:rPr>
          <w:rFonts w:ascii="Times New Roman" w:hAnsi="Times New Roman" w:cs="Times New Roman"/>
          <w:b/>
          <w:sz w:val="28"/>
          <w:szCs w:val="28"/>
        </w:rPr>
      </w:pPr>
    </w:p>
    <w:p w14:paraId="54B7B40F" w14:textId="63B31380" w:rsidR="004E7DAB" w:rsidRDefault="004E7DAB">
      <w:pPr>
        <w:rPr>
          <w:rFonts w:ascii="Times New Roman" w:hAnsi="Times New Roman" w:cs="Times New Roman"/>
          <w:b/>
          <w:sz w:val="20"/>
          <w:szCs w:val="20"/>
        </w:rPr>
      </w:pPr>
      <w:r>
        <w:rPr>
          <w:rFonts w:ascii="Times New Roman" w:hAnsi="Times New Roman" w:cs="Times New Roman"/>
          <w:b/>
          <w:sz w:val="20"/>
          <w:szCs w:val="20"/>
        </w:rPr>
        <w:br w:type="page"/>
      </w:r>
    </w:p>
    <w:p w14:paraId="13A1BC60" w14:textId="545ED254" w:rsidR="000020C2" w:rsidRPr="007F50FF" w:rsidRDefault="0024751E">
      <w:pPr>
        <w:rPr>
          <w:rFonts w:ascii="Times New Roman" w:hAnsi="Times New Roman" w:cs="Times New Roman"/>
          <w:b/>
          <w:sz w:val="20"/>
          <w:szCs w:val="20"/>
        </w:rPr>
      </w:pPr>
      <w:r w:rsidRPr="007F50FF">
        <w:rPr>
          <w:rFonts w:ascii="Times New Roman" w:hAnsi="Times New Roman" w:cs="Times New Roman"/>
          <w:b/>
          <w:sz w:val="20"/>
          <w:szCs w:val="20"/>
        </w:rPr>
        <w:lastRenderedPageBreak/>
        <w:t xml:space="preserve">1. </w:t>
      </w:r>
      <w:r w:rsidR="00DE5199" w:rsidRPr="007F50FF">
        <w:rPr>
          <w:rFonts w:ascii="Times New Roman" w:hAnsi="Times New Roman" w:cs="Times New Roman"/>
          <w:b/>
          <w:sz w:val="20"/>
          <w:szCs w:val="20"/>
        </w:rPr>
        <w:t>Introduction</w:t>
      </w:r>
    </w:p>
    <w:p w14:paraId="47E19D94" w14:textId="340B57BB" w:rsidR="00254D60" w:rsidRDefault="00CB3503" w:rsidP="00254D60">
      <w:pPr>
        <w:rPr>
          <w:rFonts w:ascii="Times New Roman" w:hAnsi="Times New Roman" w:cs="Times New Roman"/>
          <w:sz w:val="20"/>
          <w:szCs w:val="20"/>
        </w:rPr>
      </w:pPr>
      <w:r>
        <w:rPr>
          <w:rFonts w:ascii="Times New Roman" w:hAnsi="Times New Roman" w:cs="Times New Roman"/>
          <w:sz w:val="20"/>
          <w:szCs w:val="20"/>
        </w:rPr>
        <w:t>Scotts Miracle Grow</w:t>
      </w:r>
      <w:r w:rsidR="000E4F84">
        <w:rPr>
          <w:rFonts w:ascii="Times New Roman" w:hAnsi="Times New Roman" w:cs="Times New Roman"/>
          <w:sz w:val="20"/>
          <w:szCs w:val="20"/>
        </w:rPr>
        <w:t xml:space="preserve"> </w:t>
      </w:r>
      <w:r w:rsidR="00DB3A96">
        <w:rPr>
          <w:rFonts w:ascii="Times New Roman" w:hAnsi="Times New Roman" w:cs="Times New Roman"/>
          <w:sz w:val="20"/>
          <w:szCs w:val="20"/>
        </w:rPr>
        <w:t xml:space="preserve">Company (Scotts) is the </w:t>
      </w:r>
      <w:r w:rsidR="00E47655">
        <w:rPr>
          <w:rFonts w:ascii="Times New Roman" w:hAnsi="Times New Roman" w:cs="Times New Roman"/>
          <w:sz w:val="20"/>
          <w:szCs w:val="20"/>
        </w:rPr>
        <w:t>largest company</w:t>
      </w:r>
      <w:r w:rsidR="00DB3A96">
        <w:rPr>
          <w:rFonts w:ascii="Times New Roman" w:hAnsi="Times New Roman" w:cs="Times New Roman"/>
          <w:sz w:val="20"/>
          <w:szCs w:val="20"/>
        </w:rPr>
        <w:t xml:space="preserve"> of North American garden and lawn industry</w:t>
      </w:r>
      <w:r w:rsidR="00E47655">
        <w:rPr>
          <w:rFonts w:ascii="Times New Roman" w:hAnsi="Times New Roman" w:cs="Times New Roman"/>
          <w:sz w:val="20"/>
          <w:szCs w:val="20"/>
        </w:rPr>
        <w:t xml:space="preserve"> supplying and marketing consumer products for lawn</w:t>
      </w:r>
      <w:r w:rsidR="00EA641D">
        <w:rPr>
          <w:rFonts w:ascii="Times New Roman" w:hAnsi="Times New Roman" w:cs="Times New Roman"/>
          <w:sz w:val="20"/>
          <w:szCs w:val="20"/>
        </w:rPr>
        <w:t xml:space="preserve"> and</w:t>
      </w:r>
      <w:r w:rsidR="00E47655">
        <w:rPr>
          <w:rFonts w:ascii="Times New Roman" w:hAnsi="Times New Roman" w:cs="Times New Roman"/>
          <w:sz w:val="20"/>
          <w:szCs w:val="20"/>
        </w:rPr>
        <w:t xml:space="preserve"> garden care along with horticulture</w:t>
      </w:r>
      <w:r w:rsidR="00DB3A96">
        <w:rPr>
          <w:rFonts w:ascii="Times New Roman" w:hAnsi="Times New Roman" w:cs="Times New Roman"/>
          <w:sz w:val="20"/>
          <w:szCs w:val="20"/>
        </w:rPr>
        <w:t>.</w:t>
      </w:r>
      <w:r w:rsidR="004940E9">
        <w:rPr>
          <w:rFonts w:ascii="Times New Roman" w:hAnsi="Times New Roman" w:cs="Times New Roman"/>
          <w:sz w:val="20"/>
          <w:szCs w:val="20"/>
        </w:rPr>
        <w:t xml:space="preserve"> The conglomerate was formed </w:t>
      </w:r>
      <w:r w:rsidR="0090632D">
        <w:rPr>
          <w:rFonts w:ascii="Times New Roman" w:hAnsi="Times New Roman" w:cs="Times New Roman"/>
          <w:sz w:val="20"/>
          <w:szCs w:val="20"/>
        </w:rPr>
        <w:t>by</w:t>
      </w:r>
      <w:r w:rsidR="004940E9">
        <w:rPr>
          <w:rFonts w:ascii="Times New Roman" w:hAnsi="Times New Roman" w:cs="Times New Roman"/>
          <w:sz w:val="20"/>
          <w:szCs w:val="20"/>
        </w:rPr>
        <w:t xml:space="preserve"> merger of Miracle-Gro and The Scotts Company in 1995. The Scotts Company had </w:t>
      </w:r>
      <w:r w:rsidR="0090632D">
        <w:rPr>
          <w:rFonts w:ascii="Times New Roman" w:hAnsi="Times New Roman" w:cs="Times New Roman"/>
          <w:sz w:val="20"/>
          <w:szCs w:val="20"/>
        </w:rPr>
        <w:t xml:space="preserve">also </w:t>
      </w:r>
      <w:r w:rsidR="004940E9">
        <w:rPr>
          <w:rFonts w:ascii="Times New Roman" w:hAnsi="Times New Roman" w:cs="Times New Roman"/>
          <w:sz w:val="20"/>
          <w:szCs w:val="20"/>
        </w:rPr>
        <w:t>acquired Republic Tool &amp; Manufacturing Company</w:t>
      </w:r>
      <w:r w:rsidR="0090632D">
        <w:rPr>
          <w:rFonts w:ascii="Times New Roman" w:hAnsi="Times New Roman" w:cs="Times New Roman"/>
          <w:sz w:val="20"/>
          <w:szCs w:val="20"/>
        </w:rPr>
        <w:t xml:space="preserve"> (RTMC)</w:t>
      </w:r>
      <w:r w:rsidR="004940E9">
        <w:rPr>
          <w:rFonts w:ascii="Times New Roman" w:hAnsi="Times New Roman" w:cs="Times New Roman"/>
          <w:sz w:val="20"/>
          <w:szCs w:val="20"/>
        </w:rPr>
        <w:t xml:space="preserve"> in 1992.</w:t>
      </w:r>
    </w:p>
    <w:p w14:paraId="23282F36" w14:textId="77777777" w:rsidR="00035319" w:rsidRDefault="00035319" w:rsidP="00254D60">
      <w:pPr>
        <w:rPr>
          <w:rFonts w:ascii="Times New Roman" w:hAnsi="Times New Roman" w:cs="Times New Roman"/>
          <w:sz w:val="20"/>
          <w:szCs w:val="20"/>
        </w:rPr>
      </w:pPr>
    </w:p>
    <w:p w14:paraId="05BBA341" w14:textId="1504B202" w:rsidR="00321E9F" w:rsidRDefault="00E47655" w:rsidP="00254D60">
      <w:pPr>
        <w:rPr>
          <w:rFonts w:ascii="Times New Roman" w:hAnsi="Times New Roman" w:cs="Times New Roman"/>
          <w:sz w:val="20"/>
          <w:szCs w:val="20"/>
        </w:rPr>
      </w:pPr>
      <w:r>
        <w:rPr>
          <w:rFonts w:ascii="Times New Roman" w:hAnsi="Times New Roman" w:cs="Times New Roman"/>
          <w:sz w:val="20"/>
          <w:szCs w:val="20"/>
        </w:rPr>
        <w:t xml:space="preserve">Scotts currently had a manufacturing plant in Temecula, CA, USA which produced all of the domestic lawn seed and fertilizer spreaders sold. As the </w:t>
      </w:r>
      <w:r w:rsidR="00C65C82">
        <w:rPr>
          <w:rFonts w:ascii="Times New Roman" w:hAnsi="Times New Roman" w:cs="Times New Roman"/>
          <w:sz w:val="20"/>
          <w:szCs w:val="20"/>
        </w:rPr>
        <w:t>costs of manufacturing in US was high, t</w:t>
      </w:r>
      <w:r>
        <w:rPr>
          <w:rFonts w:ascii="Times New Roman" w:hAnsi="Times New Roman" w:cs="Times New Roman"/>
          <w:sz w:val="20"/>
          <w:szCs w:val="20"/>
        </w:rPr>
        <w:t>he director of operations</w:t>
      </w:r>
      <w:r w:rsidR="00254D60">
        <w:rPr>
          <w:rFonts w:ascii="Times New Roman" w:hAnsi="Times New Roman" w:cs="Times New Roman"/>
          <w:sz w:val="20"/>
          <w:szCs w:val="20"/>
        </w:rPr>
        <w:t xml:space="preserve">, Mr. </w:t>
      </w:r>
      <w:proofErr w:type="spellStart"/>
      <w:r w:rsidR="00254D60">
        <w:rPr>
          <w:rFonts w:ascii="Times New Roman" w:hAnsi="Times New Roman" w:cs="Times New Roman"/>
          <w:sz w:val="20"/>
          <w:szCs w:val="20"/>
        </w:rPr>
        <w:t>Bowcombe</w:t>
      </w:r>
      <w:proofErr w:type="spellEnd"/>
      <w:r w:rsidR="00254D60">
        <w:rPr>
          <w:rFonts w:ascii="Times New Roman" w:hAnsi="Times New Roman" w:cs="Times New Roman"/>
          <w:sz w:val="20"/>
          <w:szCs w:val="20"/>
        </w:rPr>
        <w:t>,</w:t>
      </w:r>
      <w:r>
        <w:rPr>
          <w:rFonts w:ascii="Times New Roman" w:hAnsi="Times New Roman" w:cs="Times New Roman"/>
          <w:sz w:val="20"/>
          <w:szCs w:val="20"/>
        </w:rPr>
        <w:t xml:space="preserve"> at Temecula plant was under severe </w:t>
      </w:r>
      <w:r w:rsidR="00254D60">
        <w:rPr>
          <w:rFonts w:ascii="Times New Roman" w:hAnsi="Times New Roman" w:cs="Times New Roman"/>
          <w:sz w:val="20"/>
          <w:szCs w:val="20"/>
        </w:rPr>
        <w:t xml:space="preserve">pressure to </w:t>
      </w:r>
      <w:r w:rsidR="00C65C82">
        <w:rPr>
          <w:rFonts w:ascii="Times New Roman" w:hAnsi="Times New Roman" w:cs="Times New Roman"/>
          <w:sz w:val="20"/>
          <w:szCs w:val="20"/>
        </w:rPr>
        <w:t xml:space="preserve">justify the price tag. Although there were many </w:t>
      </w:r>
      <w:r w:rsidR="00321E9F">
        <w:rPr>
          <w:rFonts w:ascii="Times New Roman" w:hAnsi="Times New Roman" w:cs="Times New Roman"/>
          <w:sz w:val="20"/>
          <w:szCs w:val="20"/>
        </w:rPr>
        <w:t xml:space="preserve">ongoing </w:t>
      </w:r>
      <w:r w:rsidR="00C65C82">
        <w:rPr>
          <w:rFonts w:ascii="Times New Roman" w:hAnsi="Times New Roman" w:cs="Times New Roman"/>
          <w:sz w:val="20"/>
          <w:szCs w:val="20"/>
        </w:rPr>
        <w:t xml:space="preserve">design and quality improvements which </w:t>
      </w:r>
      <w:r w:rsidR="00321E9F">
        <w:rPr>
          <w:rFonts w:ascii="Times New Roman" w:hAnsi="Times New Roman" w:cs="Times New Roman"/>
          <w:sz w:val="20"/>
          <w:szCs w:val="20"/>
        </w:rPr>
        <w:t>reflected in cost savings</w:t>
      </w:r>
      <w:r w:rsidR="00C65C82">
        <w:rPr>
          <w:rFonts w:ascii="Times New Roman" w:hAnsi="Times New Roman" w:cs="Times New Roman"/>
          <w:sz w:val="20"/>
          <w:szCs w:val="20"/>
        </w:rPr>
        <w:t>, the higher management seemed eager to outsource or offshore entire Temecula operations in China.</w:t>
      </w:r>
    </w:p>
    <w:p w14:paraId="15931C54" w14:textId="77777777" w:rsidR="00035319" w:rsidRDefault="00035319" w:rsidP="00254D60">
      <w:pPr>
        <w:rPr>
          <w:rFonts w:ascii="Times New Roman" w:hAnsi="Times New Roman" w:cs="Times New Roman"/>
          <w:sz w:val="20"/>
          <w:szCs w:val="20"/>
        </w:rPr>
      </w:pPr>
    </w:p>
    <w:p w14:paraId="386887C7" w14:textId="781EC962" w:rsidR="007F50FF" w:rsidRDefault="00321E9F" w:rsidP="00DE5199">
      <w:pPr>
        <w:rPr>
          <w:rFonts w:ascii="Times New Roman" w:hAnsi="Times New Roman" w:cs="Times New Roman"/>
          <w:sz w:val="20"/>
          <w:szCs w:val="20"/>
        </w:rPr>
      </w:pPr>
      <w:r>
        <w:rPr>
          <w:rFonts w:ascii="Times New Roman" w:hAnsi="Times New Roman" w:cs="Times New Roman"/>
          <w:sz w:val="20"/>
          <w:szCs w:val="20"/>
        </w:rPr>
        <w:t xml:space="preserve">There are many variables involved in this decision besides cost like company’s </w:t>
      </w:r>
      <w:r w:rsidR="005B2A2B">
        <w:rPr>
          <w:rFonts w:ascii="Times New Roman" w:hAnsi="Times New Roman" w:cs="Times New Roman"/>
          <w:sz w:val="20"/>
          <w:szCs w:val="20"/>
        </w:rPr>
        <w:t>long-term</w:t>
      </w:r>
      <w:r>
        <w:rPr>
          <w:rFonts w:ascii="Times New Roman" w:hAnsi="Times New Roman" w:cs="Times New Roman"/>
          <w:sz w:val="20"/>
          <w:szCs w:val="20"/>
        </w:rPr>
        <w:t xml:space="preserve"> strategy, </w:t>
      </w:r>
      <w:r w:rsidR="005B2A2B">
        <w:rPr>
          <w:rFonts w:ascii="Times New Roman" w:hAnsi="Times New Roman" w:cs="Times New Roman"/>
          <w:sz w:val="20"/>
          <w:szCs w:val="20"/>
        </w:rPr>
        <w:t xml:space="preserve">the delay and dependency in supply chain, </w:t>
      </w:r>
      <w:r w:rsidR="00035319">
        <w:rPr>
          <w:rFonts w:ascii="Times New Roman" w:hAnsi="Times New Roman" w:cs="Times New Roman"/>
          <w:sz w:val="20"/>
          <w:szCs w:val="20"/>
        </w:rPr>
        <w:t xml:space="preserve">environmental effect, reputational issues, </w:t>
      </w:r>
      <w:r w:rsidR="005B2A2B">
        <w:rPr>
          <w:rFonts w:ascii="Times New Roman" w:hAnsi="Times New Roman" w:cs="Times New Roman"/>
          <w:sz w:val="20"/>
          <w:szCs w:val="20"/>
        </w:rPr>
        <w:t>China related risks like currency variations and other policies impacting cost</w:t>
      </w:r>
      <w:r w:rsidR="00254D60">
        <w:rPr>
          <w:rFonts w:ascii="Times New Roman" w:hAnsi="Times New Roman" w:cs="Times New Roman"/>
          <w:sz w:val="20"/>
          <w:szCs w:val="20"/>
        </w:rPr>
        <w:t xml:space="preserve"> of manufacturing.</w:t>
      </w:r>
      <w:r w:rsidR="00035319">
        <w:rPr>
          <w:rFonts w:ascii="Times New Roman" w:hAnsi="Times New Roman" w:cs="Times New Roman"/>
          <w:sz w:val="20"/>
          <w:szCs w:val="20"/>
        </w:rPr>
        <w:t xml:space="preserve"> Although Mr. </w:t>
      </w:r>
      <w:proofErr w:type="spellStart"/>
      <w:r w:rsidR="00035319">
        <w:rPr>
          <w:rFonts w:ascii="Times New Roman" w:hAnsi="Times New Roman" w:cs="Times New Roman"/>
          <w:sz w:val="20"/>
          <w:szCs w:val="20"/>
        </w:rPr>
        <w:t>Bowcombe</w:t>
      </w:r>
      <w:proofErr w:type="spellEnd"/>
      <w:r w:rsidR="00035319">
        <w:rPr>
          <w:rFonts w:ascii="Times New Roman" w:hAnsi="Times New Roman" w:cs="Times New Roman"/>
          <w:sz w:val="20"/>
          <w:szCs w:val="20"/>
        </w:rPr>
        <w:t xml:space="preserve"> was keen on continuing the operations or go for offshoring, analysis is done below to take into account various factors mentioned above</w:t>
      </w:r>
      <w:r w:rsidR="006F6AEE">
        <w:rPr>
          <w:rFonts w:ascii="Times New Roman" w:hAnsi="Times New Roman" w:cs="Times New Roman"/>
          <w:sz w:val="20"/>
          <w:szCs w:val="20"/>
        </w:rPr>
        <w:t xml:space="preserve"> to help management arrive at decision to continue/outsource/offshore</w:t>
      </w:r>
      <w:r w:rsidR="00035319">
        <w:rPr>
          <w:rFonts w:ascii="Times New Roman" w:hAnsi="Times New Roman" w:cs="Times New Roman"/>
          <w:sz w:val="20"/>
          <w:szCs w:val="20"/>
        </w:rPr>
        <w:t>.</w:t>
      </w:r>
    </w:p>
    <w:p w14:paraId="1D2DB5B6" w14:textId="77777777" w:rsidR="007F50FF" w:rsidRPr="007F50FF" w:rsidRDefault="007F50FF" w:rsidP="00DE5199">
      <w:pPr>
        <w:rPr>
          <w:rFonts w:ascii="Times New Roman" w:hAnsi="Times New Roman" w:cs="Times New Roman"/>
          <w:sz w:val="20"/>
          <w:szCs w:val="20"/>
        </w:rPr>
      </w:pPr>
    </w:p>
    <w:p w14:paraId="3B01A3C7" w14:textId="43B6500E" w:rsidR="0024751E" w:rsidRPr="007F50FF" w:rsidRDefault="0024751E" w:rsidP="00DE5199">
      <w:pPr>
        <w:rPr>
          <w:rFonts w:ascii="Times New Roman" w:hAnsi="Times New Roman" w:cs="Times New Roman"/>
          <w:b/>
          <w:sz w:val="20"/>
          <w:szCs w:val="20"/>
        </w:rPr>
      </w:pPr>
      <w:r w:rsidRPr="007F50FF">
        <w:rPr>
          <w:rFonts w:ascii="Times New Roman" w:hAnsi="Times New Roman" w:cs="Times New Roman"/>
          <w:b/>
          <w:sz w:val="20"/>
          <w:szCs w:val="20"/>
        </w:rPr>
        <w:t>2 Analysis</w:t>
      </w:r>
    </w:p>
    <w:p w14:paraId="4754E553" w14:textId="0187BFC7" w:rsidR="00CB3503" w:rsidRPr="007F50FF" w:rsidRDefault="00CB3503" w:rsidP="00DE5199">
      <w:pPr>
        <w:rPr>
          <w:rFonts w:ascii="Times New Roman" w:hAnsi="Times New Roman" w:cs="Times New Roman"/>
          <w:sz w:val="20"/>
          <w:szCs w:val="20"/>
        </w:rPr>
      </w:pPr>
      <w:r>
        <w:rPr>
          <w:rFonts w:ascii="Times New Roman" w:hAnsi="Times New Roman" w:cs="Times New Roman"/>
          <w:sz w:val="20"/>
          <w:szCs w:val="20"/>
        </w:rPr>
        <w:t xml:space="preserve">This section </w:t>
      </w:r>
      <w:r w:rsidR="00331197">
        <w:rPr>
          <w:rFonts w:ascii="Times New Roman" w:hAnsi="Times New Roman" w:cs="Times New Roman"/>
          <w:sz w:val="20"/>
          <w:szCs w:val="20"/>
        </w:rPr>
        <w:t>describes impact of strategic move to China for manufacturing</w:t>
      </w:r>
      <w:r w:rsidR="00016BCB">
        <w:rPr>
          <w:rFonts w:ascii="Times New Roman" w:hAnsi="Times New Roman" w:cs="Times New Roman"/>
          <w:sz w:val="20"/>
          <w:szCs w:val="20"/>
        </w:rPr>
        <w:t xml:space="preserve"> the</w:t>
      </w:r>
      <w:r w:rsidR="00331197">
        <w:rPr>
          <w:rFonts w:ascii="Times New Roman" w:hAnsi="Times New Roman" w:cs="Times New Roman"/>
          <w:sz w:val="20"/>
          <w:szCs w:val="20"/>
        </w:rPr>
        <w:t xml:space="preserve"> spreaders- by the virtue of either outsourcing or offshoring</w:t>
      </w:r>
      <w:r w:rsidR="00445A3A">
        <w:rPr>
          <w:rFonts w:ascii="Times New Roman" w:hAnsi="Times New Roman" w:cs="Times New Roman"/>
          <w:sz w:val="20"/>
          <w:szCs w:val="20"/>
        </w:rPr>
        <w:t xml:space="preserve">. </w:t>
      </w:r>
      <w:r w:rsidR="00331197">
        <w:rPr>
          <w:rFonts w:ascii="Times New Roman" w:hAnsi="Times New Roman" w:cs="Times New Roman"/>
          <w:sz w:val="20"/>
          <w:szCs w:val="20"/>
        </w:rPr>
        <w:t>It also details how the cost pans out over 10-year horizon</w:t>
      </w:r>
      <w:r w:rsidR="00DB3A96">
        <w:rPr>
          <w:rFonts w:ascii="Times New Roman" w:hAnsi="Times New Roman" w:cs="Times New Roman"/>
          <w:sz w:val="20"/>
          <w:szCs w:val="20"/>
        </w:rPr>
        <w:t>.</w:t>
      </w:r>
      <w:r w:rsidR="00016BCB">
        <w:rPr>
          <w:rFonts w:ascii="Times New Roman" w:hAnsi="Times New Roman" w:cs="Times New Roman"/>
          <w:sz w:val="20"/>
          <w:szCs w:val="20"/>
        </w:rPr>
        <w:t xml:space="preserve"> Please note inflation is assumed to be same across both countries and not factored into this analysis.</w:t>
      </w:r>
      <w:r w:rsidR="00E72F88">
        <w:rPr>
          <w:rFonts w:ascii="Times New Roman" w:hAnsi="Times New Roman" w:cs="Times New Roman"/>
          <w:sz w:val="20"/>
          <w:szCs w:val="20"/>
        </w:rPr>
        <w:t xml:space="preserve"> Also, all multi-year changes are spread evenly across all years.</w:t>
      </w:r>
    </w:p>
    <w:p w14:paraId="3A0681D3" w14:textId="77777777" w:rsidR="0024751E" w:rsidRPr="007F50FF" w:rsidRDefault="0024751E" w:rsidP="00DE5199">
      <w:pPr>
        <w:rPr>
          <w:rFonts w:ascii="Times New Roman" w:hAnsi="Times New Roman" w:cs="Times New Roman"/>
          <w:sz w:val="20"/>
          <w:szCs w:val="20"/>
        </w:rPr>
      </w:pPr>
    </w:p>
    <w:p w14:paraId="2F0AF8F9" w14:textId="7FFEF381" w:rsidR="0024751E" w:rsidRPr="007F50FF" w:rsidRDefault="0024751E" w:rsidP="00DE5199">
      <w:pPr>
        <w:rPr>
          <w:rFonts w:ascii="Times New Roman" w:hAnsi="Times New Roman" w:cs="Times New Roman"/>
          <w:i/>
          <w:sz w:val="20"/>
          <w:szCs w:val="20"/>
        </w:rPr>
      </w:pPr>
      <w:r w:rsidRPr="007F50FF">
        <w:rPr>
          <w:rFonts w:ascii="Times New Roman" w:hAnsi="Times New Roman" w:cs="Times New Roman"/>
          <w:i/>
          <w:sz w:val="20"/>
          <w:szCs w:val="20"/>
        </w:rPr>
        <w:t xml:space="preserve">2.1 </w:t>
      </w:r>
      <w:r w:rsidR="003B63EE">
        <w:rPr>
          <w:rFonts w:ascii="Times New Roman" w:hAnsi="Times New Roman" w:cs="Times New Roman"/>
          <w:i/>
          <w:sz w:val="20"/>
          <w:szCs w:val="20"/>
        </w:rPr>
        <w:t>Offshoring &amp; Outsourcing</w:t>
      </w:r>
    </w:p>
    <w:p w14:paraId="223A7547" w14:textId="064E10FC" w:rsidR="00E91275" w:rsidRDefault="0025638F" w:rsidP="00DE5199">
      <w:pPr>
        <w:rPr>
          <w:rFonts w:ascii="Times New Roman" w:hAnsi="Times New Roman" w:cs="Times New Roman"/>
          <w:sz w:val="20"/>
          <w:szCs w:val="20"/>
        </w:rPr>
      </w:pPr>
      <w:r>
        <w:rPr>
          <w:rFonts w:ascii="Times New Roman" w:hAnsi="Times New Roman" w:cs="Times New Roman"/>
          <w:sz w:val="20"/>
          <w:szCs w:val="20"/>
        </w:rPr>
        <w:t>Strategic changes are involved while moving operations from Temecula to China, either via offshoring or outsourcing.</w:t>
      </w:r>
      <w:r w:rsidR="002A5039">
        <w:rPr>
          <w:rFonts w:ascii="Times New Roman" w:hAnsi="Times New Roman" w:cs="Times New Roman"/>
          <w:sz w:val="20"/>
          <w:szCs w:val="20"/>
        </w:rPr>
        <w:t xml:space="preserve"> Below are some opportunities and threats that can be thought of</w:t>
      </w:r>
      <w:r w:rsidR="00B0054B">
        <w:rPr>
          <w:rFonts w:ascii="Times New Roman" w:hAnsi="Times New Roman" w:cs="Times New Roman"/>
          <w:sz w:val="20"/>
          <w:szCs w:val="20"/>
        </w:rPr>
        <w:t>, along with some factors that are considered for this case study</w:t>
      </w:r>
      <w:r w:rsidR="00EA641D">
        <w:rPr>
          <w:rFonts w:ascii="Times New Roman" w:hAnsi="Times New Roman" w:cs="Times New Roman"/>
          <w:sz w:val="20"/>
          <w:szCs w:val="20"/>
        </w:rPr>
        <w:t>.</w:t>
      </w:r>
    </w:p>
    <w:p w14:paraId="3525E973" w14:textId="0A79A710" w:rsidR="002A5039" w:rsidRDefault="002A5039" w:rsidP="00DE5199">
      <w:pPr>
        <w:rPr>
          <w:rFonts w:ascii="Times New Roman" w:hAnsi="Times New Roman" w:cs="Times New Roman"/>
          <w:sz w:val="20"/>
          <w:szCs w:val="20"/>
        </w:rPr>
      </w:pPr>
    </w:p>
    <w:p w14:paraId="780AD2D2" w14:textId="01849508" w:rsidR="002A5039" w:rsidRPr="002A5039" w:rsidRDefault="002A5039" w:rsidP="00DE5199">
      <w:pPr>
        <w:rPr>
          <w:rFonts w:ascii="Times New Roman" w:hAnsi="Times New Roman" w:cs="Times New Roman"/>
          <w:i/>
          <w:iCs/>
          <w:sz w:val="20"/>
          <w:szCs w:val="20"/>
        </w:rPr>
      </w:pPr>
      <w:r w:rsidRPr="002A5039">
        <w:rPr>
          <w:rFonts w:ascii="Times New Roman" w:hAnsi="Times New Roman" w:cs="Times New Roman"/>
          <w:i/>
          <w:iCs/>
          <w:sz w:val="20"/>
          <w:szCs w:val="20"/>
        </w:rPr>
        <w:t>2.1.1 Strengths</w:t>
      </w:r>
    </w:p>
    <w:p w14:paraId="5655FA32" w14:textId="25EFBF87" w:rsidR="002A5039" w:rsidRDefault="002A5039" w:rsidP="00DE5199">
      <w:pPr>
        <w:rPr>
          <w:rFonts w:ascii="Times New Roman" w:hAnsi="Times New Roman" w:cs="Times New Roman"/>
          <w:sz w:val="20"/>
          <w:szCs w:val="20"/>
        </w:rPr>
      </w:pPr>
      <w:r w:rsidRPr="009411CB">
        <w:rPr>
          <w:rFonts w:ascii="Times New Roman" w:hAnsi="Times New Roman" w:cs="Times New Roman"/>
          <w:sz w:val="20"/>
          <w:szCs w:val="20"/>
          <w:u w:val="single"/>
        </w:rPr>
        <w:t>Cost reduction:</w:t>
      </w:r>
      <w:r>
        <w:rPr>
          <w:rFonts w:ascii="Times New Roman" w:hAnsi="Times New Roman" w:cs="Times New Roman"/>
          <w:sz w:val="20"/>
          <w:szCs w:val="20"/>
        </w:rPr>
        <w:t xml:space="preserve"> Majority of the costs </w:t>
      </w:r>
      <w:r w:rsidR="009411CB">
        <w:rPr>
          <w:rFonts w:ascii="Times New Roman" w:hAnsi="Times New Roman" w:cs="Times New Roman"/>
          <w:sz w:val="20"/>
          <w:szCs w:val="20"/>
        </w:rPr>
        <w:t xml:space="preserve">in Temecula </w:t>
      </w:r>
      <w:r>
        <w:rPr>
          <w:rFonts w:ascii="Times New Roman" w:hAnsi="Times New Roman" w:cs="Times New Roman"/>
          <w:sz w:val="20"/>
          <w:szCs w:val="20"/>
        </w:rPr>
        <w:t>are lease, labour</w:t>
      </w:r>
      <w:r w:rsidR="009411CB">
        <w:rPr>
          <w:rFonts w:ascii="Times New Roman" w:hAnsi="Times New Roman" w:cs="Times New Roman"/>
          <w:sz w:val="20"/>
          <w:szCs w:val="20"/>
        </w:rPr>
        <w:t xml:space="preserve">, and overhead </w:t>
      </w:r>
      <w:r w:rsidR="00813E7A">
        <w:rPr>
          <w:rFonts w:ascii="Times New Roman" w:hAnsi="Times New Roman" w:cs="Times New Roman"/>
          <w:sz w:val="20"/>
          <w:szCs w:val="20"/>
        </w:rPr>
        <w:t xml:space="preserve">(Pie Chart </w:t>
      </w:r>
      <w:proofErr w:type="gramStart"/>
      <w:r w:rsidR="00813E7A">
        <w:rPr>
          <w:rFonts w:ascii="Times New Roman" w:hAnsi="Times New Roman" w:cs="Times New Roman"/>
          <w:sz w:val="20"/>
          <w:szCs w:val="20"/>
        </w:rPr>
        <w:t>2)</w:t>
      </w:r>
      <w:r w:rsidR="009411CB">
        <w:rPr>
          <w:rFonts w:ascii="Times New Roman" w:hAnsi="Times New Roman" w:cs="Times New Roman"/>
          <w:sz w:val="20"/>
          <w:szCs w:val="20"/>
        </w:rPr>
        <w:t>and</w:t>
      </w:r>
      <w:proofErr w:type="gramEnd"/>
      <w:r w:rsidR="009411CB">
        <w:rPr>
          <w:rFonts w:ascii="Times New Roman" w:hAnsi="Times New Roman" w:cs="Times New Roman"/>
          <w:sz w:val="20"/>
          <w:szCs w:val="20"/>
        </w:rPr>
        <w:t xml:space="preserve"> outsourcing it to China reduces all 3, which completely offset extra costs added by China production like freight and FX fluctuation cost of Yuan. The analysis is in sections 2.2 onwards</w:t>
      </w:r>
      <w:r w:rsidR="00B0054B">
        <w:rPr>
          <w:rFonts w:ascii="Times New Roman" w:hAnsi="Times New Roman" w:cs="Times New Roman"/>
          <w:sz w:val="20"/>
          <w:szCs w:val="20"/>
        </w:rPr>
        <w:t>.</w:t>
      </w:r>
      <w:r w:rsidR="00EA641D">
        <w:rPr>
          <w:rFonts w:ascii="Times New Roman" w:hAnsi="Times New Roman" w:cs="Times New Roman"/>
          <w:sz w:val="20"/>
          <w:szCs w:val="20"/>
        </w:rPr>
        <w:t xml:space="preserve"> The cost reduction is in the range of around 20% when compared with Temecula plant.</w:t>
      </w:r>
    </w:p>
    <w:p w14:paraId="3DB681DA" w14:textId="77777777" w:rsidR="00676E73" w:rsidRDefault="00676E73" w:rsidP="00DE5199">
      <w:pPr>
        <w:rPr>
          <w:rFonts w:ascii="Times New Roman" w:hAnsi="Times New Roman" w:cs="Times New Roman"/>
          <w:sz w:val="20"/>
          <w:szCs w:val="20"/>
          <w:u w:val="single"/>
        </w:rPr>
      </w:pPr>
    </w:p>
    <w:p w14:paraId="61AAE26E" w14:textId="6C3D4F0A" w:rsidR="002A5039" w:rsidRDefault="002A5039" w:rsidP="00DE5199">
      <w:pPr>
        <w:rPr>
          <w:rFonts w:ascii="Times New Roman" w:hAnsi="Times New Roman" w:cs="Times New Roman"/>
          <w:sz w:val="20"/>
          <w:szCs w:val="20"/>
        </w:rPr>
      </w:pPr>
      <w:r w:rsidRPr="009411CB">
        <w:rPr>
          <w:rFonts w:ascii="Times New Roman" w:hAnsi="Times New Roman" w:cs="Times New Roman"/>
          <w:sz w:val="20"/>
          <w:szCs w:val="20"/>
          <w:u w:val="single"/>
        </w:rPr>
        <w:t xml:space="preserve">Focus on “core </w:t>
      </w:r>
      <w:r w:rsidR="00B0054B" w:rsidRPr="009411CB">
        <w:rPr>
          <w:rFonts w:ascii="Times New Roman" w:hAnsi="Times New Roman" w:cs="Times New Roman"/>
          <w:sz w:val="20"/>
          <w:szCs w:val="20"/>
          <w:u w:val="single"/>
        </w:rPr>
        <w:t>competency”</w:t>
      </w:r>
      <w:r w:rsidR="00EA641D" w:rsidRPr="00EA641D">
        <w:rPr>
          <w:rFonts w:ascii="Times New Roman" w:hAnsi="Times New Roman" w:cs="Times New Roman"/>
          <w:sz w:val="20"/>
          <w:szCs w:val="20"/>
          <w:u w:val="single"/>
          <w:vertAlign w:val="superscript"/>
        </w:rPr>
        <w:t>1</w:t>
      </w:r>
      <w:r w:rsidRPr="009411CB">
        <w:rPr>
          <w:rFonts w:ascii="Times New Roman" w:hAnsi="Times New Roman" w:cs="Times New Roman"/>
          <w:sz w:val="20"/>
          <w:szCs w:val="20"/>
          <w:u w:val="single"/>
        </w:rPr>
        <w:t>:</w:t>
      </w:r>
      <w:r w:rsidR="009411CB">
        <w:rPr>
          <w:rFonts w:ascii="Times New Roman" w:hAnsi="Times New Roman" w:cs="Times New Roman"/>
          <w:sz w:val="20"/>
          <w:szCs w:val="20"/>
        </w:rPr>
        <w:t xml:space="preserve"> When it comes to manufacturing of spreaders, Scotts can focus on design of spreaders- outsourcing its manufacturing and focusing on “core competencies” of design (assumed core competency) and leveraging the wide distribution network to sell those</w:t>
      </w:r>
      <w:r w:rsidR="00164190">
        <w:rPr>
          <w:rFonts w:ascii="Times New Roman" w:hAnsi="Times New Roman" w:cs="Times New Roman"/>
          <w:sz w:val="20"/>
          <w:szCs w:val="20"/>
        </w:rPr>
        <w:t xml:space="preserve"> which is a given competency for Scotts</w:t>
      </w:r>
      <w:r w:rsidR="009411CB">
        <w:rPr>
          <w:rFonts w:ascii="Times New Roman" w:hAnsi="Times New Roman" w:cs="Times New Roman"/>
          <w:sz w:val="20"/>
          <w:szCs w:val="20"/>
        </w:rPr>
        <w:t xml:space="preserve">. Outsourcing as well as offshoring lets Scott deploy more resources on generating value in long run. </w:t>
      </w:r>
    </w:p>
    <w:p w14:paraId="29CA2861" w14:textId="77777777" w:rsidR="00676E73" w:rsidRDefault="00676E73" w:rsidP="00DE5199">
      <w:pPr>
        <w:rPr>
          <w:rFonts w:ascii="Times New Roman" w:hAnsi="Times New Roman" w:cs="Times New Roman"/>
          <w:sz w:val="20"/>
          <w:szCs w:val="20"/>
          <w:u w:val="single"/>
        </w:rPr>
      </w:pPr>
    </w:p>
    <w:p w14:paraId="1E455DAE" w14:textId="070E1B63" w:rsidR="002A5039" w:rsidRDefault="002A5039" w:rsidP="00DE5199">
      <w:pPr>
        <w:rPr>
          <w:rFonts w:ascii="Times New Roman" w:hAnsi="Times New Roman" w:cs="Times New Roman"/>
          <w:sz w:val="20"/>
          <w:szCs w:val="20"/>
        </w:rPr>
      </w:pPr>
      <w:r w:rsidRPr="009411CB">
        <w:rPr>
          <w:rFonts w:ascii="Times New Roman" w:hAnsi="Times New Roman" w:cs="Times New Roman"/>
          <w:sz w:val="20"/>
          <w:szCs w:val="20"/>
          <w:u w:val="single"/>
        </w:rPr>
        <w:t>Flexibility:</w:t>
      </w:r>
      <w:r w:rsidR="009411CB">
        <w:rPr>
          <w:rFonts w:ascii="Times New Roman" w:hAnsi="Times New Roman" w:cs="Times New Roman"/>
          <w:sz w:val="20"/>
          <w:szCs w:val="20"/>
        </w:rPr>
        <w:t xml:space="preserve"> It allows Scotts to change its supplier to new location/entity if they are able to find a vendor with better cost, quality and lead time metrics without adding a lot of additional overhead.</w:t>
      </w:r>
    </w:p>
    <w:p w14:paraId="433D560B" w14:textId="77777777" w:rsidR="00164190" w:rsidRDefault="00164190" w:rsidP="00DE5199">
      <w:pPr>
        <w:rPr>
          <w:rFonts w:ascii="Times New Roman" w:hAnsi="Times New Roman" w:cs="Times New Roman"/>
          <w:sz w:val="20"/>
          <w:szCs w:val="20"/>
        </w:rPr>
      </w:pPr>
    </w:p>
    <w:p w14:paraId="0DCDA9D8" w14:textId="60C2DB43" w:rsidR="009411CB" w:rsidRDefault="009411CB" w:rsidP="00DE5199">
      <w:pPr>
        <w:rPr>
          <w:rFonts w:ascii="Times New Roman" w:hAnsi="Times New Roman" w:cs="Times New Roman"/>
          <w:sz w:val="20"/>
          <w:szCs w:val="20"/>
        </w:rPr>
      </w:pPr>
      <w:r w:rsidRPr="009411CB">
        <w:rPr>
          <w:rFonts w:ascii="Times New Roman" w:hAnsi="Times New Roman" w:cs="Times New Roman"/>
          <w:sz w:val="20"/>
          <w:szCs w:val="20"/>
          <w:u w:val="single"/>
        </w:rPr>
        <w:t>Capacity Aggregation</w:t>
      </w:r>
      <w:r w:rsidR="00164190" w:rsidRPr="00164190">
        <w:rPr>
          <w:rFonts w:ascii="Times New Roman" w:hAnsi="Times New Roman" w:cs="Times New Roman"/>
          <w:sz w:val="20"/>
          <w:szCs w:val="20"/>
          <w:u w:val="single"/>
          <w:vertAlign w:val="superscript"/>
        </w:rPr>
        <w:t>2</w:t>
      </w:r>
      <w:r w:rsidR="00A97740">
        <w:rPr>
          <w:rFonts w:ascii="Times New Roman" w:hAnsi="Times New Roman" w:cs="Times New Roman"/>
          <w:sz w:val="20"/>
          <w:szCs w:val="20"/>
          <w:u w:val="single"/>
          <w:vertAlign w:val="superscript"/>
        </w:rPr>
        <w:t xml:space="preserve"> (p 431)</w:t>
      </w:r>
      <w:r w:rsidRPr="009411CB">
        <w:rPr>
          <w:rFonts w:ascii="Times New Roman" w:hAnsi="Times New Roman" w:cs="Times New Roman"/>
          <w:sz w:val="20"/>
          <w:szCs w:val="20"/>
          <w:u w:val="single"/>
        </w:rPr>
        <w:t>:</w:t>
      </w:r>
      <w:r>
        <w:rPr>
          <w:rFonts w:ascii="Times New Roman" w:hAnsi="Times New Roman" w:cs="Times New Roman"/>
          <w:sz w:val="20"/>
          <w:szCs w:val="20"/>
        </w:rPr>
        <w:t xml:space="preserve"> Moulds can be reused to make </w:t>
      </w:r>
      <w:r w:rsidR="004B3D15">
        <w:rPr>
          <w:rFonts w:ascii="Times New Roman" w:hAnsi="Times New Roman" w:cs="Times New Roman"/>
          <w:sz w:val="20"/>
          <w:szCs w:val="20"/>
        </w:rPr>
        <w:t>some other items (if possible)</w:t>
      </w:r>
      <w:r>
        <w:rPr>
          <w:rFonts w:ascii="Times New Roman" w:hAnsi="Times New Roman" w:cs="Times New Roman"/>
          <w:sz w:val="20"/>
          <w:szCs w:val="20"/>
        </w:rPr>
        <w:t xml:space="preserve"> and achieve economies of scale</w:t>
      </w:r>
      <w:r w:rsidR="00164190">
        <w:rPr>
          <w:rFonts w:ascii="Times New Roman" w:hAnsi="Times New Roman" w:cs="Times New Roman"/>
          <w:sz w:val="20"/>
          <w:szCs w:val="20"/>
        </w:rPr>
        <w:t>, especially if the product like fertilizer spreader is seasonal.</w:t>
      </w:r>
    </w:p>
    <w:p w14:paraId="089D20AB" w14:textId="7B567E04" w:rsidR="002A5039" w:rsidRDefault="002A5039" w:rsidP="00DE5199">
      <w:pPr>
        <w:rPr>
          <w:rFonts w:ascii="Times New Roman" w:hAnsi="Times New Roman" w:cs="Times New Roman"/>
          <w:sz w:val="20"/>
          <w:szCs w:val="20"/>
        </w:rPr>
      </w:pPr>
    </w:p>
    <w:p w14:paraId="402D576A" w14:textId="511DDCC1" w:rsidR="002A5039" w:rsidRPr="002A5039" w:rsidRDefault="002A5039" w:rsidP="00DE5199">
      <w:pPr>
        <w:rPr>
          <w:rFonts w:ascii="Times New Roman" w:hAnsi="Times New Roman" w:cs="Times New Roman"/>
          <w:i/>
          <w:iCs/>
          <w:sz w:val="20"/>
          <w:szCs w:val="20"/>
        </w:rPr>
      </w:pPr>
      <w:r w:rsidRPr="002A5039">
        <w:rPr>
          <w:rFonts w:ascii="Times New Roman" w:hAnsi="Times New Roman" w:cs="Times New Roman"/>
          <w:i/>
          <w:iCs/>
          <w:sz w:val="20"/>
          <w:szCs w:val="20"/>
        </w:rPr>
        <w:t>2.1.2 Weaknesses</w:t>
      </w:r>
    </w:p>
    <w:p w14:paraId="716996D2" w14:textId="2047AF9A" w:rsidR="00132988" w:rsidRDefault="009411CB" w:rsidP="00DE5199">
      <w:pPr>
        <w:rPr>
          <w:rFonts w:ascii="Times New Roman" w:hAnsi="Times New Roman" w:cs="Times New Roman"/>
          <w:sz w:val="20"/>
          <w:szCs w:val="20"/>
        </w:rPr>
      </w:pPr>
      <w:r w:rsidRPr="009411CB">
        <w:rPr>
          <w:rFonts w:ascii="Times New Roman" w:hAnsi="Times New Roman" w:cs="Times New Roman"/>
          <w:sz w:val="20"/>
          <w:szCs w:val="20"/>
          <w:u w:val="single"/>
        </w:rPr>
        <w:t>Lengthy and brittle supply chain</w:t>
      </w:r>
      <w:r w:rsidR="002A5039" w:rsidRPr="009411CB">
        <w:rPr>
          <w:rFonts w:ascii="Times New Roman" w:hAnsi="Times New Roman" w:cs="Times New Roman"/>
          <w:sz w:val="20"/>
          <w:szCs w:val="20"/>
          <w:u w:val="single"/>
        </w:rPr>
        <w:t>:</w:t>
      </w:r>
      <w:r>
        <w:rPr>
          <w:rFonts w:ascii="Times New Roman" w:hAnsi="Times New Roman" w:cs="Times New Roman"/>
          <w:sz w:val="20"/>
          <w:szCs w:val="20"/>
        </w:rPr>
        <w:t xml:space="preserve"> The supply chain overall becomes lengthy by almost 2 months but with this item being non-perishable, Scotts </w:t>
      </w:r>
      <w:r w:rsidR="004B3D15">
        <w:rPr>
          <w:rFonts w:ascii="Times New Roman" w:hAnsi="Times New Roman" w:cs="Times New Roman"/>
          <w:sz w:val="20"/>
          <w:szCs w:val="20"/>
        </w:rPr>
        <w:t>works around</w:t>
      </w:r>
      <w:r>
        <w:rPr>
          <w:rFonts w:ascii="Times New Roman" w:hAnsi="Times New Roman" w:cs="Times New Roman"/>
          <w:sz w:val="20"/>
          <w:szCs w:val="20"/>
        </w:rPr>
        <w:t xml:space="preserve"> it by having buffer stock at all times. The brittleness also increases with addition of third parties</w:t>
      </w:r>
    </w:p>
    <w:p w14:paraId="7BBDF4F5" w14:textId="77777777" w:rsidR="00EA641D" w:rsidRDefault="00EA641D" w:rsidP="00DE5199">
      <w:pPr>
        <w:rPr>
          <w:rFonts w:ascii="Times New Roman" w:hAnsi="Times New Roman" w:cs="Times New Roman"/>
          <w:sz w:val="20"/>
          <w:szCs w:val="20"/>
          <w:u w:val="single"/>
        </w:rPr>
      </w:pPr>
    </w:p>
    <w:p w14:paraId="63D3B4D5" w14:textId="51FEF664" w:rsidR="002A5039" w:rsidRDefault="009411CB" w:rsidP="00DE5199">
      <w:pPr>
        <w:rPr>
          <w:rFonts w:ascii="Times New Roman" w:hAnsi="Times New Roman" w:cs="Times New Roman"/>
          <w:sz w:val="20"/>
          <w:szCs w:val="20"/>
        </w:rPr>
      </w:pPr>
      <w:r w:rsidRPr="009411CB">
        <w:rPr>
          <w:rFonts w:ascii="Times New Roman" w:hAnsi="Times New Roman" w:cs="Times New Roman"/>
          <w:sz w:val="20"/>
          <w:szCs w:val="20"/>
          <w:u w:val="single"/>
        </w:rPr>
        <w:t>External country challenges</w:t>
      </w:r>
      <w:r w:rsidR="002A5039" w:rsidRPr="009411CB">
        <w:rPr>
          <w:rFonts w:ascii="Times New Roman" w:hAnsi="Times New Roman" w:cs="Times New Roman"/>
          <w:sz w:val="20"/>
          <w:szCs w:val="20"/>
          <w:u w:val="single"/>
        </w:rPr>
        <w:t>:</w:t>
      </w:r>
      <w:r>
        <w:rPr>
          <w:rFonts w:ascii="Times New Roman" w:hAnsi="Times New Roman" w:cs="Times New Roman"/>
          <w:sz w:val="20"/>
          <w:szCs w:val="20"/>
        </w:rPr>
        <w:t xml:space="preserve"> Scotts will entail the risks of changing FX rate of Yuan, along with any</w:t>
      </w:r>
      <w:r w:rsidR="00B0054B">
        <w:rPr>
          <w:rFonts w:ascii="Times New Roman" w:hAnsi="Times New Roman" w:cs="Times New Roman"/>
          <w:sz w:val="20"/>
          <w:szCs w:val="20"/>
        </w:rPr>
        <w:t xml:space="preserve"> </w:t>
      </w:r>
      <w:r w:rsidR="004B3D15">
        <w:rPr>
          <w:rFonts w:ascii="Times New Roman" w:hAnsi="Times New Roman" w:cs="Times New Roman"/>
          <w:sz w:val="20"/>
          <w:szCs w:val="20"/>
        </w:rPr>
        <w:t xml:space="preserve">economic, </w:t>
      </w:r>
      <w:r w:rsidR="00B0054B">
        <w:rPr>
          <w:rFonts w:ascii="Times New Roman" w:hAnsi="Times New Roman" w:cs="Times New Roman"/>
          <w:sz w:val="20"/>
          <w:szCs w:val="20"/>
        </w:rPr>
        <w:t>social and political events in China impacting operations of the factory. It also adds overhead of export and import although duty is not applicable.</w:t>
      </w:r>
      <w:r w:rsidR="002C2AEE">
        <w:rPr>
          <w:rFonts w:ascii="Times New Roman" w:hAnsi="Times New Roman" w:cs="Times New Roman"/>
          <w:sz w:val="20"/>
          <w:szCs w:val="20"/>
        </w:rPr>
        <w:t xml:space="preserve"> Sometimes it becomes difficult to communicate with people having different language and cultural values also need to be learned.</w:t>
      </w:r>
    </w:p>
    <w:p w14:paraId="78FB7590" w14:textId="61DA1F1B" w:rsidR="002C2AEE" w:rsidRDefault="002C2AEE" w:rsidP="00DE5199">
      <w:pPr>
        <w:rPr>
          <w:rFonts w:ascii="Times New Roman" w:hAnsi="Times New Roman" w:cs="Times New Roman"/>
          <w:sz w:val="20"/>
          <w:szCs w:val="20"/>
        </w:rPr>
      </w:pPr>
    </w:p>
    <w:p w14:paraId="07E82A26" w14:textId="0CCF75E4" w:rsidR="002C2AEE" w:rsidRDefault="002C2AEE" w:rsidP="00DE5199">
      <w:pPr>
        <w:rPr>
          <w:rFonts w:ascii="Times New Roman" w:hAnsi="Times New Roman" w:cs="Times New Roman"/>
          <w:sz w:val="20"/>
          <w:szCs w:val="20"/>
        </w:rPr>
      </w:pPr>
      <w:r w:rsidRPr="002C2AEE">
        <w:rPr>
          <w:rFonts w:ascii="Times New Roman" w:hAnsi="Times New Roman" w:cs="Times New Roman"/>
          <w:sz w:val="20"/>
          <w:szCs w:val="20"/>
          <w:u w:val="single"/>
        </w:rPr>
        <w:t>Quality issues:</w:t>
      </w:r>
      <w:r>
        <w:rPr>
          <w:rFonts w:ascii="Times New Roman" w:hAnsi="Times New Roman" w:cs="Times New Roman"/>
          <w:sz w:val="20"/>
          <w:szCs w:val="20"/>
        </w:rPr>
        <w:t xml:space="preserve"> Scotts had occasional quality issues when it came to suppliers. It becomes more than critical to find out if the quality meets standards set by Scotts otherwise Scotts would have reputational loss.</w:t>
      </w:r>
    </w:p>
    <w:p w14:paraId="4FE44300" w14:textId="77777777" w:rsidR="00EA641D" w:rsidRDefault="00EA641D" w:rsidP="00DE5199">
      <w:pPr>
        <w:rPr>
          <w:rFonts w:ascii="Times New Roman" w:hAnsi="Times New Roman" w:cs="Times New Roman"/>
          <w:sz w:val="20"/>
          <w:szCs w:val="20"/>
          <w:u w:val="single"/>
        </w:rPr>
      </w:pPr>
    </w:p>
    <w:p w14:paraId="53F3D757" w14:textId="416B63E6" w:rsidR="002A5039" w:rsidRDefault="002A5039" w:rsidP="00DE5199">
      <w:pPr>
        <w:rPr>
          <w:rFonts w:ascii="Times New Roman" w:hAnsi="Times New Roman" w:cs="Times New Roman"/>
          <w:sz w:val="20"/>
          <w:szCs w:val="20"/>
        </w:rPr>
      </w:pPr>
      <w:r w:rsidRPr="009411CB">
        <w:rPr>
          <w:rFonts w:ascii="Times New Roman" w:hAnsi="Times New Roman" w:cs="Times New Roman"/>
          <w:sz w:val="20"/>
          <w:szCs w:val="20"/>
          <w:u w:val="single"/>
        </w:rPr>
        <w:t>Operational overhead:</w:t>
      </w:r>
      <w:r>
        <w:rPr>
          <w:rFonts w:ascii="Times New Roman" w:hAnsi="Times New Roman" w:cs="Times New Roman"/>
          <w:sz w:val="20"/>
          <w:szCs w:val="20"/>
        </w:rPr>
        <w:t xml:space="preserve"> </w:t>
      </w:r>
      <w:r w:rsidR="009411CB">
        <w:rPr>
          <w:rFonts w:ascii="Times New Roman" w:hAnsi="Times New Roman" w:cs="Times New Roman"/>
          <w:sz w:val="20"/>
          <w:szCs w:val="20"/>
        </w:rPr>
        <w:t>To find and</w:t>
      </w:r>
      <w:r>
        <w:rPr>
          <w:rFonts w:ascii="Times New Roman" w:hAnsi="Times New Roman" w:cs="Times New Roman"/>
          <w:sz w:val="20"/>
          <w:szCs w:val="20"/>
        </w:rPr>
        <w:t xml:space="preserve"> manage additional vendor </w:t>
      </w:r>
      <w:r w:rsidR="009411CB">
        <w:rPr>
          <w:rFonts w:ascii="Times New Roman" w:hAnsi="Times New Roman" w:cs="Times New Roman"/>
          <w:sz w:val="20"/>
          <w:szCs w:val="20"/>
        </w:rPr>
        <w:t xml:space="preserve">and their quality </w:t>
      </w:r>
      <w:r>
        <w:rPr>
          <w:rFonts w:ascii="Times New Roman" w:hAnsi="Times New Roman" w:cs="Times New Roman"/>
          <w:sz w:val="20"/>
          <w:szCs w:val="20"/>
        </w:rPr>
        <w:t>or even entire entity in case of offshoring is big operational expense which is time and resource intensive.</w:t>
      </w:r>
    </w:p>
    <w:p w14:paraId="2F249D77" w14:textId="2AB9A6FD" w:rsidR="00B0054B" w:rsidRDefault="00B0054B" w:rsidP="00DE5199">
      <w:pPr>
        <w:rPr>
          <w:rFonts w:ascii="Times New Roman" w:hAnsi="Times New Roman" w:cs="Times New Roman"/>
          <w:sz w:val="20"/>
          <w:szCs w:val="20"/>
        </w:rPr>
      </w:pPr>
    </w:p>
    <w:p w14:paraId="2F47F9B3" w14:textId="15B01320" w:rsidR="00B0054B" w:rsidRPr="00B0054B" w:rsidRDefault="00B0054B" w:rsidP="00DE5199">
      <w:pPr>
        <w:rPr>
          <w:rFonts w:ascii="Times New Roman" w:hAnsi="Times New Roman" w:cs="Times New Roman"/>
          <w:i/>
          <w:iCs/>
          <w:sz w:val="20"/>
          <w:szCs w:val="20"/>
        </w:rPr>
      </w:pPr>
      <w:r w:rsidRPr="00B0054B">
        <w:rPr>
          <w:rFonts w:ascii="Times New Roman" w:hAnsi="Times New Roman" w:cs="Times New Roman"/>
          <w:i/>
          <w:iCs/>
          <w:sz w:val="20"/>
          <w:szCs w:val="20"/>
        </w:rPr>
        <w:t>2.1.3 Factors considered</w:t>
      </w:r>
    </w:p>
    <w:p w14:paraId="5F6A24AF" w14:textId="77777777" w:rsidR="00B0054B" w:rsidRDefault="00B0054B" w:rsidP="00B0054B">
      <w:pPr>
        <w:rPr>
          <w:rFonts w:ascii="Times New Roman" w:hAnsi="Times New Roman" w:cs="Times New Roman"/>
          <w:sz w:val="20"/>
          <w:szCs w:val="20"/>
        </w:rPr>
      </w:pPr>
      <w:r>
        <w:rPr>
          <w:rFonts w:ascii="Times New Roman" w:hAnsi="Times New Roman" w:cs="Times New Roman"/>
          <w:sz w:val="20"/>
          <w:szCs w:val="20"/>
          <w:u w:val="single"/>
        </w:rPr>
        <w:t>L</w:t>
      </w:r>
      <w:r w:rsidRPr="000B74AD">
        <w:rPr>
          <w:rFonts w:ascii="Times New Roman" w:hAnsi="Times New Roman" w:cs="Times New Roman"/>
          <w:sz w:val="20"/>
          <w:szCs w:val="20"/>
          <w:u w:val="single"/>
        </w:rPr>
        <w:t>ong-term strategy:</w:t>
      </w:r>
      <w:r>
        <w:rPr>
          <w:rFonts w:ascii="Times New Roman" w:hAnsi="Times New Roman" w:cs="Times New Roman"/>
          <w:sz w:val="20"/>
          <w:szCs w:val="20"/>
        </w:rPr>
        <w:t xml:space="preserve"> Looking at history of </w:t>
      </w:r>
      <w:proofErr w:type="spellStart"/>
      <w:r>
        <w:rPr>
          <w:rFonts w:ascii="Times New Roman" w:hAnsi="Times New Roman" w:cs="Times New Roman"/>
          <w:sz w:val="20"/>
          <w:szCs w:val="20"/>
        </w:rPr>
        <w:t>Scotts’</w:t>
      </w:r>
      <w:proofErr w:type="spellEnd"/>
      <w:r>
        <w:rPr>
          <w:rFonts w:ascii="Times New Roman" w:hAnsi="Times New Roman" w:cs="Times New Roman"/>
          <w:sz w:val="20"/>
          <w:szCs w:val="20"/>
        </w:rPr>
        <w:t xml:space="preserve"> formation with merger with first RTMC and then with Miracle-Gro, vision to vertically integrate is observed. Miracle-Gro which was founded 83 years after the inception of The Scotts Company seems to have contrasting strategy focussing on niche in lawn care chemicals until its merger into Scotts. It is also important to know if it is planning to enter any new market like Asia, then offshoring in China would create more long-term value but with lawn care catering to higher economic strata, it remains to be seen how effective the product would be in developing countries. Otherwise, if they want to open/expand market in say Mexico, near-shoring would create more value and avoid the humongous freight costs from China. Lastly, </w:t>
      </w:r>
      <w:r>
        <w:rPr>
          <w:rFonts w:ascii="Times New Roman" w:hAnsi="Times New Roman" w:cs="Times New Roman"/>
          <w:sz w:val="20"/>
          <w:szCs w:val="20"/>
        </w:rPr>
        <w:lastRenderedPageBreak/>
        <w:t>they can also look at where manufacturers of Miracle-Grow are set-up and it can target that region for their own vendors. This can leverage internal synergies to optimize freight if less than truckload (LTL) shipments are existing.</w:t>
      </w:r>
    </w:p>
    <w:p w14:paraId="060E3B7F" w14:textId="77777777" w:rsidR="00B0054B" w:rsidRDefault="00B0054B" w:rsidP="00B0054B">
      <w:pPr>
        <w:rPr>
          <w:rFonts w:ascii="Times New Roman" w:hAnsi="Times New Roman" w:cs="Times New Roman"/>
          <w:sz w:val="20"/>
          <w:szCs w:val="20"/>
        </w:rPr>
      </w:pPr>
    </w:p>
    <w:p w14:paraId="6B0D3C85" w14:textId="250E3F09" w:rsidR="00B0054B" w:rsidRDefault="00B0054B" w:rsidP="00B0054B">
      <w:pPr>
        <w:rPr>
          <w:rFonts w:ascii="Times New Roman" w:hAnsi="Times New Roman" w:cs="Times New Roman"/>
          <w:sz w:val="20"/>
          <w:szCs w:val="20"/>
        </w:rPr>
      </w:pPr>
      <w:r w:rsidRPr="006A4049">
        <w:rPr>
          <w:rFonts w:ascii="Times New Roman" w:hAnsi="Times New Roman" w:cs="Times New Roman"/>
          <w:sz w:val="20"/>
          <w:szCs w:val="20"/>
          <w:u w:val="single"/>
        </w:rPr>
        <w:t>Avoid in-mould labels:</w:t>
      </w:r>
      <w:r>
        <w:rPr>
          <w:rFonts w:ascii="Times New Roman" w:hAnsi="Times New Roman" w:cs="Times New Roman"/>
          <w:sz w:val="20"/>
          <w:szCs w:val="20"/>
        </w:rPr>
        <w:t xml:space="preserve"> As in-mould labelling technology does not add much practical value to end user or company, marketing it as a feature is futile. In fact, it adds complexity and perhaps tightly coupled vendors with long term contracts</w:t>
      </w:r>
      <w:r w:rsidR="00E66B4C" w:rsidRPr="00E66B4C">
        <w:rPr>
          <w:rFonts w:ascii="Times New Roman" w:hAnsi="Times New Roman" w:cs="Times New Roman"/>
          <w:sz w:val="20"/>
          <w:szCs w:val="20"/>
          <w:vertAlign w:val="superscript"/>
        </w:rPr>
        <w:t>3</w:t>
      </w:r>
      <w:r>
        <w:rPr>
          <w:rFonts w:ascii="Times New Roman" w:hAnsi="Times New Roman" w:cs="Times New Roman"/>
          <w:sz w:val="20"/>
          <w:szCs w:val="20"/>
        </w:rPr>
        <w:t>. This also reduces specificity of assets involved</w:t>
      </w:r>
      <w:r w:rsidR="00AF0CAF" w:rsidRPr="00AF0CAF">
        <w:rPr>
          <w:rFonts w:ascii="Times New Roman" w:hAnsi="Times New Roman" w:cs="Times New Roman"/>
          <w:sz w:val="20"/>
          <w:szCs w:val="20"/>
          <w:vertAlign w:val="superscript"/>
        </w:rPr>
        <w:t>2</w:t>
      </w:r>
      <w:r>
        <w:rPr>
          <w:rFonts w:ascii="Times New Roman" w:hAnsi="Times New Roman" w:cs="Times New Roman"/>
          <w:sz w:val="20"/>
          <w:szCs w:val="20"/>
        </w:rPr>
        <w:t xml:space="preserve"> in process which in turn helps a high scale company like Scotts having predictable demand when cost of capital is high for Chinese third party. We can also think of it from a platform perspective</w:t>
      </w:r>
      <w:r w:rsidR="00AF0CAF" w:rsidRPr="00AF0CAF">
        <w:rPr>
          <w:rFonts w:ascii="Times New Roman" w:hAnsi="Times New Roman" w:cs="Times New Roman"/>
          <w:sz w:val="20"/>
          <w:szCs w:val="20"/>
          <w:vertAlign w:val="superscript"/>
        </w:rPr>
        <w:t>4</w:t>
      </w:r>
      <w:r>
        <w:rPr>
          <w:rFonts w:ascii="Times New Roman" w:hAnsi="Times New Roman" w:cs="Times New Roman"/>
          <w:sz w:val="20"/>
          <w:szCs w:val="20"/>
        </w:rPr>
        <w:t xml:space="preserve"> where a spreader manufacturer can be easily changed. It helps to ignore 400k mould cost in 2010 and 2015 in any of the calculations, which anyway remains same for </w:t>
      </w:r>
      <w:r w:rsidR="00D4598E">
        <w:rPr>
          <w:rFonts w:ascii="Times New Roman" w:hAnsi="Times New Roman" w:cs="Times New Roman"/>
          <w:sz w:val="20"/>
          <w:szCs w:val="20"/>
        </w:rPr>
        <w:t>US.</w:t>
      </w:r>
    </w:p>
    <w:p w14:paraId="75D79BCC" w14:textId="77777777" w:rsidR="00B0054B" w:rsidRDefault="00B0054B" w:rsidP="00B0054B">
      <w:pPr>
        <w:rPr>
          <w:rFonts w:ascii="Times New Roman" w:hAnsi="Times New Roman" w:cs="Times New Roman"/>
          <w:sz w:val="20"/>
          <w:szCs w:val="20"/>
        </w:rPr>
      </w:pPr>
    </w:p>
    <w:p w14:paraId="6B80C716" w14:textId="5660FFE2" w:rsidR="00B0054B" w:rsidRDefault="00B0054B" w:rsidP="00B0054B">
      <w:pPr>
        <w:rPr>
          <w:rFonts w:ascii="Times New Roman" w:hAnsi="Times New Roman" w:cs="Times New Roman"/>
          <w:sz w:val="20"/>
          <w:szCs w:val="20"/>
        </w:rPr>
      </w:pPr>
      <w:r w:rsidRPr="00850F57">
        <w:rPr>
          <w:rFonts w:ascii="Times New Roman" w:hAnsi="Times New Roman" w:cs="Times New Roman"/>
          <w:sz w:val="20"/>
          <w:szCs w:val="20"/>
          <w:u w:val="single"/>
        </w:rPr>
        <w:t>Seasonal Sales:</w:t>
      </w:r>
      <w:r>
        <w:rPr>
          <w:rFonts w:ascii="Times New Roman" w:hAnsi="Times New Roman" w:cs="Times New Roman"/>
          <w:sz w:val="20"/>
          <w:szCs w:val="20"/>
        </w:rPr>
        <w:t xml:space="preserve"> Spreader is widely used in spring time in North America and it is expected to have peak demand during that season</w:t>
      </w:r>
      <w:r w:rsidR="00704957" w:rsidRPr="00704957">
        <w:rPr>
          <w:rFonts w:ascii="Times New Roman" w:hAnsi="Times New Roman" w:cs="Times New Roman"/>
          <w:sz w:val="20"/>
          <w:szCs w:val="20"/>
          <w:vertAlign w:val="superscript"/>
        </w:rPr>
        <w:t>5</w:t>
      </w:r>
      <w:r>
        <w:rPr>
          <w:rFonts w:ascii="Times New Roman" w:hAnsi="Times New Roman" w:cs="Times New Roman"/>
          <w:sz w:val="20"/>
          <w:szCs w:val="20"/>
        </w:rPr>
        <w:t>. If that’s the case then operating factory for entire year is not financially viable solution, outsourcing it would help from operations point of view. Before making decisions, it is important to look at the numbers and also it would be good to have sales numbers for spreaders but looking at overall sales of company, it can be assumed that sales for spreaders are linear</w:t>
      </w:r>
      <w:r w:rsidR="00704957">
        <w:rPr>
          <w:rFonts w:ascii="Times New Roman" w:hAnsi="Times New Roman" w:cs="Times New Roman"/>
          <w:sz w:val="20"/>
          <w:szCs w:val="20"/>
        </w:rPr>
        <w:t xml:space="preserve"> (</w:t>
      </w:r>
      <w:r w:rsidR="004B3D15">
        <w:rPr>
          <w:rFonts w:ascii="Times New Roman" w:hAnsi="Times New Roman" w:cs="Times New Roman"/>
          <w:sz w:val="20"/>
          <w:szCs w:val="20"/>
        </w:rPr>
        <w:t>T</w:t>
      </w:r>
      <w:r w:rsidR="00704957">
        <w:rPr>
          <w:rFonts w:ascii="Times New Roman" w:hAnsi="Times New Roman" w:cs="Times New Roman"/>
          <w:sz w:val="20"/>
          <w:szCs w:val="20"/>
        </w:rPr>
        <w:t xml:space="preserve">able </w:t>
      </w:r>
      <w:r w:rsidR="004B3D15">
        <w:rPr>
          <w:rFonts w:ascii="Times New Roman" w:hAnsi="Times New Roman" w:cs="Times New Roman"/>
          <w:sz w:val="20"/>
          <w:szCs w:val="20"/>
        </w:rPr>
        <w:t>8</w:t>
      </w:r>
      <w:r w:rsidR="00704957">
        <w:rPr>
          <w:rFonts w:ascii="Times New Roman" w:hAnsi="Times New Roman" w:cs="Times New Roman"/>
          <w:sz w:val="20"/>
          <w:szCs w:val="20"/>
        </w:rPr>
        <w:t>)</w:t>
      </w:r>
      <w:r>
        <w:rPr>
          <w:rFonts w:ascii="Times New Roman" w:hAnsi="Times New Roman" w:cs="Times New Roman"/>
          <w:sz w:val="20"/>
          <w:szCs w:val="20"/>
        </w:rPr>
        <w:t>.</w:t>
      </w:r>
    </w:p>
    <w:p w14:paraId="46627913" w14:textId="77777777" w:rsidR="00B0054B" w:rsidRDefault="00B0054B" w:rsidP="00B0054B">
      <w:pPr>
        <w:rPr>
          <w:rFonts w:ascii="Times New Roman" w:hAnsi="Times New Roman" w:cs="Times New Roman"/>
          <w:sz w:val="20"/>
          <w:szCs w:val="20"/>
        </w:rPr>
      </w:pPr>
    </w:p>
    <w:p w14:paraId="4ACB9EE6" w14:textId="0886B474" w:rsidR="00B0054B" w:rsidRDefault="00B0054B" w:rsidP="00B0054B">
      <w:pPr>
        <w:rPr>
          <w:rFonts w:ascii="Times New Roman" w:hAnsi="Times New Roman" w:cs="Times New Roman"/>
          <w:sz w:val="20"/>
          <w:szCs w:val="20"/>
        </w:rPr>
      </w:pPr>
      <w:r w:rsidRPr="00850F57">
        <w:rPr>
          <w:rFonts w:ascii="Times New Roman" w:hAnsi="Times New Roman" w:cs="Times New Roman"/>
          <w:sz w:val="20"/>
          <w:szCs w:val="20"/>
          <w:u w:val="single"/>
        </w:rPr>
        <w:t>Document tacit knowledge:</w:t>
      </w:r>
      <w:r>
        <w:rPr>
          <w:rFonts w:ascii="Times New Roman" w:hAnsi="Times New Roman" w:cs="Times New Roman"/>
          <w:sz w:val="20"/>
          <w:szCs w:val="20"/>
        </w:rPr>
        <w:t xml:space="preserve"> Spreader assembly and in-mould labelling knowledge needs to be documented, preferably in CAD like software which is easy to transfer over internet. As integration with supplier can be encapsulated in a well-defined set of digital files like CAD designs, thus R&amp;D and manufacturing do not require close cohesion</w:t>
      </w:r>
      <w:r w:rsidR="00704957" w:rsidRPr="00704957">
        <w:rPr>
          <w:rFonts w:ascii="Times New Roman" w:hAnsi="Times New Roman" w:cs="Times New Roman"/>
          <w:sz w:val="20"/>
          <w:szCs w:val="20"/>
          <w:vertAlign w:val="superscript"/>
        </w:rPr>
        <w:t>3</w:t>
      </w:r>
      <w:r w:rsidR="00704957">
        <w:rPr>
          <w:rFonts w:ascii="Times New Roman" w:hAnsi="Times New Roman" w:cs="Times New Roman"/>
          <w:sz w:val="20"/>
          <w:szCs w:val="20"/>
          <w:vertAlign w:val="superscript"/>
        </w:rPr>
        <w:t>.1</w:t>
      </w:r>
      <w:r>
        <w:rPr>
          <w:rFonts w:ascii="Times New Roman" w:hAnsi="Times New Roman" w:cs="Times New Roman"/>
          <w:sz w:val="20"/>
          <w:szCs w:val="20"/>
        </w:rPr>
        <w:t>.</w:t>
      </w:r>
    </w:p>
    <w:p w14:paraId="009BC4F6" w14:textId="77777777" w:rsidR="00B0054B" w:rsidRDefault="00B0054B" w:rsidP="00B0054B">
      <w:pPr>
        <w:rPr>
          <w:rFonts w:ascii="Times New Roman" w:hAnsi="Times New Roman" w:cs="Times New Roman"/>
          <w:sz w:val="20"/>
          <w:szCs w:val="20"/>
        </w:rPr>
      </w:pPr>
    </w:p>
    <w:p w14:paraId="72DFB7F4" w14:textId="2D9488C7" w:rsidR="00B0054B" w:rsidRDefault="00B0054B" w:rsidP="00B0054B">
      <w:pPr>
        <w:rPr>
          <w:rFonts w:ascii="Times New Roman" w:hAnsi="Times New Roman" w:cs="Times New Roman"/>
          <w:sz w:val="20"/>
          <w:szCs w:val="20"/>
        </w:rPr>
      </w:pPr>
      <w:r w:rsidRPr="00757834">
        <w:rPr>
          <w:rFonts w:ascii="Times New Roman" w:hAnsi="Times New Roman" w:cs="Times New Roman"/>
          <w:sz w:val="20"/>
          <w:szCs w:val="20"/>
          <w:u w:val="single"/>
        </w:rPr>
        <w:t>Environmental impact:</w:t>
      </w:r>
      <w:r>
        <w:rPr>
          <w:rFonts w:ascii="Times New Roman" w:hAnsi="Times New Roman" w:cs="Times New Roman"/>
          <w:sz w:val="20"/>
          <w:szCs w:val="20"/>
        </w:rPr>
        <w:t xml:space="preserve"> If we look at outsourcing cost (</w:t>
      </w:r>
      <w:r w:rsidR="004B3D15">
        <w:rPr>
          <w:rFonts w:ascii="Times New Roman" w:hAnsi="Times New Roman" w:cs="Times New Roman"/>
          <w:sz w:val="20"/>
          <w:szCs w:val="20"/>
        </w:rPr>
        <w:t>Pie Chart 2</w:t>
      </w:r>
      <w:r>
        <w:rPr>
          <w:rFonts w:ascii="Times New Roman" w:hAnsi="Times New Roman" w:cs="Times New Roman"/>
          <w:sz w:val="20"/>
          <w:szCs w:val="20"/>
        </w:rPr>
        <w:t>), more than 50% of the cost is driven by freight. Extra freight not just costs money; it also increases carbon footprint of Scotts as Carbon Emission is zero-sum game. In case Scotts wants to reduce its carbon emissions, decentralized decision system in outsourcing would be more beneficial which should save some more carbon</w:t>
      </w:r>
      <w:r w:rsidR="00704957" w:rsidRPr="00704957">
        <w:rPr>
          <w:rFonts w:ascii="Times New Roman" w:hAnsi="Times New Roman" w:cs="Times New Roman"/>
          <w:sz w:val="20"/>
          <w:szCs w:val="20"/>
          <w:vertAlign w:val="superscript"/>
        </w:rPr>
        <w:t>6</w:t>
      </w:r>
      <w:r>
        <w:rPr>
          <w:rFonts w:ascii="Times New Roman" w:hAnsi="Times New Roman" w:cs="Times New Roman"/>
          <w:sz w:val="20"/>
          <w:szCs w:val="20"/>
        </w:rPr>
        <w:t>.</w:t>
      </w:r>
    </w:p>
    <w:p w14:paraId="0BA0FA64" w14:textId="77777777" w:rsidR="00B0054B" w:rsidRDefault="00B0054B" w:rsidP="00B0054B">
      <w:pPr>
        <w:rPr>
          <w:rFonts w:ascii="Times New Roman" w:hAnsi="Times New Roman" w:cs="Times New Roman"/>
          <w:sz w:val="20"/>
          <w:szCs w:val="20"/>
        </w:rPr>
      </w:pPr>
    </w:p>
    <w:p w14:paraId="39B278D0" w14:textId="77777777" w:rsidR="00B0054B" w:rsidRDefault="00B0054B" w:rsidP="00B0054B">
      <w:pPr>
        <w:rPr>
          <w:rFonts w:ascii="Times New Roman" w:hAnsi="Times New Roman" w:cs="Times New Roman"/>
          <w:sz w:val="20"/>
          <w:szCs w:val="20"/>
        </w:rPr>
      </w:pPr>
      <w:r w:rsidRPr="00036354">
        <w:rPr>
          <w:rFonts w:ascii="Times New Roman" w:hAnsi="Times New Roman" w:cs="Times New Roman"/>
          <w:sz w:val="20"/>
          <w:szCs w:val="20"/>
          <w:u w:val="single"/>
        </w:rPr>
        <w:t>Import rate</w:t>
      </w:r>
      <w:r>
        <w:rPr>
          <w:rFonts w:ascii="Times New Roman" w:hAnsi="Times New Roman" w:cs="Times New Roman"/>
          <w:sz w:val="20"/>
          <w:szCs w:val="20"/>
          <w:u w:val="single"/>
        </w:rPr>
        <w:t xml:space="preserve"> and regulations</w:t>
      </w:r>
      <w:r w:rsidRPr="00036354">
        <w:rPr>
          <w:rFonts w:ascii="Times New Roman" w:hAnsi="Times New Roman" w:cs="Times New Roman"/>
          <w:sz w:val="20"/>
          <w:szCs w:val="20"/>
          <w:u w:val="single"/>
        </w:rPr>
        <w:t>:</w:t>
      </w:r>
      <w:r>
        <w:rPr>
          <w:rFonts w:ascii="Times New Roman" w:hAnsi="Times New Roman" w:cs="Times New Roman"/>
          <w:sz w:val="20"/>
          <w:szCs w:val="20"/>
        </w:rPr>
        <w:t xml:space="preserve"> Although there is no import duty on agricultural products and has a low probability of changing in future, the risk of tariffs still lurks and tomorrow if some existing or new product is categorized as non-agricultural causing price rise.</w:t>
      </w:r>
    </w:p>
    <w:p w14:paraId="0ED19D08" w14:textId="77777777" w:rsidR="00B0054B" w:rsidRDefault="00B0054B" w:rsidP="00B0054B">
      <w:pPr>
        <w:rPr>
          <w:rFonts w:ascii="Times New Roman" w:hAnsi="Times New Roman" w:cs="Times New Roman"/>
          <w:sz w:val="20"/>
          <w:szCs w:val="20"/>
        </w:rPr>
      </w:pPr>
    </w:p>
    <w:p w14:paraId="7ACBE195" w14:textId="203713FA" w:rsidR="00132988" w:rsidRPr="007F50FF" w:rsidRDefault="00B0054B" w:rsidP="00DE5199">
      <w:pPr>
        <w:rPr>
          <w:rFonts w:ascii="Times New Roman" w:hAnsi="Times New Roman" w:cs="Times New Roman"/>
          <w:sz w:val="20"/>
          <w:szCs w:val="20"/>
        </w:rPr>
      </w:pPr>
      <w:r w:rsidRPr="00036354">
        <w:rPr>
          <w:rFonts w:ascii="Times New Roman" w:hAnsi="Times New Roman" w:cs="Times New Roman"/>
          <w:sz w:val="20"/>
          <w:szCs w:val="20"/>
          <w:u w:val="single"/>
        </w:rPr>
        <w:t>Reputation:</w:t>
      </w:r>
      <w:r>
        <w:rPr>
          <w:rFonts w:ascii="Times New Roman" w:hAnsi="Times New Roman" w:cs="Times New Roman"/>
          <w:sz w:val="20"/>
          <w:szCs w:val="20"/>
        </w:rPr>
        <w:t xml:space="preserve"> Probably the biggest short-term impact is caused on reputation, which might not recover in short time span. It can range from stock price going down (eating into shareholder equity value) to reduced sales. Scotts has to tactfully avoid negative publicity and/or any local worker agitations or resistance which dents the image of brand almost permanently. Such types of situations can be avoided by having a phased approach of 2 years Temecula + 8 years outsourcing (Table </w:t>
      </w:r>
      <w:r w:rsidR="004B3D15">
        <w:rPr>
          <w:rFonts w:ascii="Times New Roman" w:hAnsi="Times New Roman" w:cs="Times New Roman"/>
          <w:sz w:val="20"/>
          <w:szCs w:val="20"/>
        </w:rPr>
        <w:t>7</w:t>
      </w:r>
      <w:r>
        <w:rPr>
          <w:rFonts w:ascii="Times New Roman" w:hAnsi="Times New Roman" w:cs="Times New Roman"/>
          <w:sz w:val="20"/>
          <w:szCs w:val="20"/>
        </w:rPr>
        <w:t>). Offshoring does save the blushes as the eventual revenue is going back into the USA.</w:t>
      </w:r>
    </w:p>
    <w:p w14:paraId="7A9A1586" w14:textId="77777777" w:rsidR="00132988" w:rsidRPr="007F50FF" w:rsidRDefault="00132988" w:rsidP="00DE5199">
      <w:pPr>
        <w:rPr>
          <w:rFonts w:ascii="Times New Roman" w:hAnsi="Times New Roman" w:cs="Times New Roman"/>
          <w:sz w:val="20"/>
          <w:szCs w:val="20"/>
        </w:rPr>
      </w:pPr>
    </w:p>
    <w:p w14:paraId="06536773" w14:textId="695BB6BD" w:rsidR="00A76427" w:rsidRPr="007F50FF" w:rsidRDefault="00954F32" w:rsidP="00DE5199">
      <w:pPr>
        <w:rPr>
          <w:rFonts w:ascii="Times New Roman" w:hAnsi="Times New Roman" w:cs="Times New Roman"/>
          <w:i/>
          <w:sz w:val="20"/>
          <w:szCs w:val="20"/>
        </w:rPr>
      </w:pPr>
      <w:r w:rsidRPr="007F50FF">
        <w:rPr>
          <w:rFonts w:ascii="Times New Roman" w:hAnsi="Times New Roman" w:cs="Times New Roman"/>
          <w:i/>
          <w:sz w:val="20"/>
          <w:szCs w:val="20"/>
        </w:rPr>
        <w:t xml:space="preserve">2.2 </w:t>
      </w:r>
      <w:r w:rsidR="003B63EE">
        <w:rPr>
          <w:rFonts w:ascii="Times New Roman" w:hAnsi="Times New Roman" w:cs="Times New Roman"/>
          <w:i/>
          <w:sz w:val="20"/>
          <w:szCs w:val="20"/>
        </w:rPr>
        <w:t>Financial Analysis - Temecula</w:t>
      </w:r>
    </w:p>
    <w:p w14:paraId="3914DBD7" w14:textId="5513E22C" w:rsidR="00361EE3" w:rsidRDefault="002E21A5" w:rsidP="00DE5199">
      <w:pPr>
        <w:rPr>
          <w:rFonts w:ascii="Times New Roman" w:hAnsi="Times New Roman" w:cs="Times New Roman"/>
          <w:sz w:val="20"/>
          <w:szCs w:val="20"/>
        </w:rPr>
      </w:pPr>
      <w:r>
        <w:rPr>
          <w:rFonts w:ascii="Times New Roman" w:hAnsi="Times New Roman" w:cs="Times New Roman"/>
          <w:sz w:val="20"/>
          <w:szCs w:val="20"/>
        </w:rPr>
        <w:t>Table 1 shows the analysis and b</w:t>
      </w:r>
      <w:r w:rsidR="006E7C26">
        <w:rPr>
          <w:rFonts w:ascii="Times New Roman" w:hAnsi="Times New Roman" w:cs="Times New Roman"/>
          <w:sz w:val="20"/>
          <w:szCs w:val="20"/>
        </w:rPr>
        <w:t>elow are the heads under which cost is considered for analysis along with the assumptions-</w:t>
      </w:r>
    </w:p>
    <w:p w14:paraId="3CA03725" w14:textId="236AF1C5" w:rsidR="00A66A8B" w:rsidRDefault="00A66A8B" w:rsidP="00A66A8B">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Raw materials: are assumed to be 0</w:t>
      </w:r>
      <w:r w:rsidR="00080B2F">
        <w:rPr>
          <w:rFonts w:ascii="Times New Roman" w:hAnsi="Times New Roman" w:cs="Times New Roman"/>
          <w:sz w:val="20"/>
          <w:szCs w:val="20"/>
        </w:rPr>
        <w:t xml:space="preserve"> as price is same globally</w:t>
      </w:r>
      <w:r>
        <w:rPr>
          <w:rFonts w:ascii="Times New Roman" w:hAnsi="Times New Roman" w:cs="Times New Roman"/>
          <w:sz w:val="20"/>
          <w:szCs w:val="20"/>
        </w:rPr>
        <w:t>, considering 100k savings due to regrind.</w:t>
      </w:r>
    </w:p>
    <w:p w14:paraId="22BE43BE" w14:textId="3A1A0296" w:rsidR="00A66A8B" w:rsidRDefault="00A66A8B" w:rsidP="00A66A8B">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Lease cost: Although the lease ends in 2015, the </w:t>
      </w:r>
      <w:r w:rsidR="00483350">
        <w:rPr>
          <w:rFonts w:ascii="Times New Roman" w:hAnsi="Times New Roman" w:cs="Times New Roman"/>
          <w:sz w:val="20"/>
          <w:szCs w:val="20"/>
        </w:rPr>
        <w:t xml:space="preserve">3m </w:t>
      </w:r>
      <w:r>
        <w:rPr>
          <w:rFonts w:ascii="Times New Roman" w:hAnsi="Times New Roman" w:cs="Times New Roman"/>
          <w:sz w:val="20"/>
          <w:szCs w:val="20"/>
        </w:rPr>
        <w:t>rate is assumed to be same for 2016 and 2017.</w:t>
      </w:r>
    </w:p>
    <w:p w14:paraId="20941C56" w14:textId="3B32D81B" w:rsidR="00A66A8B" w:rsidRDefault="00A66A8B" w:rsidP="00A66A8B">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Employee salary: </w:t>
      </w:r>
      <w:r w:rsidR="00483350">
        <w:rPr>
          <w:rFonts w:ascii="Times New Roman" w:hAnsi="Times New Roman" w:cs="Times New Roman"/>
          <w:sz w:val="20"/>
          <w:szCs w:val="20"/>
        </w:rPr>
        <w:t xml:space="preserve">Cost for 2008 goes like 125k*16 which is 2m. The productivity gain is offset by 3% labour price hike, hence -3 hike in first 5 years and 0 in next 5. </w:t>
      </w:r>
      <w:r w:rsidR="00956D62">
        <w:rPr>
          <w:rFonts w:ascii="Times New Roman" w:hAnsi="Times New Roman" w:cs="Times New Roman"/>
          <w:sz w:val="20"/>
          <w:szCs w:val="20"/>
        </w:rPr>
        <w:t xml:space="preserve">Even though </w:t>
      </w:r>
      <w:r w:rsidR="00483350">
        <w:rPr>
          <w:rFonts w:ascii="Times New Roman" w:hAnsi="Times New Roman" w:cs="Times New Roman"/>
          <w:sz w:val="20"/>
          <w:szCs w:val="20"/>
        </w:rPr>
        <w:t>full-time</w:t>
      </w:r>
      <w:r w:rsidR="00956D62">
        <w:rPr>
          <w:rFonts w:ascii="Times New Roman" w:hAnsi="Times New Roman" w:cs="Times New Roman"/>
          <w:sz w:val="20"/>
          <w:szCs w:val="20"/>
        </w:rPr>
        <w:t xml:space="preserve"> employees are retained, this is cost calculation and more temporary employees might be let go to make up for 3% increase in retained employees.</w:t>
      </w:r>
      <w:r w:rsidR="00483350">
        <w:rPr>
          <w:rFonts w:ascii="Times New Roman" w:hAnsi="Times New Roman" w:cs="Times New Roman"/>
          <w:sz w:val="20"/>
          <w:szCs w:val="20"/>
        </w:rPr>
        <w:t xml:space="preserve"> </w:t>
      </w:r>
    </w:p>
    <w:p w14:paraId="76B99653" w14:textId="0D7E504C" w:rsidR="00A66A8B" w:rsidRDefault="00406E68" w:rsidP="00A66A8B">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Temporary labour: </w:t>
      </w:r>
      <w:r w:rsidR="00956D62">
        <w:rPr>
          <w:rFonts w:ascii="Times New Roman" w:hAnsi="Times New Roman" w:cs="Times New Roman"/>
          <w:sz w:val="20"/>
          <w:szCs w:val="20"/>
        </w:rPr>
        <w:t>Same productivity related assumption for employees</w:t>
      </w:r>
      <w:r>
        <w:rPr>
          <w:rFonts w:ascii="Times New Roman" w:hAnsi="Times New Roman" w:cs="Times New Roman"/>
          <w:sz w:val="20"/>
          <w:szCs w:val="20"/>
        </w:rPr>
        <w:t>.</w:t>
      </w:r>
      <w:r w:rsidR="00956D62">
        <w:rPr>
          <w:rFonts w:ascii="Times New Roman" w:hAnsi="Times New Roman" w:cs="Times New Roman"/>
          <w:sz w:val="20"/>
          <w:szCs w:val="20"/>
        </w:rPr>
        <w:t xml:space="preserve"> </w:t>
      </w:r>
      <w:r w:rsidR="002E21A5">
        <w:rPr>
          <w:rFonts w:ascii="Times New Roman" w:hAnsi="Times New Roman" w:cs="Times New Roman"/>
          <w:sz w:val="20"/>
          <w:szCs w:val="20"/>
        </w:rPr>
        <w:t>R</w:t>
      </w:r>
      <w:r w:rsidR="00956D62">
        <w:rPr>
          <w:rFonts w:ascii="Times New Roman" w:hAnsi="Times New Roman" w:cs="Times New Roman"/>
          <w:sz w:val="20"/>
          <w:szCs w:val="20"/>
        </w:rPr>
        <w:t xml:space="preserve">educed number of employees </w:t>
      </w:r>
      <w:r w:rsidR="002E21A5">
        <w:rPr>
          <w:rFonts w:ascii="Times New Roman" w:hAnsi="Times New Roman" w:cs="Times New Roman"/>
          <w:sz w:val="20"/>
          <w:szCs w:val="20"/>
        </w:rPr>
        <w:t xml:space="preserve">are not taken </w:t>
      </w:r>
      <w:r w:rsidR="00956D62">
        <w:rPr>
          <w:rFonts w:ascii="Times New Roman" w:hAnsi="Times New Roman" w:cs="Times New Roman"/>
          <w:sz w:val="20"/>
          <w:szCs w:val="20"/>
        </w:rPr>
        <w:t>into consideration for simplicity of calculations</w:t>
      </w:r>
      <w:r w:rsidR="002E21A5">
        <w:rPr>
          <w:rFonts w:ascii="Times New Roman" w:hAnsi="Times New Roman" w:cs="Times New Roman"/>
          <w:sz w:val="20"/>
          <w:szCs w:val="20"/>
        </w:rPr>
        <w:t xml:space="preserve"> as the outcome would yield same end result</w:t>
      </w:r>
      <w:r w:rsidR="00956D62">
        <w:rPr>
          <w:rFonts w:ascii="Times New Roman" w:hAnsi="Times New Roman" w:cs="Times New Roman"/>
          <w:sz w:val="20"/>
          <w:szCs w:val="20"/>
        </w:rPr>
        <w:t>.</w:t>
      </w:r>
    </w:p>
    <w:p w14:paraId="0FD7B63A" w14:textId="24EDD812" w:rsidR="00406E68" w:rsidRDefault="007B30AE" w:rsidP="00A66A8B">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Electricity fixed: This is fixed cost of electricity doing 8m*0.16 for first year and then 2.5% uniform increase across 10 </w:t>
      </w:r>
      <w:r w:rsidR="00483350">
        <w:rPr>
          <w:rFonts w:ascii="Times New Roman" w:hAnsi="Times New Roman" w:cs="Times New Roman"/>
          <w:sz w:val="20"/>
          <w:szCs w:val="20"/>
        </w:rPr>
        <w:t xml:space="preserve">years </w:t>
      </w:r>
      <w:r>
        <w:rPr>
          <w:rFonts w:ascii="Times New Roman" w:hAnsi="Times New Roman" w:cs="Times New Roman"/>
          <w:sz w:val="20"/>
          <w:szCs w:val="20"/>
        </w:rPr>
        <w:t xml:space="preserve">to factor </w:t>
      </w:r>
      <w:r w:rsidR="00483350">
        <w:rPr>
          <w:rFonts w:ascii="Times New Roman" w:hAnsi="Times New Roman" w:cs="Times New Roman"/>
          <w:sz w:val="20"/>
          <w:szCs w:val="20"/>
        </w:rPr>
        <w:t>for</w:t>
      </w:r>
      <w:r>
        <w:rPr>
          <w:rFonts w:ascii="Times New Roman" w:hAnsi="Times New Roman" w:cs="Times New Roman"/>
          <w:sz w:val="20"/>
          <w:szCs w:val="20"/>
        </w:rPr>
        <w:t xml:space="preserve"> 25% </w:t>
      </w:r>
      <w:r w:rsidR="00483350">
        <w:rPr>
          <w:rFonts w:ascii="Times New Roman" w:hAnsi="Times New Roman" w:cs="Times New Roman"/>
          <w:sz w:val="20"/>
          <w:szCs w:val="20"/>
        </w:rPr>
        <w:t>overall increase</w:t>
      </w:r>
      <w:r>
        <w:rPr>
          <w:rFonts w:ascii="Times New Roman" w:hAnsi="Times New Roman" w:cs="Times New Roman"/>
          <w:sz w:val="20"/>
          <w:szCs w:val="20"/>
        </w:rPr>
        <w:t>.</w:t>
      </w:r>
    </w:p>
    <w:p w14:paraId="774B7C63" w14:textId="2F277935" w:rsidR="007B30AE" w:rsidRDefault="007B30AE" w:rsidP="007B30AE">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Electricity surcharge: </w:t>
      </w:r>
      <w:r w:rsidR="002E21A5">
        <w:rPr>
          <w:rFonts w:ascii="Times New Roman" w:hAnsi="Times New Roman" w:cs="Times New Roman"/>
          <w:sz w:val="20"/>
          <w:szCs w:val="20"/>
        </w:rPr>
        <w:t xml:space="preserve">It is assumed that </w:t>
      </w:r>
      <w:r>
        <w:rPr>
          <w:rFonts w:ascii="Times New Roman" w:hAnsi="Times New Roman" w:cs="Times New Roman"/>
          <w:sz w:val="20"/>
          <w:szCs w:val="20"/>
        </w:rPr>
        <w:t>the surcharge remains same as the consumption remains same for 2008 and 2009 and no other surcharge is due until 2017.</w:t>
      </w:r>
      <w:r w:rsidR="0078219C">
        <w:rPr>
          <w:rFonts w:ascii="Times New Roman" w:hAnsi="Times New Roman" w:cs="Times New Roman"/>
          <w:sz w:val="20"/>
          <w:szCs w:val="20"/>
        </w:rPr>
        <w:t xml:space="preserve"> 2.5 cents*8m kwh </w:t>
      </w:r>
      <w:r w:rsidR="00E66B4C">
        <w:rPr>
          <w:rFonts w:ascii="Times New Roman" w:hAnsi="Times New Roman" w:cs="Times New Roman"/>
          <w:sz w:val="20"/>
          <w:szCs w:val="20"/>
        </w:rPr>
        <w:t>giving</w:t>
      </w:r>
      <w:r w:rsidR="0078219C">
        <w:rPr>
          <w:rFonts w:ascii="Times New Roman" w:hAnsi="Times New Roman" w:cs="Times New Roman"/>
          <w:sz w:val="20"/>
          <w:szCs w:val="20"/>
        </w:rPr>
        <w:t xml:space="preserve"> 200k.</w:t>
      </w:r>
    </w:p>
    <w:p w14:paraId="734A4F9A" w14:textId="58C9D686" w:rsidR="007B30AE" w:rsidRDefault="00080B2F" w:rsidP="007B30AE">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Overhead fixed: This is the HQ overhead which could be ignored as it is same even when offshoring or outsourcing is done but considered to get better absolute number, without raw material cost.</w:t>
      </w:r>
    </w:p>
    <w:p w14:paraId="5237C937" w14:textId="5390E1B1" w:rsidR="00080B2F" w:rsidRDefault="00080B2F" w:rsidP="007B30AE">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 xml:space="preserve">Overhead 30% of labour and electricity: </w:t>
      </w:r>
      <w:r w:rsidR="002E21A5">
        <w:rPr>
          <w:rFonts w:ascii="Times New Roman" w:hAnsi="Times New Roman" w:cs="Times New Roman"/>
          <w:sz w:val="20"/>
          <w:szCs w:val="20"/>
        </w:rPr>
        <w:t>It is a</w:t>
      </w:r>
      <w:r>
        <w:rPr>
          <w:rFonts w:ascii="Times New Roman" w:hAnsi="Times New Roman" w:cs="Times New Roman"/>
          <w:sz w:val="20"/>
          <w:szCs w:val="20"/>
        </w:rPr>
        <w:t>ssume</w:t>
      </w:r>
      <w:r w:rsidR="002E21A5">
        <w:rPr>
          <w:rFonts w:ascii="Times New Roman" w:hAnsi="Times New Roman" w:cs="Times New Roman"/>
          <w:sz w:val="20"/>
          <w:szCs w:val="20"/>
        </w:rPr>
        <w:t>d that</w:t>
      </w:r>
      <w:r>
        <w:rPr>
          <w:rFonts w:ascii="Times New Roman" w:hAnsi="Times New Roman" w:cs="Times New Roman"/>
          <w:sz w:val="20"/>
          <w:szCs w:val="20"/>
        </w:rPr>
        <w:t xml:space="preserve"> electricity as the cost of fixed and surcharge here.</w:t>
      </w:r>
    </w:p>
    <w:p w14:paraId="04AD6959" w14:textId="633C9BD0" w:rsidR="00080B2F" w:rsidRDefault="002E21A5" w:rsidP="007B30AE">
      <w:pPr>
        <w:pStyle w:val="ListParagraph"/>
        <w:numPr>
          <w:ilvl w:val="0"/>
          <w:numId w:val="4"/>
        </w:numPr>
        <w:rPr>
          <w:rFonts w:ascii="Times New Roman" w:hAnsi="Times New Roman" w:cs="Times New Roman"/>
          <w:sz w:val="20"/>
          <w:szCs w:val="20"/>
        </w:rPr>
      </w:pPr>
      <w:r>
        <w:rPr>
          <w:rFonts w:ascii="Times New Roman" w:hAnsi="Times New Roman" w:cs="Times New Roman"/>
          <w:sz w:val="20"/>
          <w:szCs w:val="20"/>
        </w:rPr>
        <w:t>Capital improvements: This remains constant for all 10 years</w:t>
      </w:r>
      <w:r w:rsidR="0078219C">
        <w:rPr>
          <w:rFonts w:ascii="Times New Roman" w:hAnsi="Times New Roman" w:cs="Times New Roman"/>
          <w:sz w:val="20"/>
          <w:szCs w:val="20"/>
        </w:rPr>
        <w:t>, 500k for internal plant</w:t>
      </w:r>
      <w:r>
        <w:rPr>
          <w:rFonts w:ascii="Times New Roman" w:hAnsi="Times New Roman" w:cs="Times New Roman"/>
          <w:sz w:val="20"/>
          <w:szCs w:val="20"/>
        </w:rPr>
        <w:t>.</w:t>
      </w:r>
    </w:p>
    <w:p w14:paraId="56B6E822" w14:textId="7AFB3E3E" w:rsidR="002E21A5" w:rsidRDefault="00F53FBF" w:rsidP="002E21A5">
      <w:pPr>
        <w:rPr>
          <w:rFonts w:ascii="Times New Roman" w:hAnsi="Times New Roman" w:cs="Times New Roman"/>
          <w:sz w:val="20"/>
          <w:szCs w:val="20"/>
        </w:rPr>
      </w:pPr>
      <w:r>
        <w:rPr>
          <w:rFonts w:ascii="Times New Roman" w:hAnsi="Times New Roman" w:cs="Times New Roman"/>
          <w:sz w:val="20"/>
          <w:szCs w:val="20"/>
        </w:rPr>
        <w:t>Basic assumption across entire section 2 is that all values are calculated on annual basis even though certain payments like salary and electricity may not have yearly payment frequency- discounting at such granular level</w:t>
      </w:r>
      <w:r w:rsidR="007A1260">
        <w:rPr>
          <w:rFonts w:ascii="Times New Roman" w:hAnsi="Times New Roman" w:cs="Times New Roman"/>
          <w:sz w:val="20"/>
          <w:szCs w:val="20"/>
        </w:rPr>
        <w:t xml:space="preserve"> is ignored</w:t>
      </w:r>
      <w:r>
        <w:rPr>
          <w:rFonts w:ascii="Times New Roman" w:hAnsi="Times New Roman" w:cs="Times New Roman"/>
          <w:sz w:val="20"/>
          <w:szCs w:val="20"/>
        </w:rPr>
        <w:t xml:space="preserve">. </w:t>
      </w:r>
      <w:r w:rsidR="002E21A5">
        <w:rPr>
          <w:rFonts w:ascii="Times New Roman" w:hAnsi="Times New Roman" w:cs="Times New Roman"/>
          <w:sz w:val="20"/>
          <w:szCs w:val="20"/>
        </w:rPr>
        <w:t xml:space="preserve">After discounting future cashflows, the net value comes to around </w:t>
      </w:r>
      <w:r w:rsidR="005D10D8">
        <w:rPr>
          <w:rFonts w:ascii="Times New Roman" w:hAnsi="Times New Roman" w:cs="Times New Roman"/>
          <w:sz w:val="20"/>
          <w:szCs w:val="20"/>
        </w:rPr>
        <w:t>84m</w:t>
      </w:r>
      <w:r w:rsidR="002E21A5">
        <w:rPr>
          <w:rFonts w:ascii="Times New Roman" w:hAnsi="Times New Roman" w:cs="Times New Roman"/>
          <w:sz w:val="20"/>
          <w:szCs w:val="20"/>
        </w:rPr>
        <w:t xml:space="preserve"> USD as of June 2007.</w:t>
      </w:r>
    </w:p>
    <w:p w14:paraId="0E6CF370" w14:textId="33F9A1A2" w:rsidR="00132988" w:rsidRPr="007F50FF" w:rsidRDefault="002E21A5" w:rsidP="00DE5199">
      <w:pPr>
        <w:rPr>
          <w:rFonts w:ascii="Times New Roman" w:hAnsi="Times New Roman" w:cs="Times New Roman"/>
          <w:sz w:val="20"/>
          <w:szCs w:val="20"/>
        </w:rPr>
      </w:pPr>
      <w:r>
        <w:rPr>
          <w:rFonts w:ascii="Times New Roman" w:hAnsi="Times New Roman" w:cs="Times New Roman"/>
          <w:sz w:val="20"/>
          <w:szCs w:val="20"/>
        </w:rPr>
        <w:t xml:space="preserve">Table 2 showcases cost of NOT doing any improvements over the 10 years in labour productivity and electricity. In this case, Scotts bleeds </w:t>
      </w:r>
      <w:r w:rsidR="0078219C">
        <w:rPr>
          <w:rFonts w:ascii="Times New Roman" w:hAnsi="Times New Roman" w:cs="Times New Roman"/>
          <w:sz w:val="20"/>
          <w:szCs w:val="20"/>
        </w:rPr>
        <w:t xml:space="preserve">around </w:t>
      </w:r>
      <w:r w:rsidR="005D10D8">
        <w:rPr>
          <w:rFonts w:ascii="Times New Roman" w:hAnsi="Times New Roman" w:cs="Times New Roman"/>
          <w:sz w:val="20"/>
          <w:szCs w:val="20"/>
        </w:rPr>
        <w:t xml:space="preserve">90.5m. Thus, </w:t>
      </w:r>
      <w:proofErr w:type="spellStart"/>
      <w:r w:rsidR="005D10D8">
        <w:rPr>
          <w:rFonts w:ascii="Times New Roman" w:hAnsi="Times New Roman" w:cs="Times New Roman"/>
          <w:sz w:val="20"/>
          <w:szCs w:val="20"/>
        </w:rPr>
        <w:t>Bowcombe</w:t>
      </w:r>
      <w:proofErr w:type="spellEnd"/>
      <w:r w:rsidR="005D10D8">
        <w:rPr>
          <w:rFonts w:ascii="Times New Roman" w:hAnsi="Times New Roman" w:cs="Times New Roman"/>
          <w:sz w:val="20"/>
          <w:szCs w:val="20"/>
        </w:rPr>
        <w:t xml:space="preserve"> and team are effectively saving 6.5m USD as of today due to improvements. It helps to gauge importance of talent and equivalent savings in case offshore model</w:t>
      </w:r>
      <w:r w:rsidR="007A1260">
        <w:rPr>
          <w:rFonts w:ascii="Times New Roman" w:hAnsi="Times New Roman" w:cs="Times New Roman"/>
          <w:sz w:val="20"/>
          <w:szCs w:val="20"/>
        </w:rPr>
        <w:t xml:space="preserve"> is used</w:t>
      </w:r>
      <w:r w:rsidR="00FC40DB">
        <w:rPr>
          <w:rFonts w:ascii="Times New Roman" w:hAnsi="Times New Roman" w:cs="Times New Roman"/>
          <w:sz w:val="20"/>
          <w:szCs w:val="20"/>
        </w:rPr>
        <w:t>.</w:t>
      </w:r>
    </w:p>
    <w:p w14:paraId="04C3CF61" w14:textId="77777777" w:rsidR="00132988" w:rsidRPr="007F50FF" w:rsidRDefault="00132988" w:rsidP="00DE5199">
      <w:pPr>
        <w:rPr>
          <w:rFonts w:ascii="Times New Roman" w:hAnsi="Times New Roman" w:cs="Times New Roman"/>
          <w:sz w:val="20"/>
          <w:szCs w:val="20"/>
        </w:rPr>
      </w:pPr>
    </w:p>
    <w:p w14:paraId="174BE1A4" w14:textId="73AFA740" w:rsidR="000F213F" w:rsidRPr="007F50FF" w:rsidRDefault="000F213F" w:rsidP="00DE5199">
      <w:pPr>
        <w:rPr>
          <w:rFonts w:ascii="Times New Roman" w:hAnsi="Times New Roman" w:cs="Times New Roman"/>
          <w:i/>
          <w:sz w:val="20"/>
          <w:szCs w:val="20"/>
        </w:rPr>
      </w:pPr>
      <w:r w:rsidRPr="007F50FF">
        <w:rPr>
          <w:rFonts w:ascii="Times New Roman" w:hAnsi="Times New Roman" w:cs="Times New Roman"/>
          <w:i/>
          <w:sz w:val="20"/>
          <w:szCs w:val="20"/>
        </w:rPr>
        <w:t xml:space="preserve">2.3 </w:t>
      </w:r>
      <w:r w:rsidR="003B63EE">
        <w:rPr>
          <w:rFonts w:ascii="Times New Roman" w:hAnsi="Times New Roman" w:cs="Times New Roman"/>
          <w:i/>
          <w:sz w:val="20"/>
          <w:szCs w:val="20"/>
        </w:rPr>
        <w:t>Financial Analysis – China (Outsource)</w:t>
      </w:r>
    </w:p>
    <w:p w14:paraId="519CA609" w14:textId="34D4ADEA" w:rsidR="00016BCB" w:rsidRDefault="00441412" w:rsidP="00C2120E">
      <w:pPr>
        <w:rPr>
          <w:rFonts w:ascii="Times New Roman" w:hAnsi="Times New Roman" w:cs="Times New Roman"/>
          <w:sz w:val="20"/>
          <w:szCs w:val="20"/>
        </w:rPr>
      </w:pPr>
      <w:r>
        <w:rPr>
          <w:rFonts w:ascii="Times New Roman" w:hAnsi="Times New Roman" w:cs="Times New Roman"/>
          <w:sz w:val="20"/>
          <w:szCs w:val="20"/>
        </w:rPr>
        <w:t>B</w:t>
      </w:r>
      <w:r w:rsidR="00483350">
        <w:rPr>
          <w:rFonts w:ascii="Times New Roman" w:hAnsi="Times New Roman" w:cs="Times New Roman"/>
          <w:sz w:val="20"/>
          <w:szCs w:val="20"/>
        </w:rPr>
        <w:t xml:space="preserve">asic headings </w:t>
      </w:r>
      <w:r w:rsidR="004B3D15">
        <w:rPr>
          <w:rFonts w:ascii="Times New Roman" w:hAnsi="Times New Roman" w:cs="Times New Roman"/>
          <w:sz w:val="20"/>
          <w:szCs w:val="20"/>
        </w:rPr>
        <w:t xml:space="preserve">in Table 3 </w:t>
      </w:r>
      <w:r w:rsidR="00483350">
        <w:rPr>
          <w:rFonts w:ascii="Times New Roman" w:hAnsi="Times New Roman" w:cs="Times New Roman"/>
          <w:sz w:val="20"/>
          <w:szCs w:val="20"/>
        </w:rPr>
        <w:t>viz. raw material</w:t>
      </w:r>
      <w:r w:rsidR="007929B7">
        <w:rPr>
          <w:rFonts w:ascii="Times New Roman" w:hAnsi="Times New Roman" w:cs="Times New Roman"/>
          <w:sz w:val="20"/>
          <w:szCs w:val="20"/>
        </w:rPr>
        <w:t>, lease cost, labour cost, overhead, electricity (no surcharge)</w:t>
      </w:r>
      <w:r w:rsidR="00483350">
        <w:rPr>
          <w:rFonts w:ascii="Times New Roman" w:hAnsi="Times New Roman" w:cs="Times New Roman"/>
          <w:sz w:val="20"/>
          <w:szCs w:val="20"/>
        </w:rPr>
        <w:t xml:space="preserve"> remain same</w:t>
      </w:r>
      <w:r w:rsidR="007929B7">
        <w:rPr>
          <w:rFonts w:ascii="Times New Roman" w:hAnsi="Times New Roman" w:cs="Times New Roman"/>
          <w:sz w:val="20"/>
          <w:szCs w:val="20"/>
        </w:rPr>
        <w:t xml:space="preserve"> with change in values from China</w:t>
      </w:r>
      <w:r w:rsidR="00483350">
        <w:rPr>
          <w:rFonts w:ascii="Times New Roman" w:hAnsi="Times New Roman" w:cs="Times New Roman"/>
          <w:sz w:val="20"/>
          <w:szCs w:val="20"/>
        </w:rPr>
        <w:t xml:space="preserve">, </w:t>
      </w:r>
      <w:r w:rsidR="007929B7">
        <w:rPr>
          <w:rFonts w:ascii="Times New Roman" w:hAnsi="Times New Roman" w:cs="Times New Roman"/>
          <w:sz w:val="20"/>
          <w:szCs w:val="20"/>
        </w:rPr>
        <w:t>there are some aspects which were not required for Temecula</w:t>
      </w:r>
      <w:r w:rsidR="00F53FBF">
        <w:rPr>
          <w:rFonts w:ascii="Times New Roman" w:hAnsi="Times New Roman" w:cs="Times New Roman"/>
          <w:sz w:val="20"/>
          <w:szCs w:val="20"/>
        </w:rPr>
        <w:t xml:space="preserve"> </w:t>
      </w:r>
      <w:r>
        <w:rPr>
          <w:rFonts w:ascii="Times New Roman" w:hAnsi="Times New Roman" w:cs="Times New Roman"/>
          <w:sz w:val="20"/>
          <w:szCs w:val="20"/>
        </w:rPr>
        <w:t>with deletion of electricity surcharge</w:t>
      </w:r>
      <w:r w:rsidR="00F53FBF">
        <w:rPr>
          <w:rFonts w:ascii="Times New Roman" w:hAnsi="Times New Roman" w:cs="Times New Roman"/>
          <w:sz w:val="20"/>
          <w:szCs w:val="20"/>
        </w:rPr>
        <w:t>. Below are the headings</w:t>
      </w:r>
      <w:r>
        <w:rPr>
          <w:rFonts w:ascii="Times New Roman" w:hAnsi="Times New Roman" w:cs="Times New Roman"/>
          <w:sz w:val="20"/>
          <w:szCs w:val="20"/>
        </w:rPr>
        <w:t xml:space="preserve"> which require change or explanation</w:t>
      </w:r>
      <w:r w:rsidR="00F53FBF">
        <w:rPr>
          <w:rFonts w:ascii="Times New Roman" w:hAnsi="Times New Roman" w:cs="Times New Roman"/>
          <w:sz w:val="20"/>
          <w:szCs w:val="20"/>
        </w:rPr>
        <w:t>:</w:t>
      </w:r>
    </w:p>
    <w:p w14:paraId="7635DCAD" w14:textId="37CA5A3A" w:rsidR="00F53FBF" w:rsidRDefault="00F53FBF" w:rsidP="00F53FBF">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 xml:space="preserve">Raw materials: 100k difference </w:t>
      </w:r>
      <w:r w:rsidR="00255B69">
        <w:rPr>
          <w:rFonts w:ascii="Times New Roman" w:hAnsi="Times New Roman" w:cs="Times New Roman"/>
          <w:sz w:val="20"/>
          <w:szCs w:val="20"/>
        </w:rPr>
        <w:t xml:space="preserve">is added </w:t>
      </w:r>
      <w:r>
        <w:rPr>
          <w:rFonts w:ascii="Times New Roman" w:hAnsi="Times New Roman" w:cs="Times New Roman"/>
          <w:sz w:val="20"/>
          <w:szCs w:val="20"/>
        </w:rPr>
        <w:t>here as regrind technology is not available.</w:t>
      </w:r>
    </w:p>
    <w:p w14:paraId="4EB7B32C" w14:textId="79F59824" w:rsidR="00F53FBF" w:rsidRDefault="00255B69" w:rsidP="00F53FBF">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lastRenderedPageBreak/>
        <w:t xml:space="preserve">Labour cost: </w:t>
      </w:r>
      <w:r w:rsidR="006426C4">
        <w:rPr>
          <w:rFonts w:ascii="Times New Roman" w:hAnsi="Times New Roman" w:cs="Times New Roman"/>
          <w:sz w:val="20"/>
          <w:szCs w:val="20"/>
        </w:rPr>
        <w:t xml:space="preserve">assuming the lower productive workers work 44 hours a week, the calculation for labour cost goes like </w:t>
      </w:r>
      <w:r w:rsidR="006426C4" w:rsidRPr="006426C4">
        <w:rPr>
          <w:rFonts w:ascii="Times New Roman" w:hAnsi="Times New Roman" w:cs="Times New Roman"/>
          <w:sz w:val="20"/>
          <w:szCs w:val="20"/>
        </w:rPr>
        <w:t>211*0.91*44*52</w:t>
      </w:r>
      <w:r w:rsidR="006426C4">
        <w:rPr>
          <w:rFonts w:ascii="Times New Roman" w:hAnsi="Times New Roman" w:cs="Times New Roman"/>
          <w:sz w:val="20"/>
          <w:szCs w:val="20"/>
        </w:rPr>
        <w:t xml:space="preserve"> where 211 is the total number of employees in Temecula (195 temp + 16 employees) and 52 weeks are same as Temecula plant as productivity of workers is already considered in weekly calculation. </w:t>
      </w:r>
      <w:r w:rsidR="007A1260">
        <w:rPr>
          <w:rFonts w:ascii="Times New Roman" w:hAnsi="Times New Roman" w:cs="Times New Roman"/>
          <w:sz w:val="20"/>
          <w:szCs w:val="20"/>
        </w:rPr>
        <w:t>Also</w:t>
      </w:r>
      <w:r w:rsidR="006426C4">
        <w:rPr>
          <w:rFonts w:ascii="Times New Roman" w:hAnsi="Times New Roman" w:cs="Times New Roman"/>
          <w:sz w:val="20"/>
          <w:szCs w:val="20"/>
        </w:rPr>
        <w:t xml:space="preserve"> 40% increase </w:t>
      </w:r>
      <w:r w:rsidR="007A1260">
        <w:rPr>
          <w:rFonts w:ascii="Times New Roman" w:hAnsi="Times New Roman" w:cs="Times New Roman"/>
          <w:sz w:val="20"/>
          <w:szCs w:val="20"/>
        </w:rPr>
        <w:t xml:space="preserve">is distributed </w:t>
      </w:r>
      <w:r w:rsidR="006426C4">
        <w:rPr>
          <w:rFonts w:ascii="Times New Roman" w:hAnsi="Times New Roman" w:cs="Times New Roman"/>
          <w:sz w:val="20"/>
          <w:szCs w:val="20"/>
        </w:rPr>
        <w:t>evenly across 10 years.</w:t>
      </w:r>
    </w:p>
    <w:p w14:paraId="3D87D545" w14:textId="12AA2B26" w:rsidR="005D10D8" w:rsidRDefault="00F53FBF" w:rsidP="005D10D8">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Contractor margin: It is given as 8% and it is calculated on for the resources under contractor’s ownership i.e., lease cost, labour cost, overhead of management, and electricity.</w:t>
      </w:r>
    </w:p>
    <w:p w14:paraId="5534BAD2" w14:textId="3F4FA187" w:rsidR="00C64ECF" w:rsidRDefault="00C64ECF" w:rsidP="005D10D8">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Freight and Freight offset: freight is 3% increase compounded until 2008 to start with. Offset is the savings of 1m as of 2008</w:t>
      </w:r>
      <w:r w:rsidR="00130568">
        <w:rPr>
          <w:rFonts w:ascii="Times New Roman" w:hAnsi="Times New Roman" w:cs="Times New Roman"/>
          <w:sz w:val="20"/>
          <w:szCs w:val="20"/>
        </w:rPr>
        <w:t xml:space="preserve"> which would again increase by 3%.</w:t>
      </w:r>
    </w:p>
    <w:p w14:paraId="77071C0F" w14:textId="102D68D1" w:rsidR="00130568" w:rsidRPr="00130568" w:rsidRDefault="00130568" w:rsidP="00130568">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Lead time offset stock: the value of stock to be stored in US to offset lead time differential of 8 weeks to ship from China. The overall sales are linearly increasing, so it is assumed that this value remains constant over 10 years.</w:t>
      </w:r>
    </w:p>
    <w:p w14:paraId="4C2E96B6" w14:textId="548CAA91" w:rsidR="00130568" w:rsidRDefault="00130568" w:rsidP="005D10D8">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Capital for improvements: R&amp;D for China reduces to 300k compared to 500k of Temecula.</w:t>
      </w:r>
    </w:p>
    <w:p w14:paraId="3378729D" w14:textId="45BAD810" w:rsidR="00130568" w:rsidRDefault="00130568" w:rsidP="005D10D8">
      <w:pPr>
        <w:pStyle w:val="ListParagraph"/>
        <w:numPr>
          <w:ilvl w:val="0"/>
          <w:numId w:val="5"/>
        </w:numPr>
        <w:rPr>
          <w:rFonts w:ascii="Times New Roman" w:hAnsi="Times New Roman" w:cs="Times New Roman"/>
          <w:sz w:val="20"/>
          <w:szCs w:val="20"/>
        </w:rPr>
      </w:pPr>
      <w:r>
        <w:rPr>
          <w:rFonts w:ascii="Times New Roman" w:hAnsi="Times New Roman" w:cs="Times New Roman"/>
          <w:sz w:val="20"/>
          <w:szCs w:val="20"/>
        </w:rPr>
        <w:t>FX multiplier: Yuan is expected to increase by 20% in 5 years so the total amount is multiplied by that factor to consider FX fluctuations. It is assumed that it increases by another 20% in next 5 years for the sake of simplicity.</w:t>
      </w:r>
    </w:p>
    <w:p w14:paraId="514DA87A" w14:textId="11B3E02D" w:rsidR="00C2120E" w:rsidRPr="007F50FF" w:rsidRDefault="0050458C" w:rsidP="00C2120E">
      <w:pPr>
        <w:rPr>
          <w:rFonts w:ascii="Times New Roman" w:hAnsi="Times New Roman" w:cs="Times New Roman"/>
          <w:sz w:val="20"/>
          <w:szCs w:val="20"/>
        </w:rPr>
      </w:pPr>
      <w:r>
        <w:rPr>
          <w:rFonts w:ascii="Times New Roman" w:hAnsi="Times New Roman" w:cs="Times New Roman"/>
          <w:sz w:val="20"/>
          <w:szCs w:val="20"/>
        </w:rPr>
        <w:t xml:space="preserve">Discounting all the values, 64.7m </w:t>
      </w:r>
      <w:r w:rsidR="007A1260">
        <w:rPr>
          <w:rFonts w:ascii="Times New Roman" w:hAnsi="Times New Roman" w:cs="Times New Roman"/>
          <w:sz w:val="20"/>
          <w:szCs w:val="20"/>
        </w:rPr>
        <w:t xml:space="preserve">is obtained </w:t>
      </w:r>
      <w:r>
        <w:rPr>
          <w:rFonts w:ascii="Times New Roman" w:hAnsi="Times New Roman" w:cs="Times New Roman"/>
          <w:sz w:val="20"/>
          <w:szCs w:val="20"/>
        </w:rPr>
        <w:t>which is roughly 25% reduction over Temecula plant’s cost of 84m.</w:t>
      </w:r>
      <w:r w:rsidR="00441412">
        <w:rPr>
          <w:rFonts w:ascii="Times New Roman" w:hAnsi="Times New Roman" w:cs="Times New Roman"/>
          <w:sz w:val="20"/>
          <w:szCs w:val="20"/>
        </w:rPr>
        <w:t xml:space="preserve"> Sensitivity analysis is done when all the factor</w:t>
      </w:r>
      <w:r w:rsidR="00386633">
        <w:rPr>
          <w:rFonts w:ascii="Times New Roman" w:hAnsi="Times New Roman" w:cs="Times New Roman"/>
          <w:sz w:val="20"/>
          <w:szCs w:val="20"/>
        </w:rPr>
        <w:t>s</w:t>
      </w:r>
      <w:r w:rsidR="00441412">
        <w:rPr>
          <w:rFonts w:ascii="Times New Roman" w:hAnsi="Times New Roman" w:cs="Times New Roman"/>
          <w:sz w:val="20"/>
          <w:szCs w:val="20"/>
        </w:rPr>
        <w:t xml:space="preserve"> increase or reduce at the same time in Table </w:t>
      </w:r>
      <w:r w:rsidR="00386633">
        <w:rPr>
          <w:rFonts w:ascii="Times New Roman" w:hAnsi="Times New Roman" w:cs="Times New Roman"/>
          <w:sz w:val="20"/>
          <w:szCs w:val="20"/>
        </w:rPr>
        <w:t>4 and Table 5 to get an idea of how the risk changes when the estimates go wrong by around 20% on either side</w:t>
      </w:r>
      <w:r w:rsidR="00441412">
        <w:rPr>
          <w:rFonts w:ascii="Times New Roman" w:hAnsi="Times New Roman" w:cs="Times New Roman"/>
          <w:sz w:val="20"/>
          <w:szCs w:val="20"/>
        </w:rPr>
        <w:t>,</w:t>
      </w:r>
      <w:r w:rsidR="00386633">
        <w:rPr>
          <w:rFonts w:ascii="Times New Roman" w:hAnsi="Times New Roman" w:cs="Times New Roman"/>
          <w:sz w:val="20"/>
          <w:szCs w:val="20"/>
        </w:rPr>
        <w:t xml:space="preserve"> and difference of 1.8m on either side of our outsourcing estimate</w:t>
      </w:r>
      <w:r w:rsidR="007A1260">
        <w:rPr>
          <w:rFonts w:ascii="Times New Roman" w:hAnsi="Times New Roman" w:cs="Times New Roman"/>
          <w:sz w:val="20"/>
          <w:szCs w:val="20"/>
        </w:rPr>
        <w:t xml:space="preserve"> is seen</w:t>
      </w:r>
      <w:r w:rsidR="00386633">
        <w:rPr>
          <w:rFonts w:ascii="Times New Roman" w:hAnsi="Times New Roman" w:cs="Times New Roman"/>
          <w:sz w:val="20"/>
          <w:szCs w:val="20"/>
        </w:rPr>
        <w:t>.</w:t>
      </w:r>
      <w:r w:rsidR="00441412">
        <w:rPr>
          <w:rFonts w:ascii="Times New Roman" w:hAnsi="Times New Roman" w:cs="Times New Roman"/>
          <w:sz w:val="20"/>
          <w:szCs w:val="20"/>
        </w:rPr>
        <w:t xml:space="preserve"> </w:t>
      </w:r>
      <w:r w:rsidR="00386633">
        <w:rPr>
          <w:rFonts w:ascii="Times New Roman" w:hAnsi="Times New Roman" w:cs="Times New Roman"/>
          <w:sz w:val="20"/>
          <w:szCs w:val="20"/>
        </w:rPr>
        <w:t>U</w:t>
      </w:r>
      <w:r w:rsidR="00441412">
        <w:rPr>
          <w:rFonts w:ascii="Times New Roman" w:hAnsi="Times New Roman" w:cs="Times New Roman"/>
          <w:sz w:val="20"/>
          <w:szCs w:val="20"/>
        </w:rPr>
        <w:t>nderlying</w:t>
      </w:r>
      <w:r w:rsidR="00386633">
        <w:rPr>
          <w:rFonts w:ascii="Times New Roman" w:hAnsi="Times New Roman" w:cs="Times New Roman"/>
          <w:sz w:val="20"/>
          <w:szCs w:val="20"/>
        </w:rPr>
        <w:t xml:space="preserve"> assumption is that all 3 factors are correlated- wages, electricity and Yuan. It would be very rare to have wages increasing at </w:t>
      </w:r>
      <w:r w:rsidR="00A26BA0">
        <w:rPr>
          <w:rFonts w:ascii="Times New Roman" w:hAnsi="Times New Roman" w:cs="Times New Roman"/>
          <w:sz w:val="20"/>
          <w:szCs w:val="20"/>
        </w:rPr>
        <w:t xml:space="preserve">or below </w:t>
      </w:r>
      <w:r w:rsidR="00386633">
        <w:rPr>
          <w:rFonts w:ascii="Times New Roman" w:hAnsi="Times New Roman" w:cs="Times New Roman"/>
          <w:sz w:val="20"/>
          <w:szCs w:val="20"/>
        </w:rPr>
        <w:t>estimated rate when Yuan and electricity are rising above estimate, for example.</w:t>
      </w:r>
      <w:r w:rsidR="00A26BA0">
        <w:rPr>
          <w:rFonts w:ascii="Times New Roman" w:hAnsi="Times New Roman" w:cs="Times New Roman"/>
          <w:sz w:val="20"/>
          <w:szCs w:val="20"/>
        </w:rPr>
        <w:t xml:space="preserve"> Also, </w:t>
      </w:r>
      <w:r w:rsidR="00E3040B">
        <w:rPr>
          <w:rFonts w:ascii="Times New Roman" w:hAnsi="Times New Roman" w:cs="Times New Roman"/>
          <w:sz w:val="20"/>
          <w:szCs w:val="20"/>
        </w:rPr>
        <w:t xml:space="preserve">general administrative cost of finding and maintaining the vendor, the recurring costs </w:t>
      </w:r>
      <w:r w:rsidR="007A1260">
        <w:rPr>
          <w:rFonts w:ascii="Times New Roman" w:hAnsi="Times New Roman" w:cs="Times New Roman"/>
          <w:sz w:val="20"/>
          <w:szCs w:val="20"/>
        </w:rPr>
        <w:t>a</w:t>
      </w:r>
      <w:r w:rsidR="00E3040B">
        <w:rPr>
          <w:rFonts w:ascii="Times New Roman" w:hAnsi="Times New Roman" w:cs="Times New Roman"/>
          <w:sz w:val="20"/>
          <w:szCs w:val="20"/>
        </w:rPr>
        <w:t xml:space="preserve">nd the Temecula closure overhead </w:t>
      </w:r>
      <w:r w:rsidR="007A1260">
        <w:rPr>
          <w:rFonts w:ascii="Times New Roman" w:hAnsi="Times New Roman" w:cs="Times New Roman"/>
          <w:sz w:val="20"/>
          <w:szCs w:val="20"/>
        </w:rPr>
        <w:t xml:space="preserve">is ignored, </w:t>
      </w:r>
      <w:r w:rsidR="00E3040B">
        <w:rPr>
          <w:rFonts w:ascii="Times New Roman" w:hAnsi="Times New Roman" w:cs="Times New Roman"/>
          <w:sz w:val="20"/>
          <w:szCs w:val="20"/>
        </w:rPr>
        <w:t>which when added to actual figure, might go to around 70m as of today.</w:t>
      </w:r>
    </w:p>
    <w:p w14:paraId="739314A2" w14:textId="77777777" w:rsidR="00132988" w:rsidRPr="007F50FF" w:rsidRDefault="00132988" w:rsidP="00C2120E">
      <w:pPr>
        <w:rPr>
          <w:rFonts w:ascii="Times New Roman" w:hAnsi="Times New Roman" w:cs="Times New Roman"/>
          <w:sz w:val="20"/>
          <w:szCs w:val="20"/>
        </w:rPr>
      </w:pPr>
    </w:p>
    <w:p w14:paraId="6C8B9085" w14:textId="5385DE82" w:rsidR="00132988" w:rsidRPr="00A35669" w:rsidRDefault="003B63EE" w:rsidP="00C2120E">
      <w:pPr>
        <w:rPr>
          <w:rFonts w:ascii="Times New Roman" w:hAnsi="Times New Roman" w:cs="Times New Roman"/>
          <w:i/>
          <w:iCs/>
          <w:sz w:val="20"/>
          <w:szCs w:val="20"/>
        </w:rPr>
      </w:pPr>
      <w:r w:rsidRPr="00A35669">
        <w:rPr>
          <w:rFonts w:ascii="Times New Roman" w:hAnsi="Times New Roman" w:cs="Times New Roman"/>
          <w:i/>
          <w:iCs/>
          <w:sz w:val="20"/>
          <w:szCs w:val="20"/>
        </w:rPr>
        <w:t>2.4 Financial Analysis – China (Offshore)</w:t>
      </w:r>
    </w:p>
    <w:p w14:paraId="46D212EB" w14:textId="0175EC4E" w:rsidR="008D0C60" w:rsidRDefault="008D0C60" w:rsidP="00C2120E">
      <w:pPr>
        <w:rPr>
          <w:rFonts w:ascii="Times New Roman" w:hAnsi="Times New Roman" w:cs="Times New Roman"/>
          <w:sz w:val="20"/>
          <w:szCs w:val="20"/>
        </w:rPr>
      </w:pPr>
      <w:r>
        <w:rPr>
          <w:rFonts w:ascii="Times New Roman" w:hAnsi="Times New Roman" w:cs="Times New Roman"/>
          <w:sz w:val="20"/>
          <w:szCs w:val="20"/>
        </w:rPr>
        <w:t xml:space="preserve">Offshoring to China </w:t>
      </w:r>
      <w:r w:rsidR="00813E7A">
        <w:rPr>
          <w:rFonts w:ascii="Times New Roman" w:hAnsi="Times New Roman" w:cs="Times New Roman"/>
          <w:sz w:val="20"/>
          <w:szCs w:val="20"/>
        </w:rPr>
        <w:t xml:space="preserve">(Table 6) </w:t>
      </w:r>
      <w:r>
        <w:rPr>
          <w:rFonts w:ascii="Times New Roman" w:hAnsi="Times New Roman" w:cs="Times New Roman"/>
          <w:sz w:val="20"/>
          <w:szCs w:val="20"/>
        </w:rPr>
        <w:t xml:space="preserve">is very similar to outsourcing except for addition of 8M upfront cost of setup and </w:t>
      </w:r>
      <w:r w:rsidR="006426C4">
        <w:rPr>
          <w:rFonts w:ascii="Times New Roman" w:hAnsi="Times New Roman" w:cs="Times New Roman"/>
          <w:sz w:val="20"/>
          <w:szCs w:val="20"/>
        </w:rPr>
        <w:t>omission</w:t>
      </w:r>
      <w:r>
        <w:rPr>
          <w:rFonts w:ascii="Times New Roman" w:hAnsi="Times New Roman" w:cs="Times New Roman"/>
          <w:sz w:val="20"/>
          <w:szCs w:val="20"/>
        </w:rPr>
        <w:t xml:space="preserve"> of contractor commission</w:t>
      </w:r>
      <w:r w:rsidR="006426C4">
        <w:rPr>
          <w:rFonts w:ascii="Times New Roman" w:hAnsi="Times New Roman" w:cs="Times New Roman"/>
          <w:sz w:val="20"/>
          <w:szCs w:val="20"/>
        </w:rPr>
        <w:t xml:space="preserve"> as no contractor is involved</w:t>
      </w:r>
      <w:r>
        <w:rPr>
          <w:rFonts w:ascii="Times New Roman" w:hAnsi="Times New Roman" w:cs="Times New Roman"/>
          <w:sz w:val="20"/>
          <w:szCs w:val="20"/>
        </w:rPr>
        <w:t xml:space="preserve">. </w:t>
      </w:r>
      <w:r w:rsidR="0078219C">
        <w:rPr>
          <w:rFonts w:ascii="Times New Roman" w:hAnsi="Times New Roman" w:cs="Times New Roman"/>
          <w:sz w:val="20"/>
          <w:szCs w:val="20"/>
        </w:rPr>
        <w:t>The capital</w:t>
      </w:r>
      <w:r w:rsidR="007929B7">
        <w:rPr>
          <w:rFonts w:ascii="Times New Roman" w:hAnsi="Times New Roman" w:cs="Times New Roman"/>
          <w:sz w:val="20"/>
          <w:szCs w:val="20"/>
        </w:rPr>
        <w:t xml:space="preserve"> for improvements would remain 500k as the ownership remains with Scotts. </w:t>
      </w:r>
      <w:r>
        <w:rPr>
          <w:rFonts w:ascii="Times New Roman" w:hAnsi="Times New Roman" w:cs="Times New Roman"/>
          <w:sz w:val="20"/>
          <w:szCs w:val="20"/>
        </w:rPr>
        <w:t xml:space="preserve">All other costs including overhead costs would remain </w:t>
      </w:r>
      <w:r w:rsidR="00441412">
        <w:rPr>
          <w:rFonts w:ascii="Times New Roman" w:hAnsi="Times New Roman" w:cs="Times New Roman"/>
          <w:sz w:val="20"/>
          <w:szCs w:val="20"/>
        </w:rPr>
        <w:t>same</w:t>
      </w:r>
      <w:r>
        <w:rPr>
          <w:rFonts w:ascii="Times New Roman" w:hAnsi="Times New Roman" w:cs="Times New Roman"/>
          <w:sz w:val="20"/>
          <w:szCs w:val="20"/>
        </w:rPr>
        <w:t xml:space="preserve">. </w:t>
      </w:r>
      <w:r w:rsidR="000B74AD">
        <w:rPr>
          <w:rFonts w:ascii="Times New Roman" w:hAnsi="Times New Roman" w:cs="Times New Roman"/>
          <w:sz w:val="20"/>
          <w:szCs w:val="20"/>
        </w:rPr>
        <w:t>Absolute cost</w:t>
      </w:r>
      <w:r w:rsidR="00DD1756">
        <w:rPr>
          <w:rFonts w:ascii="Times New Roman" w:hAnsi="Times New Roman" w:cs="Times New Roman"/>
          <w:sz w:val="20"/>
          <w:szCs w:val="20"/>
        </w:rPr>
        <w:t xml:space="preserve"> </w:t>
      </w:r>
      <w:r w:rsidR="000B74AD">
        <w:rPr>
          <w:rFonts w:ascii="Times New Roman" w:hAnsi="Times New Roman" w:cs="Times New Roman"/>
          <w:sz w:val="20"/>
          <w:szCs w:val="20"/>
        </w:rPr>
        <w:t xml:space="preserve">exceeds outsourcing number </w:t>
      </w:r>
      <w:r w:rsidR="00DD1756">
        <w:rPr>
          <w:rFonts w:ascii="Times New Roman" w:hAnsi="Times New Roman" w:cs="Times New Roman"/>
          <w:sz w:val="20"/>
          <w:szCs w:val="20"/>
        </w:rPr>
        <w:t xml:space="preserve">by </w:t>
      </w:r>
      <w:r w:rsidR="0050458C">
        <w:rPr>
          <w:rFonts w:ascii="Times New Roman" w:hAnsi="Times New Roman" w:cs="Times New Roman"/>
          <w:sz w:val="20"/>
          <w:szCs w:val="20"/>
        </w:rPr>
        <w:t>7.3m</w:t>
      </w:r>
      <w:r w:rsidR="00DD1756">
        <w:rPr>
          <w:rFonts w:ascii="Times New Roman" w:hAnsi="Times New Roman" w:cs="Times New Roman"/>
          <w:sz w:val="20"/>
          <w:szCs w:val="20"/>
        </w:rPr>
        <w:t>, which is driven by 8</w:t>
      </w:r>
      <w:r w:rsidR="0050458C">
        <w:rPr>
          <w:rFonts w:ascii="Times New Roman" w:hAnsi="Times New Roman" w:cs="Times New Roman"/>
          <w:sz w:val="20"/>
          <w:szCs w:val="20"/>
        </w:rPr>
        <w:t>m</w:t>
      </w:r>
      <w:r w:rsidR="00DD1756">
        <w:rPr>
          <w:rFonts w:ascii="Times New Roman" w:hAnsi="Times New Roman" w:cs="Times New Roman"/>
          <w:sz w:val="20"/>
          <w:szCs w:val="20"/>
        </w:rPr>
        <w:t xml:space="preserve"> discounted </w:t>
      </w:r>
      <w:r w:rsidR="000B74AD">
        <w:rPr>
          <w:rFonts w:ascii="Times New Roman" w:hAnsi="Times New Roman" w:cs="Times New Roman"/>
          <w:sz w:val="20"/>
          <w:szCs w:val="20"/>
        </w:rPr>
        <w:t xml:space="preserve">for a year </w:t>
      </w:r>
      <w:r w:rsidR="00DD1756">
        <w:rPr>
          <w:rFonts w:ascii="Times New Roman" w:hAnsi="Times New Roman" w:cs="Times New Roman"/>
          <w:sz w:val="20"/>
          <w:szCs w:val="20"/>
        </w:rPr>
        <w:t xml:space="preserve">and rest of the figure impacted by removal of commission. Offshoring could save cost in very long term as </w:t>
      </w:r>
      <w:r w:rsidR="00CA221B">
        <w:rPr>
          <w:rFonts w:ascii="Times New Roman" w:hAnsi="Times New Roman" w:cs="Times New Roman"/>
          <w:sz w:val="20"/>
          <w:szCs w:val="20"/>
        </w:rPr>
        <w:t xml:space="preserve">contractor margin is just 1.25% of total setup cost assuming interest income and discount factor for future payments is almost same, it would take years to recover the revenue invested. The </w:t>
      </w:r>
      <w:r w:rsidR="00465FCB">
        <w:rPr>
          <w:rFonts w:ascii="Times New Roman" w:hAnsi="Times New Roman" w:cs="Times New Roman"/>
          <w:sz w:val="20"/>
          <w:szCs w:val="20"/>
        </w:rPr>
        <w:t>factors that are not included in financial summary are</w:t>
      </w:r>
      <w:r w:rsidR="00CA221B">
        <w:rPr>
          <w:rFonts w:ascii="Times New Roman" w:hAnsi="Times New Roman" w:cs="Times New Roman"/>
          <w:sz w:val="20"/>
          <w:szCs w:val="20"/>
        </w:rPr>
        <w:t>:</w:t>
      </w:r>
    </w:p>
    <w:p w14:paraId="0C9442F6" w14:textId="05DEDBE5" w:rsidR="00132988" w:rsidRDefault="00465FCB" w:rsidP="00465FCB">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Sensitivity Analysis around fluctuation of Yuan, labour costs in China and the electricity costs, but it would cause similar effect of around 1.8M on positive or negative side.</w:t>
      </w:r>
    </w:p>
    <w:p w14:paraId="2ED9A18C" w14:textId="7B162354" w:rsidR="00132988" w:rsidRPr="00E3040B" w:rsidRDefault="00016BCB" w:rsidP="00C2120E">
      <w:pPr>
        <w:pStyle w:val="ListParagraph"/>
        <w:numPr>
          <w:ilvl w:val="0"/>
          <w:numId w:val="3"/>
        </w:numPr>
        <w:rPr>
          <w:rFonts w:ascii="Times New Roman" w:hAnsi="Times New Roman" w:cs="Times New Roman"/>
          <w:sz w:val="20"/>
          <w:szCs w:val="20"/>
        </w:rPr>
      </w:pPr>
      <w:r>
        <w:rPr>
          <w:rFonts w:ascii="Times New Roman" w:hAnsi="Times New Roman" w:cs="Times New Roman"/>
          <w:sz w:val="20"/>
          <w:szCs w:val="20"/>
        </w:rPr>
        <w:t>Overhead of hiring various employees, corporate office etc. along with their recurring costs as details are not provided.</w:t>
      </w:r>
    </w:p>
    <w:p w14:paraId="6E174AF4" w14:textId="77777777" w:rsidR="00132988" w:rsidRPr="007F50FF" w:rsidRDefault="00132988" w:rsidP="00C2120E">
      <w:pPr>
        <w:rPr>
          <w:rFonts w:ascii="Times New Roman" w:hAnsi="Times New Roman" w:cs="Times New Roman"/>
          <w:sz w:val="20"/>
          <w:szCs w:val="20"/>
        </w:rPr>
      </w:pPr>
    </w:p>
    <w:p w14:paraId="2B908651" w14:textId="051B3B30" w:rsidR="00C2120E" w:rsidRPr="007F50FF" w:rsidRDefault="00C2120E" w:rsidP="00C2120E">
      <w:pPr>
        <w:rPr>
          <w:rFonts w:ascii="Times New Roman" w:hAnsi="Times New Roman" w:cs="Times New Roman"/>
          <w:b/>
          <w:sz w:val="20"/>
          <w:szCs w:val="20"/>
        </w:rPr>
      </w:pPr>
      <w:r w:rsidRPr="007F50FF">
        <w:rPr>
          <w:rFonts w:ascii="Times New Roman" w:hAnsi="Times New Roman" w:cs="Times New Roman"/>
          <w:b/>
          <w:sz w:val="20"/>
          <w:szCs w:val="20"/>
        </w:rPr>
        <w:t>3 Recommendations</w:t>
      </w:r>
    </w:p>
    <w:p w14:paraId="62A53599" w14:textId="09386F46" w:rsidR="00B0054B" w:rsidRDefault="00B0054B" w:rsidP="00C2120E">
      <w:pPr>
        <w:rPr>
          <w:rFonts w:ascii="Times New Roman" w:hAnsi="Times New Roman" w:cs="Times New Roman"/>
          <w:sz w:val="20"/>
          <w:szCs w:val="20"/>
        </w:rPr>
      </w:pPr>
      <w:r>
        <w:rPr>
          <w:rFonts w:ascii="Times New Roman" w:hAnsi="Times New Roman" w:cs="Times New Roman"/>
          <w:sz w:val="20"/>
          <w:szCs w:val="20"/>
        </w:rPr>
        <w:t>B</w:t>
      </w:r>
      <w:r w:rsidR="00D4598E">
        <w:rPr>
          <w:rFonts w:ascii="Times New Roman" w:hAnsi="Times New Roman" w:cs="Times New Roman"/>
          <w:sz w:val="20"/>
          <w:szCs w:val="20"/>
        </w:rPr>
        <w:t xml:space="preserve">elow </w:t>
      </w:r>
      <w:r>
        <w:rPr>
          <w:rFonts w:ascii="Times New Roman" w:hAnsi="Times New Roman" w:cs="Times New Roman"/>
          <w:sz w:val="20"/>
          <w:szCs w:val="20"/>
        </w:rPr>
        <w:t>are the recommendations in descending order of their importance:</w:t>
      </w:r>
    </w:p>
    <w:p w14:paraId="66AD3144" w14:textId="77777777" w:rsidR="00E30B55" w:rsidRDefault="00E30B55" w:rsidP="00C2120E">
      <w:pPr>
        <w:rPr>
          <w:rFonts w:ascii="Times New Roman" w:hAnsi="Times New Roman" w:cs="Times New Roman"/>
          <w:sz w:val="20"/>
          <w:szCs w:val="20"/>
          <w:u w:val="single"/>
        </w:rPr>
      </w:pPr>
    </w:p>
    <w:p w14:paraId="707D6F45" w14:textId="0747C069" w:rsidR="00C2120E" w:rsidRDefault="00B0054B" w:rsidP="00C2120E">
      <w:pPr>
        <w:rPr>
          <w:rFonts w:ascii="Times New Roman" w:hAnsi="Times New Roman" w:cs="Times New Roman"/>
          <w:sz w:val="20"/>
          <w:szCs w:val="20"/>
        </w:rPr>
      </w:pPr>
      <w:r w:rsidRPr="00B0054B">
        <w:rPr>
          <w:rFonts w:ascii="Times New Roman" w:hAnsi="Times New Roman" w:cs="Times New Roman"/>
          <w:sz w:val="20"/>
          <w:szCs w:val="20"/>
          <w:u w:val="single"/>
        </w:rPr>
        <w:t xml:space="preserve">Outsource </w:t>
      </w:r>
      <w:r>
        <w:rPr>
          <w:rFonts w:ascii="Times New Roman" w:hAnsi="Times New Roman" w:cs="Times New Roman"/>
          <w:sz w:val="20"/>
          <w:szCs w:val="20"/>
          <w:u w:val="single"/>
        </w:rPr>
        <w:t>to</w:t>
      </w:r>
      <w:r w:rsidRPr="00B0054B">
        <w:rPr>
          <w:rFonts w:ascii="Times New Roman" w:hAnsi="Times New Roman" w:cs="Times New Roman"/>
          <w:sz w:val="20"/>
          <w:szCs w:val="20"/>
          <w:u w:val="single"/>
        </w:rPr>
        <w:t xml:space="preserve"> China</w:t>
      </w:r>
      <w:r>
        <w:rPr>
          <w:rFonts w:ascii="Times New Roman" w:hAnsi="Times New Roman" w:cs="Times New Roman"/>
          <w:sz w:val="20"/>
          <w:szCs w:val="20"/>
          <w:u w:val="single"/>
        </w:rPr>
        <w:t xml:space="preserve"> in 2008</w:t>
      </w:r>
      <w:r w:rsidRPr="00B0054B">
        <w:rPr>
          <w:rFonts w:ascii="Times New Roman" w:hAnsi="Times New Roman" w:cs="Times New Roman"/>
          <w:sz w:val="20"/>
          <w:szCs w:val="20"/>
          <w:u w:val="single"/>
        </w:rPr>
        <w:t>:</w:t>
      </w:r>
      <w:r>
        <w:rPr>
          <w:rFonts w:ascii="Times New Roman" w:hAnsi="Times New Roman" w:cs="Times New Roman"/>
          <w:sz w:val="20"/>
          <w:szCs w:val="20"/>
        </w:rPr>
        <w:t xml:space="preserve"> Outsource the manufacturing process to </w:t>
      </w:r>
      <w:r w:rsidR="003F3C11">
        <w:rPr>
          <w:rFonts w:ascii="Times New Roman" w:hAnsi="Times New Roman" w:cs="Times New Roman"/>
          <w:sz w:val="20"/>
          <w:szCs w:val="20"/>
        </w:rPr>
        <w:t xml:space="preserve">China without the in-mould labelling mechanism. Although the cost benefit of 20% is not as lucrative as it looks over a </w:t>
      </w:r>
      <w:r>
        <w:rPr>
          <w:rFonts w:ascii="Times New Roman" w:hAnsi="Times New Roman" w:cs="Times New Roman"/>
          <w:sz w:val="20"/>
          <w:szCs w:val="20"/>
        </w:rPr>
        <w:t>10-year</w:t>
      </w:r>
      <w:r w:rsidR="003F3C11">
        <w:rPr>
          <w:rFonts w:ascii="Times New Roman" w:hAnsi="Times New Roman" w:cs="Times New Roman"/>
          <w:sz w:val="20"/>
          <w:szCs w:val="20"/>
        </w:rPr>
        <w:t xml:space="preserve"> time span, it </w:t>
      </w:r>
      <w:r w:rsidR="004B5D06">
        <w:rPr>
          <w:rFonts w:ascii="Times New Roman" w:hAnsi="Times New Roman" w:cs="Times New Roman"/>
          <w:sz w:val="20"/>
          <w:szCs w:val="20"/>
        </w:rPr>
        <w:t>definitely positions Scotts a</w:t>
      </w:r>
      <w:r w:rsidR="00A868A0">
        <w:rPr>
          <w:rFonts w:ascii="Times New Roman" w:hAnsi="Times New Roman" w:cs="Times New Roman"/>
          <w:sz w:val="20"/>
          <w:szCs w:val="20"/>
        </w:rPr>
        <w:t xml:space="preserve"> “Sustained Competitive </w:t>
      </w:r>
      <w:r>
        <w:rPr>
          <w:rFonts w:ascii="Times New Roman" w:hAnsi="Times New Roman" w:cs="Times New Roman"/>
          <w:sz w:val="20"/>
          <w:szCs w:val="20"/>
        </w:rPr>
        <w:t>Advantage” [</w:t>
      </w:r>
      <w:r w:rsidR="00A868A0">
        <w:rPr>
          <w:rFonts w:ascii="Times New Roman" w:hAnsi="Times New Roman" w:cs="Times New Roman"/>
          <w:sz w:val="20"/>
          <w:szCs w:val="20"/>
        </w:rPr>
        <w:t>n]</w:t>
      </w:r>
      <w:r w:rsidR="004E4322">
        <w:rPr>
          <w:rFonts w:ascii="Times New Roman" w:hAnsi="Times New Roman" w:cs="Times New Roman"/>
          <w:sz w:val="20"/>
          <w:szCs w:val="20"/>
        </w:rPr>
        <w:t xml:space="preserve"> and positions it to create more value in its distribution side network</w:t>
      </w:r>
      <w:r w:rsidR="00A868A0">
        <w:rPr>
          <w:rFonts w:ascii="Times New Roman" w:hAnsi="Times New Roman" w:cs="Times New Roman"/>
          <w:sz w:val="20"/>
          <w:szCs w:val="20"/>
        </w:rPr>
        <w:t>.</w:t>
      </w:r>
      <w:r w:rsidR="004E4322">
        <w:rPr>
          <w:rFonts w:ascii="Times New Roman" w:hAnsi="Times New Roman" w:cs="Times New Roman"/>
          <w:sz w:val="20"/>
          <w:szCs w:val="20"/>
        </w:rPr>
        <w:t xml:space="preserve"> It does entail environmental and reputational risk but </w:t>
      </w:r>
      <w:r>
        <w:rPr>
          <w:rFonts w:ascii="Times New Roman" w:hAnsi="Times New Roman" w:cs="Times New Roman"/>
          <w:sz w:val="20"/>
          <w:szCs w:val="20"/>
        </w:rPr>
        <w:t>if it helps the company in the long run, it might be worth taking the plunge.</w:t>
      </w:r>
    </w:p>
    <w:p w14:paraId="00F48540" w14:textId="77777777" w:rsidR="00B0054B" w:rsidRDefault="00B0054B" w:rsidP="00C2120E">
      <w:pPr>
        <w:rPr>
          <w:rFonts w:ascii="Times New Roman" w:hAnsi="Times New Roman" w:cs="Times New Roman"/>
          <w:sz w:val="20"/>
          <w:szCs w:val="20"/>
        </w:rPr>
      </w:pPr>
    </w:p>
    <w:p w14:paraId="06098BB1" w14:textId="113A00B6" w:rsidR="00B0054B" w:rsidRDefault="00B0054B" w:rsidP="00C2120E">
      <w:pPr>
        <w:rPr>
          <w:rFonts w:ascii="Times New Roman" w:hAnsi="Times New Roman" w:cs="Times New Roman"/>
          <w:sz w:val="20"/>
          <w:szCs w:val="20"/>
        </w:rPr>
      </w:pPr>
      <w:r w:rsidRPr="00E30B55">
        <w:rPr>
          <w:rFonts w:ascii="Times New Roman" w:hAnsi="Times New Roman" w:cs="Times New Roman"/>
          <w:sz w:val="20"/>
          <w:szCs w:val="20"/>
          <w:u w:val="single"/>
        </w:rPr>
        <w:t>Outsource to China in 2010:</w:t>
      </w:r>
      <w:r>
        <w:rPr>
          <w:rFonts w:ascii="Times New Roman" w:hAnsi="Times New Roman" w:cs="Times New Roman"/>
          <w:sz w:val="20"/>
          <w:szCs w:val="20"/>
        </w:rPr>
        <w:t xml:space="preserve"> This increases the cost as of today by</w:t>
      </w:r>
      <w:r w:rsidR="00E30B55">
        <w:rPr>
          <w:rFonts w:ascii="Times New Roman" w:hAnsi="Times New Roman" w:cs="Times New Roman"/>
          <w:sz w:val="20"/>
          <w:szCs w:val="20"/>
        </w:rPr>
        <w:t xml:space="preserve"> around 9m</w:t>
      </w:r>
      <w:r>
        <w:rPr>
          <w:rFonts w:ascii="Times New Roman" w:hAnsi="Times New Roman" w:cs="Times New Roman"/>
          <w:sz w:val="20"/>
          <w:szCs w:val="20"/>
        </w:rPr>
        <w:t xml:space="preserve"> but it subdues the reputational risk by some </w:t>
      </w:r>
      <w:r w:rsidR="00E30B55">
        <w:rPr>
          <w:rFonts w:ascii="Times New Roman" w:hAnsi="Times New Roman" w:cs="Times New Roman"/>
          <w:sz w:val="20"/>
          <w:szCs w:val="20"/>
        </w:rPr>
        <w:t>major</w:t>
      </w:r>
      <w:r>
        <w:rPr>
          <w:rFonts w:ascii="Times New Roman" w:hAnsi="Times New Roman" w:cs="Times New Roman"/>
          <w:sz w:val="20"/>
          <w:szCs w:val="20"/>
        </w:rPr>
        <w:t xml:space="preserve"> factor if workers are given a prior notice about closure of plant. This gives employees </w:t>
      </w:r>
      <w:r w:rsidR="00E30B55">
        <w:rPr>
          <w:rFonts w:ascii="Times New Roman" w:hAnsi="Times New Roman" w:cs="Times New Roman"/>
          <w:sz w:val="20"/>
          <w:szCs w:val="20"/>
        </w:rPr>
        <w:t xml:space="preserve">time </w:t>
      </w:r>
      <w:r>
        <w:rPr>
          <w:rFonts w:ascii="Times New Roman" w:hAnsi="Times New Roman" w:cs="Times New Roman"/>
          <w:sz w:val="20"/>
          <w:szCs w:val="20"/>
        </w:rPr>
        <w:t>to think about alternate opportunities and Scotts more time to decide on vendor</w:t>
      </w:r>
      <w:r w:rsidR="00E30B55">
        <w:rPr>
          <w:rFonts w:ascii="Times New Roman" w:hAnsi="Times New Roman" w:cs="Times New Roman"/>
          <w:sz w:val="20"/>
          <w:szCs w:val="20"/>
        </w:rPr>
        <w:t xml:space="preserve"> better vendor and place along with time to transition any knowledge from Temecula to China.</w:t>
      </w:r>
    </w:p>
    <w:p w14:paraId="2FA0E9CC" w14:textId="4B35FC91" w:rsidR="00E30B55" w:rsidRDefault="00E30B55" w:rsidP="00C2120E">
      <w:pPr>
        <w:rPr>
          <w:rFonts w:ascii="Times New Roman" w:hAnsi="Times New Roman" w:cs="Times New Roman"/>
          <w:sz w:val="20"/>
          <w:szCs w:val="20"/>
        </w:rPr>
      </w:pPr>
    </w:p>
    <w:p w14:paraId="0EA35D58" w14:textId="5F8B2CDC" w:rsidR="00132988" w:rsidRPr="007F50FF" w:rsidRDefault="00E30B55" w:rsidP="00C2120E">
      <w:pPr>
        <w:rPr>
          <w:rFonts w:ascii="Times New Roman" w:hAnsi="Times New Roman" w:cs="Times New Roman"/>
          <w:sz w:val="20"/>
          <w:szCs w:val="20"/>
        </w:rPr>
      </w:pPr>
      <w:r w:rsidRPr="00E30B55">
        <w:rPr>
          <w:rFonts w:ascii="Times New Roman" w:hAnsi="Times New Roman" w:cs="Times New Roman"/>
          <w:sz w:val="20"/>
          <w:szCs w:val="20"/>
          <w:u w:val="single"/>
        </w:rPr>
        <w:t>Continue at Temecula:</w:t>
      </w:r>
      <w:r>
        <w:rPr>
          <w:rFonts w:ascii="Times New Roman" w:hAnsi="Times New Roman" w:cs="Times New Roman"/>
          <w:sz w:val="20"/>
          <w:szCs w:val="20"/>
        </w:rPr>
        <w:t xml:space="preserve"> </w:t>
      </w:r>
      <w:r w:rsidR="00D4598E">
        <w:rPr>
          <w:rFonts w:ascii="Times New Roman" w:hAnsi="Times New Roman" w:cs="Times New Roman"/>
          <w:sz w:val="20"/>
          <w:szCs w:val="20"/>
        </w:rPr>
        <w:t>This</w:t>
      </w:r>
      <w:r>
        <w:rPr>
          <w:rFonts w:ascii="Times New Roman" w:hAnsi="Times New Roman" w:cs="Times New Roman"/>
          <w:sz w:val="20"/>
          <w:szCs w:val="20"/>
        </w:rPr>
        <w:t xml:space="preserve"> option is to continue with Temecula operations and try to optimize it further.</w:t>
      </w:r>
      <w:r w:rsidR="00676E73">
        <w:rPr>
          <w:rFonts w:ascii="Times New Roman" w:hAnsi="Times New Roman" w:cs="Times New Roman"/>
          <w:sz w:val="20"/>
          <w:szCs w:val="20"/>
        </w:rPr>
        <w:t xml:space="preserve"> In case Scotts uncovers any </w:t>
      </w:r>
      <w:r w:rsidR="00D4598E">
        <w:rPr>
          <w:rFonts w:ascii="Times New Roman" w:hAnsi="Times New Roman" w:cs="Times New Roman"/>
          <w:sz w:val="20"/>
          <w:szCs w:val="20"/>
        </w:rPr>
        <w:t>custom</w:t>
      </w:r>
      <w:r w:rsidR="00676E73">
        <w:rPr>
          <w:rFonts w:ascii="Times New Roman" w:hAnsi="Times New Roman" w:cs="Times New Roman"/>
          <w:sz w:val="20"/>
          <w:szCs w:val="20"/>
        </w:rPr>
        <w:t xml:space="preserve"> use case for in-mould labelling like printing customer’s name/initials and save significant cost or have unique feature to sell, they can patent such technology and then leverage it as a platform and let other competitors use it and earn loyalty money out of it. This also means in long term in case they want to switch after widespread usage of their technology, they can leverage existing moulds of suppliers to outsource some or all of their operations.</w:t>
      </w:r>
    </w:p>
    <w:p w14:paraId="66914F9F" w14:textId="77777777" w:rsidR="00132988" w:rsidRPr="007F50FF" w:rsidRDefault="00132988" w:rsidP="00C2120E">
      <w:pPr>
        <w:rPr>
          <w:rFonts w:ascii="Times New Roman" w:hAnsi="Times New Roman" w:cs="Times New Roman"/>
          <w:sz w:val="20"/>
          <w:szCs w:val="20"/>
        </w:rPr>
      </w:pPr>
    </w:p>
    <w:p w14:paraId="1722AB48" w14:textId="4AF71361" w:rsidR="00C2120E" w:rsidRPr="007F50FF" w:rsidRDefault="00C2120E" w:rsidP="00C2120E">
      <w:pPr>
        <w:rPr>
          <w:rFonts w:ascii="Times New Roman" w:hAnsi="Times New Roman" w:cs="Times New Roman"/>
          <w:b/>
          <w:sz w:val="20"/>
          <w:szCs w:val="20"/>
        </w:rPr>
      </w:pPr>
      <w:r w:rsidRPr="007F50FF">
        <w:rPr>
          <w:rFonts w:ascii="Times New Roman" w:hAnsi="Times New Roman" w:cs="Times New Roman"/>
          <w:b/>
          <w:sz w:val="20"/>
          <w:szCs w:val="20"/>
        </w:rPr>
        <w:t>4 Conclusions</w:t>
      </w:r>
    </w:p>
    <w:p w14:paraId="6932611E" w14:textId="5ED0E095" w:rsidR="00E91275" w:rsidRDefault="00A868A0" w:rsidP="00C2120E">
      <w:pPr>
        <w:rPr>
          <w:rFonts w:ascii="Times New Roman" w:hAnsi="Times New Roman" w:cs="Times New Roman"/>
          <w:sz w:val="20"/>
          <w:szCs w:val="20"/>
        </w:rPr>
      </w:pPr>
      <w:r>
        <w:rPr>
          <w:rFonts w:ascii="Times New Roman" w:hAnsi="Times New Roman" w:cs="Times New Roman"/>
          <w:sz w:val="20"/>
          <w:szCs w:val="20"/>
        </w:rPr>
        <w:t xml:space="preserve">It is understood that a </w:t>
      </w:r>
      <w:r w:rsidR="004E4322">
        <w:rPr>
          <w:rFonts w:ascii="Times New Roman" w:hAnsi="Times New Roman" w:cs="Times New Roman"/>
          <w:sz w:val="20"/>
          <w:szCs w:val="20"/>
        </w:rPr>
        <w:t xml:space="preserve">trivial decision like build vs buy can have profound ramifications going various levels deeper than simple cost analysis. It can make or break supply chains and even entire companies. It is vital for managers to keep this in mind and even though </w:t>
      </w:r>
      <w:r w:rsidR="00B0054B">
        <w:rPr>
          <w:rFonts w:ascii="Times New Roman" w:hAnsi="Times New Roman" w:cs="Times New Roman"/>
          <w:sz w:val="20"/>
          <w:szCs w:val="20"/>
        </w:rPr>
        <w:t>company strategy</w:t>
      </w:r>
      <w:r w:rsidR="004E4322">
        <w:rPr>
          <w:rFonts w:ascii="Times New Roman" w:hAnsi="Times New Roman" w:cs="Times New Roman"/>
          <w:sz w:val="20"/>
          <w:szCs w:val="20"/>
        </w:rPr>
        <w:t xml:space="preserve"> sounds a bit fuzzy initially, delving into it gives a lot of insights, and list of such insights is never exhaustive. Another lesson is that it might sound a bit harsh on Mr. </w:t>
      </w:r>
      <w:proofErr w:type="spellStart"/>
      <w:r w:rsidR="004E4322">
        <w:rPr>
          <w:rFonts w:ascii="Times New Roman" w:hAnsi="Times New Roman" w:cs="Times New Roman"/>
          <w:sz w:val="20"/>
          <w:szCs w:val="20"/>
        </w:rPr>
        <w:t>Bowcombe</w:t>
      </w:r>
      <w:proofErr w:type="spellEnd"/>
      <w:r w:rsidR="004E4322">
        <w:rPr>
          <w:rFonts w:ascii="Times New Roman" w:hAnsi="Times New Roman" w:cs="Times New Roman"/>
          <w:sz w:val="20"/>
          <w:szCs w:val="20"/>
        </w:rPr>
        <w:t xml:space="preserve"> and team, business decisions are never taken with emotions but with quantitative </w:t>
      </w:r>
      <w:r w:rsidR="00D43745">
        <w:rPr>
          <w:rFonts w:ascii="Times New Roman" w:hAnsi="Times New Roman" w:cs="Times New Roman"/>
          <w:sz w:val="20"/>
          <w:szCs w:val="20"/>
        </w:rPr>
        <w:t xml:space="preserve">analysis combined with </w:t>
      </w:r>
      <w:r w:rsidR="004E4322">
        <w:rPr>
          <w:rFonts w:ascii="Times New Roman" w:hAnsi="Times New Roman" w:cs="Times New Roman"/>
          <w:sz w:val="20"/>
          <w:szCs w:val="20"/>
        </w:rPr>
        <w:t>mind open to</w:t>
      </w:r>
      <w:r w:rsidR="00D43745">
        <w:rPr>
          <w:rFonts w:ascii="Times New Roman" w:hAnsi="Times New Roman" w:cs="Times New Roman"/>
          <w:sz w:val="20"/>
          <w:szCs w:val="20"/>
        </w:rPr>
        <w:t xml:space="preserve"> various possibilities- threats as well as benefits. </w:t>
      </w:r>
    </w:p>
    <w:p w14:paraId="6537FAC6" w14:textId="77777777" w:rsidR="00E30B55" w:rsidRDefault="00E30B55" w:rsidP="00C2120E">
      <w:pPr>
        <w:rPr>
          <w:rFonts w:ascii="Times New Roman" w:hAnsi="Times New Roman" w:cs="Times New Roman"/>
          <w:sz w:val="20"/>
          <w:szCs w:val="20"/>
        </w:rPr>
      </w:pPr>
    </w:p>
    <w:p w14:paraId="38CF6777" w14:textId="2DE1AAC8" w:rsidR="00E30B55" w:rsidRDefault="00D43745" w:rsidP="00C2120E">
      <w:pPr>
        <w:rPr>
          <w:rFonts w:ascii="Times New Roman" w:hAnsi="Times New Roman" w:cs="Times New Roman"/>
          <w:sz w:val="20"/>
          <w:szCs w:val="20"/>
        </w:rPr>
      </w:pPr>
      <w:r>
        <w:rPr>
          <w:rFonts w:ascii="Times New Roman" w:hAnsi="Times New Roman" w:cs="Times New Roman"/>
          <w:sz w:val="20"/>
          <w:szCs w:val="20"/>
        </w:rPr>
        <w:t xml:space="preserve">The next steps involve taking some </w:t>
      </w:r>
      <w:r w:rsidR="00E91275">
        <w:rPr>
          <w:rFonts w:ascii="Times New Roman" w:hAnsi="Times New Roman" w:cs="Times New Roman"/>
          <w:sz w:val="20"/>
          <w:szCs w:val="20"/>
        </w:rPr>
        <w:t>real-world</w:t>
      </w:r>
      <w:r>
        <w:rPr>
          <w:rFonts w:ascii="Times New Roman" w:hAnsi="Times New Roman" w:cs="Times New Roman"/>
          <w:sz w:val="20"/>
          <w:szCs w:val="20"/>
        </w:rPr>
        <w:t xml:space="preserve"> use cases of offshoring, outsourcing, nearshoring and even staying in the same location- and quantify the qualitative aspects like reputation loss in terms of say stock price, environment impact in terms of carbon tax and so on</w:t>
      </w:r>
      <w:r w:rsidR="00E91275">
        <w:rPr>
          <w:rFonts w:ascii="Times New Roman" w:hAnsi="Times New Roman" w:cs="Times New Roman"/>
          <w:sz w:val="20"/>
          <w:szCs w:val="20"/>
        </w:rPr>
        <w:t xml:space="preserve"> and come to device a model around better decisions </w:t>
      </w:r>
      <w:r w:rsidR="007A1260">
        <w:rPr>
          <w:rFonts w:ascii="Times New Roman" w:hAnsi="Times New Roman" w:cs="Times New Roman"/>
          <w:sz w:val="20"/>
          <w:szCs w:val="20"/>
        </w:rPr>
        <w:t xml:space="preserve">could be made </w:t>
      </w:r>
      <w:r w:rsidR="00E91275">
        <w:rPr>
          <w:rFonts w:ascii="Times New Roman" w:hAnsi="Times New Roman" w:cs="Times New Roman"/>
          <w:sz w:val="20"/>
          <w:szCs w:val="20"/>
        </w:rPr>
        <w:t xml:space="preserve">around </w:t>
      </w:r>
      <w:r w:rsidR="007A1260">
        <w:rPr>
          <w:rFonts w:ascii="Times New Roman" w:hAnsi="Times New Roman" w:cs="Times New Roman"/>
          <w:sz w:val="20"/>
          <w:szCs w:val="20"/>
        </w:rPr>
        <w:t>onshore</w:t>
      </w:r>
      <w:r w:rsidR="00E91275">
        <w:rPr>
          <w:rFonts w:ascii="Times New Roman" w:hAnsi="Times New Roman" w:cs="Times New Roman"/>
          <w:sz w:val="20"/>
          <w:szCs w:val="20"/>
        </w:rPr>
        <w:t xml:space="preserve"> or outsource or offshore or near-shore.</w:t>
      </w:r>
      <w:r w:rsidR="00E30B55">
        <w:rPr>
          <w:rFonts w:ascii="Times New Roman" w:hAnsi="Times New Roman" w:cs="Times New Roman"/>
          <w:sz w:val="20"/>
          <w:szCs w:val="20"/>
        </w:rPr>
        <w:t xml:space="preserve"> More emphasize can be given on near-shoring and offshoring aspects which were not covered in depth in this use case.</w:t>
      </w:r>
    </w:p>
    <w:p w14:paraId="46DFC6EB" w14:textId="007DBB1B" w:rsidR="00C2120E" w:rsidRPr="00D103FC" w:rsidRDefault="00DB2C81" w:rsidP="00C2120E">
      <w:pPr>
        <w:rPr>
          <w:rFonts w:ascii="Times New Roman" w:hAnsi="Times New Roman" w:cs="Times New Roman"/>
          <w:b/>
          <w:sz w:val="20"/>
        </w:rPr>
      </w:pPr>
      <w:r w:rsidRPr="00D103FC">
        <w:rPr>
          <w:rFonts w:ascii="Times New Roman" w:hAnsi="Times New Roman" w:cs="Times New Roman"/>
          <w:b/>
          <w:sz w:val="20"/>
        </w:rPr>
        <w:lastRenderedPageBreak/>
        <w:t>Appendix 1</w:t>
      </w:r>
    </w:p>
    <w:p w14:paraId="4A4CD46A" w14:textId="77777777" w:rsidR="00DB2C81" w:rsidRPr="00D103FC" w:rsidRDefault="00DB2C81" w:rsidP="00C2120E">
      <w:pPr>
        <w:rPr>
          <w:rFonts w:ascii="Times New Roman" w:hAnsi="Times New Roman" w:cs="Times New Roman"/>
          <w:sz w:val="20"/>
        </w:rPr>
      </w:pPr>
    </w:p>
    <w:p w14:paraId="0009B44D" w14:textId="0F27F879" w:rsidR="00666E3E" w:rsidRDefault="00D4598E" w:rsidP="00C2120E">
      <w:pPr>
        <w:rPr>
          <w:rFonts w:ascii="Times New Roman" w:hAnsi="Times New Roman" w:cs="Times New Roman"/>
          <w:sz w:val="20"/>
        </w:rPr>
      </w:pPr>
      <w:r>
        <w:rPr>
          <w:rFonts w:ascii="Times New Roman" w:hAnsi="Times New Roman" w:cs="Times New Roman"/>
          <w:sz w:val="20"/>
        </w:rPr>
        <w:t>Table 1</w:t>
      </w:r>
      <w:r w:rsidR="004B3D15">
        <w:rPr>
          <w:rFonts w:ascii="Times New Roman" w:hAnsi="Times New Roman" w:cs="Times New Roman"/>
          <w:sz w:val="20"/>
        </w:rPr>
        <w:t>: Remain in Temecula (standard)</w:t>
      </w:r>
    </w:p>
    <w:p w14:paraId="727FB10E" w14:textId="0F56940A" w:rsidR="00DB2C81" w:rsidRDefault="00AC29DF" w:rsidP="00C2120E">
      <w:pPr>
        <w:rPr>
          <w:rFonts w:ascii="Times New Roman" w:hAnsi="Times New Roman" w:cs="Times New Roman"/>
          <w:sz w:val="20"/>
        </w:rPr>
      </w:pPr>
      <w:r w:rsidRPr="00AC29DF">
        <w:rPr>
          <w:noProof/>
        </w:rPr>
        <w:drawing>
          <wp:inline distT="0" distB="0" distL="0" distR="0" wp14:anchorId="191D11E0" wp14:editId="19460BF1">
            <wp:extent cx="6274334"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84356" cy="1221147"/>
                    </a:xfrm>
                    <a:prstGeom prst="rect">
                      <a:avLst/>
                    </a:prstGeom>
                    <a:noFill/>
                    <a:ln>
                      <a:noFill/>
                    </a:ln>
                  </pic:spPr>
                </pic:pic>
              </a:graphicData>
            </a:graphic>
          </wp:inline>
        </w:drawing>
      </w:r>
    </w:p>
    <w:p w14:paraId="48E40DD9" w14:textId="77777777" w:rsidR="00666E3E" w:rsidRDefault="00666E3E" w:rsidP="00C2120E">
      <w:pPr>
        <w:rPr>
          <w:rFonts w:ascii="Times New Roman" w:hAnsi="Times New Roman" w:cs="Times New Roman"/>
          <w:sz w:val="20"/>
        </w:rPr>
      </w:pPr>
    </w:p>
    <w:p w14:paraId="26825984" w14:textId="542AFF37" w:rsidR="00AC29DF" w:rsidRDefault="00AC29DF" w:rsidP="00C2120E">
      <w:pPr>
        <w:rPr>
          <w:rFonts w:ascii="Times New Roman" w:hAnsi="Times New Roman" w:cs="Times New Roman"/>
          <w:sz w:val="20"/>
        </w:rPr>
      </w:pPr>
      <w:r>
        <w:rPr>
          <w:rFonts w:ascii="Times New Roman" w:hAnsi="Times New Roman" w:cs="Times New Roman"/>
          <w:sz w:val="20"/>
        </w:rPr>
        <w:t>Table 2</w:t>
      </w:r>
      <w:r w:rsidR="004B3D15">
        <w:rPr>
          <w:rFonts w:ascii="Times New Roman" w:hAnsi="Times New Roman" w:cs="Times New Roman"/>
          <w:sz w:val="20"/>
        </w:rPr>
        <w:t>: Remain in Temecula (without improvements)</w:t>
      </w:r>
    </w:p>
    <w:p w14:paraId="5A3EE1CF" w14:textId="16D19F00" w:rsidR="00AC29DF" w:rsidRDefault="00AC29DF" w:rsidP="00C2120E">
      <w:pPr>
        <w:rPr>
          <w:rFonts w:ascii="Times New Roman" w:hAnsi="Times New Roman" w:cs="Times New Roman"/>
          <w:sz w:val="20"/>
        </w:rPr>
      </w:pPr>
      <w:r w:rsidRPr="00AC29DF">
        <w:rPr>
          <w:noProof/>
        </w:rPr>
        <w:drawing>
          <wp:inline distT="0" distB="0" distL="0" distR="0" wp14:anchorId="1CC0D301" wp14:editId="6245C2A9">
            <wp:extent cx="6271260" cy="11318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20452" cy="1140687"/>
                    </a:xfrm>
                    <a:prstGeom prst="rect">
                      <a:avLst/>
                    </a:prstGeom>
                    <a:noFill/>
                    <a:ln>
                      <a:noFill/>
                    </a:ln>
                  </pic:spPr>
                </pic:pic>
              </a:graphicData>
            </a:graphic>
          </wp:inline>
        </w:drawing>
      </w:r>
    </w:p>
    <w:p w14:paraId="778F5EBF" w14:textId="77777777" w:rsidR="00AC29DF" w:rsidRDefault="00AC29DF" w:rsidP="00C2120E">
      <w:pPr>
        <w:rPr>
          <w:rFonts w:ascii="Times New Roman" w:hAnsi="Times New Roman" w:cs="Times New Roman"/>
          <w:sz w:val="20"/>
        </w:rPr>
      </w:pPr>
    </w:p>
    <w:p w14:paraId="2C715822" w14:textId="038D42B5" w:rsidR="00AC29DF" w:rsidRDefault="00AC29DF" w:rsidP="00C2120E">
      <w:pPr>
        <w:rPr>
          <w:rFonts w:ascii="Times New Roman" w:hAnsi="Times New Roman" w:cs="Times New Roman"/>
          <w:sz w:val="20"/>
        </w:rPr>
      </w:pPr>
      <w:r>
        <w:rPr>
          <w:rFonts w:ascii="Times New Roman" w:hAnsi="Times New Roman" w:cs="Times New Roman"/>
          <w:sz w:val="20"/>
        </w:rPr>
        <w:t>Table 3</w:t>
      </w:r>
      <w:r w:rsidR="004B3D15">
        <w:rPr>
          <w:rFonts w:ascii="Times New Roman" w:hAnsi="Times New Roman" w:cs="Times New Roman"/>
          <w:sz w:val="20"/>
        </w:rPr>
        <w:t>: Outsourcing to China</w:t>
      </w:r>
    </w:p>
    <w:p w14:paraId="7F9C9191" w14:textId="0A0363FD" w:rsidR="00AC29DF" w:rsidRDefault="00AC29DF" w:rsidP="00C2120E">
      <w:pPr>
        <w:rPr>
          <w:rFonts w:ascii="Times New Roman" w:hAnsi="Times New Roman" w:cs="Times New Roman"/>
          <w:sz w:val="20"/>
        </w:rPr>
      </w:pPr>
      <w:r w:rsidRPr="00AC29DF">
        <w:rPr>
          <w:noProof/>
        </w:rPr>
        <w:drawing>
          <wp:inline distT="0" distB="0" distL="0" distR="0" wp14:anchorId="5DAF7A68" wp14:editId="56D990F4">
            <wp:extent cx="6300591" cy="148590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14644" cy="1489214"/>
                    </a:xfrm>
                    <a:prstGeom prst="rect">
                      <a:avLst/>
                    </a:prstGeom>
                    <a:noFill/>
                    <a:ln>
                      <a:noFill/>
                    </a:ln>
                  </pic:spPr>
                </pic:pic>
              </a:graphicData>
            </a:graphic>
          </wp:inline>
        </w:drawing>
      </w:r>
    </w:p>
    <w:p w14:paraId="4B3CEF1C" w14:textId="77777777" w:rsidR="00AC29DF" w:rsidRDefault="00AC29DF" w:rsidP="00C2120E">
      <w:pPr>
        <w:rPr>
          <w:rFonts w:ascii="Times New Roman" w:hAnsi="Times New Roman" w:cs="Times New Roman"/>
          <w:sz w:val="20"/>
        </w:rPr>
      </w:pPr>
    </w:p>
    <w:p w14:paraId="7EC6EDF2" w14:textId="335B5584" w:rsidR="00AC29DF" w:rsidRDefault="00AC29DF" w:rsidP="00C2120E">
      <w:pPr>
        <w:rPr>
          <w:rFonts w:ascii="Times New Roman" w:hAnsi="Times New Roman" w:cs="Times New Roman"/>
          <w:sz w:val="20"/>
        </w:rPr>
      </w:pPr>
      <w:r>
        <w:rPr>
          <w:rFonts w:ascii="Times New Roman" w:hAnsi="Times New Roman" w:cs="Times New Roman"/>
          <w:sz w:val="20"/>
        </w:rPr>
        <w:t>Table 4</w:t>
      </w:r>
      <w:r w:rsidR="004B3D15">
        <w:rPr>
          <w:rFonts w:ascii="Times New Roman" w:hAnsi="Times New Roman" w:cs="Times New Roman"/>
          <w:sz w:val="20"/>
        </w:rPr>
        <w:t>: Outsourcing to China (overestimate)</w:t>
      </w:r>
    </w:p>
    <w:p w14:paraId="375F13B6" w14:textId="77777777" w:rsidR="00AC29DF" w:rsidRDefault="00AC29DF" w:rsidP="00C2120E">
      <w:pPr>
        <w:rPr>
          <w:rFonts w:ascii="Times New Roman" w:hAnsi="Times New Roman" w:cs="Times New Roman"/>
          <w:sz w:val="20"/>
        </w:rPr>
      </w:pPr>
      <w:r w:rsidRPr="00AC29DF">
        <w:rPr>
          <w:noProof/>
        </w:rPr>
        <w:drawing>
          <wp:inline distT="0" distB="0" distL="0" distR="0" wp14:anchorId="1F4DF5F0" wp14:editId="29269219">
            <wp:extent cx="6332901" cy="1493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41799" cy="1495618"/>
                    </a:xfrm>
                    <a:prstGeom prst="rect">
                      <a:avLst/>
                    </a:prstGeom>
                    <a:noFill/>
                    <a:ln>
                      <a:noFill/>
                    </a:ln>
                  </pic:spPr>
                </pic:pic>
              </a:graphicData>
            </a:graphic>
          </wp:inline>
        </w:drawing>
      </w:r>
    </w:p>
    <w:p w14:paraId="4633C95B" w14:textId="77777777" w:rsidR="00AC29DF" w:rsidRDefault="00AC29DF" w:rsidP="00C2120E">
      <w:pPr>
        <w:rPr>
          <w:rFonts w:ascii="Times New Roman" w:hAnsi="Times New Roman" w:cs="Times New Roman"/>
          <w:sz w:val="20"/>
        </w:rPr>
      </w:pPr>
    </w:p>
    <w:p w14:paraId="4AFB67D3" w14:textId="2D2AD9A6" w:rsidR="00AC29DF" w:rsidRDefault="00AC29DF" w:rsidP="00C2120E">
      <w:pPr>
        <w:rPr>
          <w:rFonts w:ascii="Times New Roman" w:hAnsi="Times New Roman" w:cs="Times New Roman"/>
          <w:sz w:val="20"/>
        </w:rPr>
      </w:pPr>
      <w:r>
        <w:rPr>
          <w:rFonts w:ascii="Times New Roman" w:hAnsi="Times New Roman" w:cs="Times New Roman"/>
          <w:sz w:val="20"/>
        </w:rPr>
        <w:t>Table 5</w:t>
      </w:r>
      <w:r w:rsidR="004B3D15">
        <w:rPr>
          <w:rFonts w:ascii="Times New Roman" w:hAnsi="Times New Roman" w:cs="Times New Roman"/>
          <w:sz w:val="20"/>
        </w:rPr>
        <w:t>: Outsourcing to China (underestimate)</w:t>
      </w:r>
    </w:p>
    <w:p w14:paraId="74929F65" w14:textId="77777777" w:rsidR="00AC29DF" w:rsidRDefault="00AC29DF" w:rsidP="00C2120E">
      <w:pPr>
        <w:rPr>
          <w:rFonts w:ascii="Times New Roman" w:hAnsi="Times New Roman" w:cs="Times New Roman"/>
          <w:sz w:val="20"/>
        </w:rPr>
      </w:pPr>
      <w:r w:rsidRPr="00AC29DF">
        <w:rPr>
          <w:noProof/>
        </w:rPr>
        <w:drawing>
          <wp:inline distT="0" distB="0" distL="0" distR="0" wp14:anchorId="525FABA8" wp14:editId="25E4FC15">
            <wp:extent cx="6339840" cy="1495156"/>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63897" cy="1500829"/>
                    </a:xfrm>
                    <a:prstGeom prst="rect">
                      <a:avLst/>
                    </a:prstGeom>
                    <a:noFill/>
                    <a:ln>
                      <a:noFill/>
                    </a:ln>
                  </pic:spPr>
                </pic:pic>
              </a:graphicData>
            </a:graphic>
          </wp:inline>
        </w:drawing>
      </w:r>
    </w:p>
    <w:p w14:paraId="0785647F" w14:textId="77777777" w:rsidR="00AC29DF" w:rsidRDefault="00AC29DF" w:rsidP="00C2120E">
      <w:pPr>
        <w:rPr>
          <w:rFonts w:ascii="Times New Roman" w:hAnsi="Times New Roman" w:cs="Times New Roman"/>
          <w:sz w:val="20"/>
        </w:rPr>
      </w:pPr>
    </w:p>
    <w:p w14:paraId="3D7E6770" w14:textId="69F6E2F0" w:rsidR="00AC29DF" w:rsidRDefault="00AC29DF" w:rsidP="00C2120E">
      <w:pPr>
        <w:rPr>
          <w:rFonts w:ascii="Times New Roman" w:hAnsi="Times New Roman" w:cs="Times New Roman"/>
          <w:sz w:val="20"/>
        </w:rPr>
      </w:pPr>
      <w:r>
        <w:rPr>
          <w:rFonts w:ascii="Times New Roman" w:hAnsi="Times New Roman" w:cs="Times New Roman"/>
          <w:sz w:val="20"/>
        </w:rPr>
        <w:t>Table 6</w:t>
      </w:r>
      <w:r w:rsidR="004B3D15">
        <w:rPr>
          <w:rFonts w:ascii="Times New Roman" w:hAnsi="Times New Roman" w:cs="Times New Roman"/>
          <w:sz w:val="20"/>
        </w:rPr>
        <w:t>: Off-sourcing to China</w:t>
      </w:r>
    </w:p>
    <w:p w14:paraId="1628258F" w14:textId="4605D447" w:rsidR="00DB2C81" w:rsidRDefault="00DB2C81">
      <w:r>
        <w:br w:type="page"/>
      </w:r>
    </w:p>
    <w:p w14:paraId="60C4CE7B" w14:textId="1D358970" w:rsidR="00DB2C81" w:rsidRPr="00D103FC" w:rsidRDefault="00DB2C81" w:rsidP="00C2120E">
      <w:pPr>
        <w:rPr>
          <w:rFonts w:ascii="Times New Roman" w:hAnsi="Times New Roman" w:cs="Times New Roman"/>
          <w:b/>
          <w:sz w:val="20"/>
        </w:rPr>
      </w:pPr>
      <w:r w:rsidRPr="00D103FC">
        <w:rPr>
          <w:rFonts w:ascii="Times New Roman" w:hAnsi="Times New Roman" w:cs="Times New Roman"/>
          <w:b/>
          <w:sz w:val="20"/>
        </w:rPr>
        <w:lastRenderedPageBreak/>
        <w:t>Appendix 2</w:t>
      </w:r>
    </w:p>
    <w:p w14:paraId="0443A2B7" w14:textId="77777777" w:rsidR="00BB6059" w:rsidRDefault="00BB6059" w:rsidP="00BB6059">
      <w:pPr>
        <w:rPr>
          <w:rFonts w:ascii="Times New Roman" w:hAnsi="Times New Roman" w:cs="Times New Roman"/>
          <w:sz w:val="20"/>
        </w:rPr>
      </w:pPr>
      <w:r w:rsidRPr="00AC29DF">
        <w:rPr>
          <w:noProof/>
        </w:rPr>
        <w:drawing>
          <wp:inline distT="0" distB="0" distL="0" distR="0" wp14:anchorId="501F62B0" wp14:editId="5F19DDD1">
            <wp:extent cx="6300591" cy="148590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9555" cy="1488014"/>
                    </a:xfrm>
                    <a:prstGeom prst="rect">
                      <a:avLst/>
                    </a:prstGeom>
                    <a:noFill/>
                    <a:ln>
                      <a:noFill/>
                    </a:ln>
                  </pic:spPr>
                </pic:pic>
              </a:graphicData>
            </a:graphic>
          </wp:inline>
        </w:drawing>
      </w:r>
    </w:p>
    <w:p w14:paraId="31C60A38" w14:textId="77777777" w:rsidR="00BB6059" w:rsidRDefault="00BB6059" w:rsidP="00BB6059">
      <w:pPr>
        <w:rPr>
          <w:rFonts w:ascii="Times New Roman" w:hAnsi="Times New Roman" w:cs="Times New Roman"/>
          <w:sz w:val="20"/>
        </w:rPr>
      </w:pPr>
    </w:p>
    <w:p w14:paraId="1582C19D" w14:textId="77777777" w:rsidR="00BB6059" w:rsidRDefault="00BB6059" w:rsidP="00BB6059">
      <w:pPr>
        <w:rPr>
          <w:rFonts w:ascii="Times New Roman" w:hAnsi="Times New Roman" w:cs="Times New Roman"/>
          <w:sz w:val="20"/>
        </w:rPr>
      </w:pPr>
      <w:r>
        <w:rPr>
          <w:rFonts w:ascii="Times New Roman" w:hAnsi="Times New Roman" w:cs="Times New Roman"/>
          <w:sz w:val="20"/>
        </w:rPr>
        <w:t xml:space="preserve">Table 7: Temecula 2 + outsource </w:t>
      </w:r>
      <w:proofErr w:type="spellStart"/>
      <w:r>
        <w:rPr>
          <w:rFonts w:ascii="Times New Roman" w:hAnsi="Times New Roman" w:cs="Times New Roman"/>
          <w:sz w:val="20"/>
        </w:rPr>
        <w:t>china</w:t>
      </w:r>
      <w:proofErr w:type="spellEnd"/>
      <w:r>
        <w:rPr>
          <w:rFonts w:ascii="Times New Roman" w:hAnsi="Times New Roman" w:cs="Times New Roman"/>
          <w:sz w:val="20"/>
        </w:rPr>
        <w:t xml:space="preserve"> 8</w:t>
      </w:r>
    </w:p>
    <w:p w14:paraId="544A7183" w14:textId="77777777" w:rsidR="00BB6059" w:rsidRDefault="00BB6059" w:rsidP="00BB6059">
      <w:pPr>
        <w:rPr>
          <w:rFonts w:ascii="Times New Roman" w:hAnsi="Times New Roman" w:cs="Times New Roman"/>
          <w:sz w:val="20"/>
        </w:rPr>
      </w:pPr>
      <w:r w:rsidRPr="00666E3E">
        <w:rPr>
          <w:noProof/>
        </w:rPr>
        <w:drawing>
          <wp:inline distT="0" distB="0" distL="0" distR="0" wp14:anchorId="7E5F79A2" wp14:editId="2FCA2C78">
            <wp:extent cx="6274942" cy="16535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80777" cy="1655078"/>
                    </a:xfrm>
                    <a:prstGeom prst="rect">
                      <a:avLst/>
                    </a:prstGeom>
                    <a:noFill/>
                    <a:ln>
                      <a:noFill/>
                    </a:ln>
                  </pic:spPr>
                </pic:pic>
              </a:graphicData>
            </a:graphic>
          </wp:inline>
        </w:drawing>
      </w:r>
    </w:p>
    <w:p w14:paraId="46F18163" w14:textId="77777777" w:rsidR="00BB6059" w:rsidRDefault="00BB6059" w:rsidP="00BB6059">
      <w:pPr>
        <w:rPr>
          <w:rFonts w:ascii="Times New Roman" w:hAnsi="Times New Roman" w:cs="Times New Roman"/>
          <w:sz w:val="20"/>
        </w:rPr>
      </w:pPr>
    </w:p>
    <w:p w14:paraId="39FD81CA" w14:textId="77777777" w:rsidR="00BB6059" w:rsidRDefault="00BB6059" w:rsidP="00BB6059">
      <w:pPr>
        <w:rPr>
          <w:rFonts w:ascii="Times New Roman" w:hAnsi="Times New Roman" w:cs="Times New Roman"/>
          <w:sz w:val="20"/>
        </w:rPr>
      </w:pPr>
      <w:r>
        <w:rPr>
          <w:rFonts w:ascii="Times New Roman" w:hAnsi="Times New Roman" w:cs="Times New Roman"/>
          <w:sz w:val="20"/>
        </w:rPr>
        <w:t>Table 8:</w:t>
      </w:r>
      <w:r>
        <w:rPr>
          <w:rFonts w:ascii="Times New Roman" w:hAnsi="Times New Roman" w:cs="Times New Roman"/>
          <w:sz w:val="20"/>
        </w:rPr>
        <w:tab/>
        <w:t>Sales Projected</w:t>
      </w:r>
      <w:r>
        <w:rPr>
          <w:rFonts w:ascii="Times New Roman" w:hAnsi="Times New Roman" w:cs="Times New Roman"/>
          <w:sz w:val="20"/>
        </w:rPr>
        <w:tab/>
      </w:r>
      <w:r>
        <w:rPr>
          <w:rFonts w:ascii="Times New Roman" w:hAnsi="Times New Roman" w:cs="Times New Roman"/>
          <w:sz w:val="20"/>
        </w:rPr>
        <w:tab/>
      </w:r>
      <w:r>
        <w:rPr>
          <w:rFonts w:ascii="Times New Roman" w:hAnsi="Times New Roman" w:cs="Times New Roman"/>
          <w:sz w:val="20"/>
        </w:rPr>
        <w:tab/>
        <w:t>Pie Chart 1: Temecula Cost Split</w:t>
      </w:r>
      <w:r>
        <w:rPr>
          <w:rFonts w:ascii="Times New Roman" w:hAnsi="Times New Roman" w:cs="Times New Roman"/>
          <w:sz w:val="20"/>
        </w:rPr>
        <w:tab/>
      </w:r>
      <w:r>
        <w:rPr>
          <w:rFonts w:ascii="Times New Roman" w:hAnsi="Times New Roman" w:cs="Times New Roman"/>
          <w:sz w:val="20"/>
        </w:rPr>
        <w:tab/>
        <w:t>Pie Chart 2: Outsource Cost Split</w:t>
      </w:r>
    </w:p>
    <w:p w14:paraId="4D68FF85" w14:textId="77777777" w:rsidR="00BB6059" w:rsidRPr="00D103FC" w:rsidRDefault="00BB6059" w:rsidP="00BB6059">
      <w:pPr>
        <w:rPr>
          <w:rFonts w:ascii="Times New Roman" w:hAnsi="Times New Roman" w:cs="Times New Roman"/>
          <w:sz w:val="20"/>
        </w:rPr>
      </w:pPr>
      <w:r w:rsidRPr="00666E3E">
        <w:rPr>
          <w:noProof/>
        </w:rPr>
        <w:drawing>
          <wp:inline distT="0" distB="0" distL="0" distR="0" wp14:anchorId="7A18D1BB" wp14:editId="2532E07B">
            <wp:extent cx="2019300" cy="29641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0" cy="2964180"/>
                    </a:xfrm>
                    <a:prstGeom prst="rect">
                      <a:avLst/>
                    </a:prstGeom>
                    <a:noFill/>
                    <a:ln>
                      <a:noFill/>
                    </a:ln>
                  </pic:spPr>
                </pic:pic>
              </a:graphicData>
            </a:graphic>
          </wp:inline>
        </w:drawing>
      </w:r>
      <w:r w:rsidRPr="00D62DFD">
        <w:rPr>
          <w:noProof/>
        </w:rPr>
        <w:t xml:space="preserve"> </w:t>
      </w:r>
      <w:r>
        <w:rPr>
          <w:noProof/>
        </w:rPr>
        <w:drawing>
          <wp:inline distT="0" distB="0" distL="0" distR="0" wp14:anchorId="2BDA97BE" wp14:editId="7BFC0B51">
            <wp:extent cx="2095500" cy="2964180"/>
            <wp:effectExtent l="0" t="0" r="0" b="7620"/>
            <wp:docPr id="1" name="Chart 1">
              <a:extLst xmlns:a="http://schemas.openxmlformats.org/drawingml/2006/main">
                <a:ext uri="{FF2B5EF4-FFF2-40B4-BE49-F238E27FC236}">
                  <a16:creationId xmlns:a16="http://schemas.microsoft.com/office/drawing/2014/main" id="{D249BA5E-18FF-48C6-A23C-09C67A5886E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D62DFD">
        <w:rPr>
          <w:noProof/>
        </w:rPr>
        <w:t xml:space="preserve"> </w:t>
      </w:r>
      <w:r>
        <w:rPr>
          <w:noProof/>
        </w:rPr>
        <w:drawing>
          <wp:inline distT="0" distB="0" distL="0" distR="0" wp14:anchorId="0F4B2494" wp14:editId="50C708DF">
            <wp:extent cx="2247900" cy="2956560"/>
            <wp:effectExtent l="0" t="0" r="0" b="15240"/>
            <wp:docPr id="12" name="Chart 12">
              <a:extLst xmlns:a="http://schemas.openxmlformats.org/drawingml/2006/main">
                <a:ext uri="{FF2B5EF4-FFF2-40B4-BE49-F238E27FC236}">
                  <a16:creationId xmlns:a16="http://schemas.microsoft.com/office/drawing/2014/main" id="{A91731E4-6E00-41ED-9F7F-1A5642EA7B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CD0216D" w14:textId="77777777" w:rsidR="00C2120E" w:rsidRDefault="00C2120E" w:rsidP="00C2120E"/>
    <w:p w14:paraId="50F150ED" w14:textId="77777777" w:rsidR="00C2120E" w:rsidRDefault="00C2120E" w:rsidP="00C2120E"/>
    <w:p w14:paraId="11DE8D48" w14:textId="77777777" w:rsidR="00C2120E" w:rsidRDefault="00C2120E"/>
    <w:sectPr w:rsidR="00C2120E" w:rsidSect="00E66B4C">
      <w:footerReference w:type="even" r:id="rId18"/>
      <w:footerReference w:type="default" r:id="rId19"/>
      <w:pgSz w:w="11900" w:h="16840"/>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08320" w14:textId="77777777" w:rsidR="005E3B87" w:rsidRDefault="005E3B87" w:rsidP="0024751E">
      <w:r>
        <w:separator/>
      </w:r>
    </w:p>
  </w:endnote>
  <w:endnote w:type="continuationSeparator" w:id="0">
    <w:p w14:paraId="01DF02F1" w14:textId="77777777" w:rsidR="005E3B87" w:rsidRDefault="005E3B87" w:rsidP="00247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C8097" w14:textId="2A2542DD" w:rsidR="00D964D5" w:rsidRDefault="00D964D5" w:rsidP="002C04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A1260">
      <w:rPr>
        <w:rStyle w:val="PageNumber"/>
        <w:noProof/>
      </w:rPr>
      <w:t>2</w:t>
    </w:r>
    <w:r>
      <w:rPr>
        <w:rStyle w:val="PageNumber"/>
      </w:rPr>
      <w:fldChar w:fldCharType="end"/>
    </w:r>
  </w:p>
  <w:p w14:paraId="21067468" w14:textId="77777777" w:rsidR="00D964D5" w:rsidRDefault="00D964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5C234" w14:textId="77777777" w:rsidR="00D964D5" w:rsidRDefault="00D964D5" w:rsidP="002C04EC">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F1D4F">
      <w:rPr>
        <w:rStyle w:val="PageNumber"/>
        <w:noProof/>
      </w:rPr>
      <w:t>1</w:t>
    </w:r>
    <w:r>
      <w:rPr>
        <w:rStyle w:val="PageNumber"/>
      </w:rPr>
      <w:fldChar w:fldCharType="end"/>
    </w:r>
  </w:p>
  <w:p w14:paraId="60EA246B" w14:textId="0E4BF96A" w:rsidR="00504CD2" w:rsidRDefault="00504CD2" w:rsidP="00504CD2">
    <w:pPr>
      <w:pStyle w:val="Footer"/>
      <w:rPr>
        <w:rFonts w:cstheme="minorHAnsi"/>
        <w:color w:val="222222"/>
        <w:sz w:val="16"/>
        <w:szCs w:val="16"/>
        <w:shd w:val="clear" w:color="auto" w:fill="FFFFFF"/>
      </w:rPr>
    </w:pPr>
    <w:r>
      <w:rPr>
        <w:rFonts w:cstheme="minorHAnsi"/>
        <w:color w:val="222222"/>
        <w:sz w:val="16"/>
        <w:szCs w:val="16"/>
        <w:shd w:val="clear" w:color="auto" w:fill="FFFFFF"/>
      </w:rPr>
      <w:t>1</w:t>
    </w:r>
    <w:r w:rsidRPr="00504CD2">
      <w:rPr>
        <w:rFonts w:cstheme="minorHAnsi"/>
        <w:color w:val="222222"/>
        <w:sz w:val="16"/>
        <w:szCs w:val="16"/>
        <w:shd w:val="clear" w:color="auto" w:fill="FFFFFF"/>
      </w:rPr>
      <w:t xml:space="preserve"> </w:t>
    </w:r>
    <w:r w:rsidRPr="000A7F77">
      <w:rPr>
        <w:rFonts w:cstheme="minorHAnsi"/>
        <w:color w:val="222222"/>
        <w:sz w:val="16"/>
        <w:szCs w:val="16"/>
        <w:shd w:val="clear" w:color="auto" w:fill="FFFFFF"/>
      </w:rPr>
      <w:t xml:space="preserve">Quinn, J.B. and </w:t>
    </w:r>
    <w:proofErr w:type="spellStart"/>
    <w:r w:rsidRPr="000A7F77">
      <w:rPr>
        <w:rFonts w:cstheme="minorHAnsi"/>
        <w:color w:val="222222"/>
        <w:sz w:val="16"/>
        <w:szCs w:val="16"/>
        <w:shd w:val="clear" w:color="auto" w:fill="FFFFFF"/>
      </w:rPr>
      <w:t>Hilmer</w:t>
    </w:r>
    <w:proofErr w:type="spellEnd"/>
    <w:r w:rsidRPr="000A7F77">
      <w:rPr>
        <w:rFonts w:cstheme="minorHAnsi"/>
        <w:color w:val="222222"/>
        <w:sz w:val="16"/>
        <w:szCs w:val="16"/>
        <w:shd w:val="clear" w:color="auto" w:fill="FFFFFF"/>
      </w:rPr>
      <w:t xml:space="preserve">, F.G. </w:t>
    </w:r>
    <w:r>
      <w:rPr>
        <w:rFonts w:cstheme="minorHAnsi"/>
        <w:color w:val="222222"/>
        <w:sz w:val="16"/>
        <w:szCs w:val="16"/>
        <w:shd w:val="clear" w:color="auto" w:fill="FFFFFF"/>
      </w:rPr>
      <w:t>(</w:t>
    </w:r>
    <w:r w:rsidRPr="000A7F77">
      <w:rPr>
        <w:rFonts w:cstheme="minorHAnsi"/>
        <w:color w:val="222222"/>
        <w:sz w:val="16"/>
        <w:szCs w:val="16"/>
        <w:shd w:val="clear" w:color="auto" w:fill="FFFFFF"/>
      </w:rPr>
      <w:t>1994</w:t>
    </w:r>
    <w:r>
      <w:rPr>
        <w:rFonts w:cstheme="minorHAnsi"/>
        <w:color w:val="222222"/>
        <w:sz w:val="16"/>
        <w:szCs w:val="16"/>
        <w:shd w:val="clear" w:color="auto" w:fill="FFFFFF"/>
      </w:rPr>
      <w:t>)</w:t>
    </w:r>
    <w:r w:rsidRPr="000A7F77">
      <w:rPr>
        <w:rFonts w:cstheme="minorHAnsi"/>
        <w:color w:val="222222"/>
        <w:sz w:val="16"/>
        <w:szCs w:val="16"/>
        <w:shd w:val="clear" w:color="auto" w:fill="FFFFFF"/>
      </w:rPr>
      <w:t xml:space="preserve"> Strategic outsourcing.</w:t>
    </w:r>
    <w:r>
      <w:rPr>
        <w:rFonts w:cstheme="minorHAnsi"/>
        <w:color w:val="222222"/>
        <w:sz w:val="16"/>
        <w:szCs w:val="16"/>
        <w:shd w:val="clear" w:color="auto" w:fill="FFFFFF"/>
      </w:rPr>
      <w:t xml:space="preserve"> </w:t>
    </w:r>
    <w:r w:rsidRPr="000A7F77">
      <w:rPr>
        <w:rFonts w:cstheme="minorHAnsi"/>
        <w:i/>
        <w:iCs/>
        <w:color w:val="222222"/>
        <w:sz w:val="16"/>
        <w:szCs w:val="16"/>
        <w:shd w:val="clear" w:color="auto" w:fill="FFFFFF"/>
      </w:rPr>
      <w:t>MIT Sloan Management Review</w:t>
    </w:r>
    <w:r w:rsidRPr="000A7F77">
      <w:rPr>
        <w:rFonts w:cstheme="minorHAnsi"/>
        <w:color w:val="222222"/>
        <w:sz w:val="16"/>
        <w:szCs w:val="16"/>
        <w:shd w:val="clear" w:color="auto" w:fill="FFFFFF"/>
      </w:rPr>
      <w:t>,</w:t>
    </w:r>
    <w:r>
      <w:rPr>
        <w:rFonts w:cstheme="minorHAnsi"/>
        <w:color w:val="222222"/>
        <w:sz w:val="16"/>
        <w:szCs w:val="16"/>
        <w:shd w:val="clear" w:color="auto" w:fill="FFFFFF"/>
      </w:rPr>
      <w:t xml:space="preserve"> </w:t>
    </w:r>
    <w:r w:rsidRPr="000A7F77">
      <w:rPr>
        <w:rFonts w:cstheme="minorHAnsi"/>
        <w:i/>
        <w:iCs/>
        <w:color w:val="222222"/>
        <w:sz w:val="16"/>
        <w:szCs w:val="16"/>
        <w:shd w:val="clear" w:color="auto" w:fill="FFFFFF"/>
      </w:rPr>
      <w:t>35</w:t>
    </w:r>
    <w:r w:rsidRPr="000A7F77">
      <w:rPr>
        <w:rFonts w:cstheme="minorHAnsi"/>
        <w:color w:val="222222"/>
        <w:sz w:val="16"/>
        <w:szCs w:val="16"/>
        <w:shd w:val="clear" w:color="auto" w:fill="FFFFFF"/>
      </w:rPr>
      <w:t>(4), p.43</w:t>
    </w:r>
  </w:p>
  <w:p w14:paraId="4AF745F6" w14:textId="1183F49E" w:rsidR="00164190" w:rsidRDefault="00504CD2">
    <w:pPr>
      <w:pStyle w:val="Footer"/>
      <w:rPr>
        <w:rFonts w:cstheme="minorHAnsi"/>
        <w:color w:val="222222"/>
        <w:sz w:val="16"/>
        <w:szCs w:val="16"/>
        <w:shd w:val="clear" w:color="auto" w:fill="FFFFFF"/>
      </w:rPr>
    </w:pPr>
    <w:r>
      <w:rPr>
        <w:rFonts w:cstheme="minorHAnsi"/>
        <w:color w:val="222222"/>
        <w:sz w:val="16"/>
        <w:szCs w:val="16"/>
        <w:shd w:val="clear" w:color="auto" w:fill="FFFFFF"/>
      </w:rPr>
      <w:t xml:space="preserve">2 </w:t>
    </w:r>
    <w:r w:rsidR="00992797">
      <w:rPr>
        <w:rFonts w:cstheme="minorHAnsi"/>
        <w:color w:val="222222"/>
        <w:sz w:val="16"/>
        <w:szCs w:val="16"/>
        <w:shd w:val="clear" w:color="auto" w:fill="FFFFFF"/>
      </w:rPr>
      <w:t xml:space="preserve">Chopra, </w:t>
    </w:r>
    <w:proofErr w:type="spellStart"/>
    <w:r w:rsidR="00992797">
      <w:rPr>
        <w:rFonts w:cstheme="minorHAnsi"/>
        <w:color w:val="222222"/>
        <w:sz w:val="16"/>
        <w:szCs w:val="16"/>
        <w:shd w:val="clear" w:color="auto" w:fill="FFFFFF"/>
      </w:rPr>
      <w:t>Meindl</w:t>
    </w:r>
    <w:proofErr w:type="spellEnd"/>
    <w:r w:rsidR="00992797">
      <w:rPr>
        <w:rFonts w:cstheme="minorHAnsi"/>
        <w:color w:val="222222"/>
        <w:sz w:val="16"/>
        <w:szCs w:val="16"/>
        <w:shd w:val="clear" w:color="auto" w:fill="FFFFFF"/>
      </w:rPr>
      <w:t xml:space="preserve">, N2013, </w:t>
    </w:r>
    <w:r w:rsidR="00A97740">
      <w:rPr>
        <w:rFonts w:cstheme="minorHAnsi"/>
        <w:color w:val="222222"/>
        <w:sz w:val="16"/>
        <w:szCs w:val="16"/>
        <w:shd w:val="clear" w:color="auto" w:fill="FFFFFF"/>
      </w:rPr>
      <w:t>Supply Chain Management Strategy, Planning and Operation, Pearson Education, NJ07458, USA</w:t>
    </w:r>
  </w:p>
  <w:p w14:paraId="031B585F" w14:textId="59B7A42F" w:rsidR="00AF0CAF" w:rsidRDefault="00E66B4C">
    <w:pPr>
      <w:pStyle w:val="Footer"/>
      <w:rPr>
        <w:rFonts w:cstheme="minorHAnsi"/>
        <w:color w:val="222222"/>
        <w:sz w:val="16"/>
        <w:szCs w:val="16"/>
        <w:shd w:val="clear" w:color="auto" w:fill="FFFFFF"/>
      </w:rPr>
    </w:pPr>
    <w:r>
      <w:rPr>
        <w:rFonts w:cstheme="minorHAnsi"/>
        <w:color w:val="222222"/>
        <w:sz w:val="16"/>
        <w:szCs w:val="16"/>
        <w:shd w:val="clear" w:color="auto" w:fill="FFFFFF"/>
      </w:rPr>
      <w:t>3</w:t>
    </w:r>
    <w:r w:rsidR="00504CD2">
      <w:rPr>
        <w:rFonts w:cstheme="minorHAnsi"/>
        <w:color w:val="222222"/>
        <w:sz w:val="16"/>
        <w:szCs w:val="16"/>
        <w:shd w:val="clear" w:color="auto" w:fill="FFFFFF"/>
      </w:rPr>
      <w:t xml:space="preserve"> </w:t>
    </w:r>
    <w:r w:rsidR="00504CD2" w:rsidRPr="00504CD2">
      <w:rPr>
        <w:rFonts w:cstheme="minorHAnsi"/>
        <w:color w:val="222222"/>
        <w:sz w:val="16"/>
        <w:szCs w:val="16"/>
        <w:shd w:val="clear" w:color="auto" w:fill="FFFFFF"/>
      </w:rPr>
      <w:t xml:space="preserve">Hayes, R.H., Pisano, </w:t>
    </w:r>
    <w:proofErr w:type="spellStart"/>
    <w:proofErr w:type="gramStart"/>
    <w:r w:rsidR="00504CD2" w:rsidRPr="00504CD2">
      <w:rPr>
        <w:rFonts w:cstheme="minorHAnsi"/>
        <w:color w:val="222222"/>
        <w:sz w:val="16"/>
        <w:szCs w:val="16"/>
        <w:shd w:val="clear" w:color="auto" w:fill="FFFFFF"/>
      </w:rPr>
      <w:t>G.,Upton</w:t>
    </w:r>
    <w:proofErr w:type="spellEnd"/>
    <w:proofErr w:type="gramEnd"/>
    <w:r w:rsidR="00504CD2" w:rsidRPr="00504CD2">
      <w:rPr>
        <w:rFonts w:cstheme="minorHAnsi"/>
        <w:color w:val="222222"/>
        <w:sz w:val="16"/>
        <w:szCs w:val="16"/>
        <w:shd w:val="clear" w:color="auto" w:fill="FFFFFF"/>
      </w:rPr>
      <w:t>, D. &amp;Wheelwright, S.C.(2005) Pursuing the Competitive Edge, Wiley</w:t>
    </w:r>
    <w:r w:rsidR="00704957">
      <w:rPr>
        <w:rFonts w:cstheme="minorHAnsi"/>
        <w:color w:val="222222"/>
        <w:sz w:val="16"/>
        <w:szCs w:val="16"/>
        <w:shd w:val="clear" w:color="auto" w:fill="FFFFFF"/>
      </w:rPr>
      <w:t xml:space="preserve"> </w:t>
    </w:r>
    <w:r w:rsidR="00D4598E">
      <w:rPr>
        <w:rFonts w:cstheme="minorHAnsi"/>
        <w:color w:val="222222"/>
        <w:sz w:val="16"/>
        <w:szCs w:val="16"/>
        <w:shd w:val="clear" w:color="auto" w:fill="FFFFFF"/>
      </w:rPr>
      <w:t xml:space="preserve">| </w:t>
    </w:r>
    <w:r w:rsidR="00704957">
      <w:rPr>
        <w:rFonts w:cstheme="minorHAnsi"/>
        <w:color w:val="222222"/>
        <w:sz w:val="16"/>
        <w:szCs w:val="16"/>
        <w:shd w:val="clear" w:color="auto" w:fill="FFFFFF"/>
      </w:rPr>
      <w:t>3.1 Teece 1986</w:t>
    </w:r>
  </w:p>
  <w:p w14:paraId="5EAD3448" w14:textId="105BB000" w:rsidR="00AF0CAF" w:rsidRDefault="00AF0CAF" w:rsidP="00704957">
    <w:pPr>
      <w:pStyle w:val="Footer"/>
      <w:rPr>
        <w:rFonts w:cstheme="minorHAnsi"/>
        <w:color w:val="222222"/>
        <w:sz w:val="16"/>
        <w:szCs w:val="16"/>
        <w:shd w:val="clear" w:color="auto" w:fill="FFFFFF"/>
      </w:rPr>
    </w:pPr>
    <w:r>
      <w:rPr>
        <w:rFonts w:cstheme="minorHAnsi"/>
        <w:color w:val="222222"/>
        <w:sz w:val="16"/>
        <w:szCs w:val="16"/>
        <w:shd w:val="clear" w:color="auto" w:fill="FFFFFF"/>
      </w:rPr>
      <w:t xml:space="preserve">4 </w:t>
    </w:r>
    <w:r w:rsidR="00704957" w:rsidRPr="00704957">
      <w:rPr>
        <w:rFonts w:cstheme="minorHAnsi"/>
        <w:color w:val="222222"/>
        <w:sz w:val="16"/>
        <w:szCs w:val="16"/>
        <w:shd w:val="clear" w:color="auto" w:fill="FFFFFF"/>
      </w:rPr>
      <w:t xml:space="preserve">Moreno </w:t>
    </w:r>
    <w:proofErr w:type="spellStart"/>
    <w:r w:rsidR="00704957" w:rsidRPr="00704957">
      <w:rPr>
        <w:rFonts w:cstheme="minorHAnsi"/>
        <w:color w:val="222222"/>
        <w:sz w:val="16"/>
        <w:szCs w:val="16"/>
        <w:shd w:val="clear" w:color="auto" w:fill="FFFFFF"/>
      </w:rPr>
      <w:t>Muffatto</w:t>
    </w:r>
    <w:proofErr w:type="spellEnd"/>
    <w:r w:rsidR="00704957">
      <w:rPr>
        <w:rFonts w:cstheme="minorHAnsi"/>
        <w:color w:val="222222"/>
        <w:sz w:val="16"/>
        <w:szCs w:val="16"/>
        <w:shd w:val="clear" w:color="auto" w:fill="FFFFFF"/>
      </w:rPr>
      <w:t xml:space="preserve">, </w:t>
    </w:r>
    <w:r w:rsidR="00704957" w:rsidRPr="00704957">
      <w:rPr>
        <w:rFonts w:cstheme="minorHAnsi"/>
        <w:color w:val="222222"/>
        <w:sz w:val="16"/>
        <w:szCs w:val="16"/>
        <w:shd w:val="clear" w:color="auto" w:fill="FFFFFF"/>
      </w:rPr>
      <w:t>Introducing a platform strategy in product development,</w:t>
    </w:r>
    <w:r w:rsidR="00704957">
      <w:rPr>
        <w:rFonts w:cstheme="minorHAnsi"/>
        <w:color w:val="222222"/>
        <w:sz w:val="16"/>
        <w:szCs w:val="16"/>
        <w:shd w:val="clear" w:color="auto" w:fill="FFFFFF"/>
      </w:rPr>
      <w:t xml:space="preserve"> </w:t>
    </w:r>
    <w:r w:rsidR="00704957" w:rsidRPr="00704957">
      <w:rPr>
        <w:rFonts w:cstheme="minorHAnsi"/>
        <w:color w:val="222222"/>
        <w:sz w:val="16"/>
        <w:szCs w:val="16"/>
        <w:shd w:val="clear" w:color="auto" w:fill="FFFFFF"/>
      </w:rPr>
      <w:t>International Journal of Production Economics,</w:t>
    </w:r>
    <w:r w:rsidR="00704957">
      <w:rPr>
        <w:rFonts w:cstheme="minorHAnsi"/>
        <w:color w:val="222222"/>
        <w:sz w:val="16"/>
        <w:szCs w:val="16"/>
        <w:shd w:val="clear" w:color="auto" w:fill="FFFFFF"/>
      </w:rPr>
      <w:t xml:space="preserve"> </w:t>
    </w:r>
    <w:r w:rsidR="00704957" w:rsidRPr="00704957">
      <w:rPr>
        <w:rFonts w:cstheme="minorHAnsi"/>
        <w:color w:val="222222"/>
        <w:sz w:val="16"/>
        <w:szCs w:val="16"/>
        <w:shd w:val="clear" w:color="auto" w:fill="FFFFFF"/>
      </w:rPr>
      <w:t>Volumes 60–61,</w:t>
    </w:r>
    <w:r w:rsidR="00704957">
      <w:rPr>
        <w:rFonts w:cstheme="minorHAnsi"/>
        <w:color w:val="222222"/>
        <w:sz w:val="16"/>
        <w:szCs w:val="16"/>
        <w:shd w:val="clear" w:color="auto" w:fill="FFFFFF"/>
      </w:rPr>
      <w:t xml:space="preserve"> </w:t>
    </w:r>
    <w:r w:rsidR="00704957" w:rsidRPr="00704957">
      <w:rPr>
        <w:rFonts w:cstheme="minorHAnsi"/>
        <w:color w:val="222222"/>
        <w:sz w:val="16"/>
        <w:szCs w:val="16"/>
        <w:shd w:val="clear" w:color="auto" w:fill="FFFFFF"/>
      </w:rPr>
      <w:t>1999,</w:t>
    </w:r>
    <w:r w:rsidR="00704957">
      <w:rPr>
        <w:rFonts w:cstheme="minorHAnsi"/>
        <w:color w:val="222222"/>
        <w:sz w:val="16"/>
        <w:szCs w:val="16"/>
        <w:shd w:val="clear" w:color="auto" w:fill="FFFFFF"/>
      </w:rPr>
      <w:t xml:space="preserve"> </w:t>
    </w:r>
    <w:r w:rsidR="00704957" w:rsidRPr="00704957">
      <w:rPr>
        <w:rFonts w:cstheme="minorHAnsi"/>
        <w:color w:val="222222"/>
        <w:sz w:val="16"/>
        <w:szCs w:val="16"/>
        <w:shd w:val="clear" w:color="auto" w:fill="FFFFFF"/>
      </w:rPr>
      <w:t>Pages 145-153</w:t>
    </w:r>
  </w:p>
  <w:p w14:paraId="287BAC52" w14:textId="3769654E" w:rsidR="00704957" w:rsidRDefault="00704957" w:rsidP="00704957">
    <w:pPr>
      <w:pStyle w:val="Footer"/>
      <w:rPr>
        <w:rFonts w:cstheme="minorHAnsi"/>
        <w:color w:val="222222"/>
        <w:sz w:val="16"/>
        <w:szCs w:val="16"/>
        <w:shd w:val="clear" w:color="auto" w:fill="FFFFFF"/>
      </w:rPr>
    </w:pPr>
    <w:r>
      <w:rPr>
        <w:rFonts w:cstheme="minorHAnsi"/>
        <w:color w:val="222222"/>
        <w:sz w:val="16"/>
        <w:szCs w:val="16"/>
        <w:shd w:val="clear" w:color="auto" w:fill="FFFFFF"/>
      </w:rPr>
      <w:t xml:space="preserve">5 </w:t>
    </w:r>
    <w:hyperlink r:id="rId1" w:anchor="spring" w:history="1">
      <w:r w:rsidRPr="004C4DAE">
        <w:rPr>
          <w:rStyle w:val="Hyperlink"/>
          <w:rFonts w:cstheme="minorHAnsi"/>
          <w:sz w:val="16"/>
          <w:szCs w:val="16"/>
          <w:shd w:val="clear" w:color="auto" w:fill="FFFFFF"/>
        </w:rPr>
        <w:t>https://www.scotts.com/en-us/library/lawn-care-basics/your-seasonal-guide-lush-lawn#spring</w:t>
      </w:r>
    </w:hyperlink>
  </w:p>
  <w:p w14:paraId="31C5EE1F" w14:textId="66DA5FE9" w:rsidR="00704957" w:rsidRPr="00AF0CAF" w:rsidRDefault="00704957" w:rsidP="00D4598E">
    <w:pPr>
      <w:pStyle w:val="Footer"/>
      <w:rPr>
        <w:rFonts w:cstheme="minorHAnsi"/>
        <w:color w:val="222222"/>
        <w:sz w:val="16"/>
        <w:szCs w:val="16"/>
        <w:shd w:val="clear" w:color="auto" w:fill="FFFFFF"/>
      </w:rPr>
    </w:pPr>
    <w:r>
      <w:rPr>
        <w:rFonts w:cstheme="minorHAnsi"/>
        <w:color w:val="222222"/>
        <w:sz w:val="16"/>
        <w:szCs w:val="16"/>
        <w:shd w:val="clear" w:color="auto" w:fill="FFFFFF"/>
      </w:rPr>
      <w:t xml:space="preserve">6 </w:t>
    </w:r>
    <w:r w:rsidR="00D4598E" w:rsidRPr="00D4598E">
      <w:rPr>
        <w:rFonts w:cstheme="minorHAnsi"/>
        <w:color w:val="222222"/>
        <w:sz w:val="16"/>
        <w:szCs w:val="16"/>
        <w:shd w:val="clear" w:color="auto" w:fill="FFFFFF"/>
      </w:rPr>
      <w:t xml:space="preserve">Jian Li, Qin </w:t>
    </w:r>
    <w:proofErr w:type="spellStart"/>
    <w:r w:rsidR="00D4598E" w:rsidRPr="00D4598E">
      <w:rPr>
        <w:rFonts w:cstheme="minorHAnsi"/>
        <w:color w:val="222222"/>
        <w:sz w:val="16"/>
        <w:szCs w:val="16"/>
        <w:shd w:val="clear" w:color="auto" w:fill="FFFFFF"/>
      </w:rPr>
      <w:t>Su</w:t>
    </w:r>
    <w:proofErr w:type="spellEnd"/>
    <w:r w:rsidR="00D4598E" w:rsidRPr="00D4598E">
      <w:rPr>
        <w:rFonts w:cstheme="minorHAnsi"/>
        <w:color w:val="222222"/>
        <w:sz w:val="16"/>
        <w:szCs w:val="16"/>
        <w:shd w:val="clear" w:color="auto" w:fill="FFFFFF"/>
      </w:rPr>
      <w:t>, Li Ma,</w:t>
    </w:r>
    <w:r w:rsidR="00D4598E">
      <w:rPr>
        <w:rFonts w:cstheme="minorHAnsi"/>
        <w:color w:val="222222"/>
        <w:sz w:val="16"/>
        <w:szCs w:val="16"/>
        <w:shd w:val="clear" w:color="auto" w:fill="FFFFFF"/>
      </w:rPr>
      <w:t xml:space="preserve"> </w:t>
    </w:r>
    <w:r w:rsidR="00D4598E" w:rsidRPr="00D4598E">
      <w:rPr>
        <w:rFonts w:cstheme="minorHAnsi"/>
        <w:color w:val="222222"/>
        <w:sz w:val="16"/>
        <w:szCs w:val="16"/>
        <w:shd w:val="clear" w:color="auto" w:fill="FFFFFF"/>
      </w:rPr>
      <w:t>Production and transportation outsourcing decisions in the supply chain under single and multiple carbon policies,</w:t>
    </w:r>
    <w:r w:rsidR="00D4598E">
      <w:rPr>
        <w:rFonts w:cstheme="minorHAnsi"/>
        <w:color w:val="222222"/>
        <w:sz w:val="16"/>
        <w:szCs w:val="16"/>
        <w:shd w:val="clear" w:color="auto" w:fill="FFFFFF"/>
      </w:rPr>
      <w:t xml:space="preserve"> </w:t>
    </w:r>
    <w:r w:rsidR="00D4598E" w:rsidRPr="00D4598E">
      <w:rPr>
        <w:rFonts w:cstheme="minorHAnsi"/>
        <w:color w:val="222222"/>
        <w:sz w:val="16"/>
        <w:szCs w:val="16"/>
        <w:shd w:val="clear" w:color="auto" w:fill="FFFFFF"/>
      </w:rPr>
      <w:t>Journal of Cleaner Production,</w:t>
    </w:r>
    <w:r w:rsidR="00D4598E">
      <w:rPr>
        <w:rFonts w:cstheme="minorHAnsi"/>
        <w:color w:val="222222"/>
        <w:sz w:val="16"/>
        <w:szCs w:val="16"/>
        <w:shd w:val="clear" w:color="auto" w:fill="FFFFFF"/>
      </w:rPr>
      <w:t xml:space="preserve"> </w:t>
    </w:r>
    <w:r w:rsidR="00D4598E" w:rsidRPr="00D4598E">
      <w:rPr>
        <w:rFonts w:cstheme="minorHAnsi"/>
        <w:color w:val="222222"/>
        <w:sz w:val="16"/>
        <w:szCs w:val="16"/>
        <w:shd w:val="clear" w:color="auto" w:fill="FFFFFF"/>
      </w:rPr>
      <w:t>Volume 141,</w:t>
    </w:r>
    <w:r w:rsidR="00D4598E">
      <w:rPr>
        <w:rFonts w:cstheme="minorHAnsi"/>
        <w:color w:val="222222"/>
        <w:sz w:val="16"/>
        <w:szCs w:val="16"/>
        <w:shd w:val="clear" w:color="auto" w:fill="FFFFFF"/>
      </w:rPr>
      <w:t xml:space="preserve"> </w:t>
    </w:r>
    <w:r w:rsidR="00D4598E" w:rsidRPr="00D4598E">
      <w:rPr>
        <w:rFonts w:cstheme="minorHAnsi"/>
        <w:color w:val="222222"/>
        <w:sz w:val="16"/>
        <w:szCs w:val="16"/>
        <w:shd w:val="clear" w:color="auto" w:fill="FFFFFF"/>
      </w:rPr>
      <w:t>2017,</w:t>
    </w:r>
    <w:r w:rsidR="00D4598E">
      <w:rPr>
        <w:rFonts w:cstheme="minorHAnsi"/>
        <w:color w:val="222222"/>
        <w:sz w:val="16"/>
        <w:szCs w:val="16"/>
        <w:shd w:val="clear" w:color="auto" w:fill="FFFFFF"/>
      </w:rPr>
      <w:t xml:space="preserve"> </w:t>
    </w:r>
    <w:r w:rsidR="00D4598E" w:rsidRPr="00D4598E">
      <w:rPr>
        <w:rFonts w:cstheme="minorHAnsi"/>
        <w:color w:val="222222"/>
        <w:sz w:val="16"/>
        <w:szCs w:val="16"/>
        <w:shd w:val="clear" w:color="auto" w:fill="FFFFFF"/>
      </w:rPr>
      <w:t>Pages 1109-1122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2EDD92" w14:textId="77777777" w:rsidR="005E3B87" w:rsidRDefault="005E3B87" w:rsidP="0024751E">
      <w:r>
        <w:separator/>
      </w:r>
    </w:p>
  </w:footnote>
  <w:footnote w:type="continuationSeparator" w:id="0">
    <w:p w14:paraId="48788591" w14:textId="77777777" w:rsidR="005E3B87" w:rsidRDefault="005E3B87" w:rsidP="00247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A0F46"/>
    <w:multiLevelType w:val="hybridMultilevel"/>
    <w:tmpl w:val="CCD0BE74"/>
    <w:lvl w:ilvl="0" w:tplc="3F228CD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717DD8"/>
    <w:multiLevelType w:val="hybridMultilevel"/>
    <w:tmpl w:val="0CEE495A"/>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9C1EDD"/>
    <w:multiLevelType w:val="hybridMultilevel"/>
    <w:tmpl w:val="76EE0B0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ECB4330"/>
    <w:multiLevelType w:val="hybridMultilevel"/>
    <w:tmpl w:val="1868C71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2A86A7F"/>
    <w:multiLevelType w:val="hybridMultilevel"/>
    <w:tmpl w:val="AE7E8E1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EA4D62"/>
    <w:multiLevelType w:val="hybridMultilevel"/>
    <w:tmpl w:val="C12662A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5199"/>
    <w:rsid w:val="00016BCB"/>
    <w:rsid w:val="00022E51"/>
    <w:rsid w:val="00023C36"/>
    <w:rsid w:val="00035319"/>
    <w:rsid w:val="00036354"/>
    <w:rsid w:val="00080B2F"/>
    <w:rsid w:val="000A7F77"/>
    <w:rsid w:val="000B74AD"/>
    <w:rsid w:val="000C730C"/>
    <w:rsid w:val="000E4F84"/>
    <w:rsid w:val="000F213F"/>
    <w:rsid w:val="00130568"/>
    <w:rsid w:val="00132988"/>
    <w:rsid w:val="00164190"/>
    <w:rsid w:val="001D6A12"/>
    <w:rsid w:val="0024751E"/>
    <w:rsid w:val="00254D60"/>
    <w:rsid w:val="00255B69"/>
    <w:rsid w:val="0025638F"/>
    <w:rsid w:val="002A5039"/>
    <w:rsid w:val="002C2AEE"/>
    <w:rsid w:val="002D7674"/>
    <w:rsid w:val="002E21A5"/>
    <w:rsid w:val="002F51E5"/>
    <w:rsid w:val="00321E9F"/>
    <w:rsid w:val="00331197"/>
    <w:rsid w:val="00361EE3"/>
    <w:rsid w:val="003739B5"/>
    <w:rsid w:val="00386633"/>
    <w:rsid w:val="003B63EE"/>
    <w:rsid w:val="003F1D4F"/>
    <w:rsid w:val="003F3C11"/>
    <w:rsid w:val="00406E68"/>
    <w:rsid w:val="00441412"/>
    <w:rsid w:val="00445A3A"/>
    <w:rsid w:val="00465FCB"/>
    <w:rsid w:val="00483350"/>
    <w:rsid w:val="004940E9"/>
    <w:rsid w:val="004B3D15"/>
    <w:rsid w:val="004B5D06"/>
    <w:rsid w:val="004E4322"/>
    <w:rsid w:val="004E7DAB"/>
    <w:rsid w:val="0050458C"/>
    <w:rsid w:val="00504CD2"/>
    <w:rsid w:val="00534851"/>
    <w:rsid w:val="00567B72"/>
    <w:rsid w:val="005B2A2B"/>
    <w:rsid w:val="005B44F4"/>
    <w:rsid w:val="005D10D8"/>
    <w:rsid w:val="005E3B87"/>
    <w:rsid w:val="006426C4"/>
    <w:rsid w:val="00646E30"/>
    <w:rsid w:val="00666E3E"/>
    <w:rsid w:val="00676E73"/>
    <w:rsid w:val="006A4049"/>
    <w:rsid w:val="006E7C26"/>
    <w:rsid w:val="006F6AEE"/>
    <w:rsid w:val="00704957"/>
    <w:rsid w:val="00757834"/>
    <w:rsid w:val="0078219C"/>
    <w:rsid w:val="007843BF"/>
    <w:rsid w:val="007929B7"/>
    <w:rsid w:val="007A1260"/>
    <w:rsid w:val="007B30AE"/>
    <w:rsid w:val="007F50FF"/>
    <w:rsid w:val="00813E7A"/>
    <w:rsid w:val="00850F57"/>
    <w:rsid w:val="008D0C60"/>
    <w:rsid w:val="008D15BA"/>
    <w:rsid w:val="0090632D"/>
    <w:rsid w:val="009411CB"/>
    <w:rsid w:val="00954F32"/>
    <w:rsid w:val="00956D62"/>
    <w:rsid w:val="00992797"/>
    <w:rsid w:val="00A05C5A"/>
    <w:rsid w:val="00A26BA0"/>
    <w:rsid w:val="00A35669"/>
    <w:rsid w:val="00A66A8B"/>
    <w:rsid w:val="00A76427"/>
    <w:rsid w:val="00A868A0"/>
    <w:rsid w:val="00A97740"/>
    <w:rsid w:val="00AC29DF"/>
    <w:rsid w:val="00AF0CAF"/>
    <w:rsid w:val="00B0054B"/>
    <w:rsid w:val="00B146EE"/>
    <w:rsid w:val="00BB3A1A"/>
    <w:rsid w:val="00BB6059"/>
    <w:rsid w:val="00C2120E"/>
    <w:rsid w:val="00C64ECF"/>
    <w:rsid w:val="00C65C82"/>
    <w:rsid w:val="00C9229A"/>
    <w:rsid w:val="00CA221B"/>
    <w:rsid w:val="00CB3503"/>
    <w:rsid w:val="00CC2C51"/>
    <w:rsid w:val="00D103FC"/>
    <w:rsid w:val="00D43745"/>
    <w:rsid w:val="00D4598E"/>
    <w:rsid w:val="00D62DFD"/>
    <w:rsid w:val="00D936C8"/>
    <w:rsid w:val="00D964D5"/>
    <w:rsid w:val="00DA4756"/>
    <w:rsid w:val="00DB2C81"/>
    <w:rsid w:val="00DB3A96"/>
    <w:rsid w:val="00DD1756"/>
    <w:rsid w:val="00DE5199"/>
    <w:rsid w:val="00E3040B"/>
    <w:rsid w:val="00E30B55"/>
    <w:rsid w:val="00E43780"/>
    <w:rsid w:val="00E47655"/>
    <w:rsid w:val="00E57BF9"/>
    <w:rsid w:val="00E64A1D"/>
    <w:rsid w:val="00E66B4C"/>
    <w:rsid w:val="00E72F88"/>
    <w:rsid w:val="00E91275"/>
    <w:rsid w:val="00EA641D"/>
    <w:rsid w:val="00F53FBF"/>
    <w:rsid w:val="00F6231A"/>
    <w:rsid w:val="00F63C66"/>
    <w:rsid w:val="00F70007"/>
    <w:rsid w:val="00FC40DB"/>
    <w:rsid w:val="00FE3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C52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C730C"/>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24751E"/>
  </w:style>
  <w:style w:type="character" w:customStyle="1" w:styleId="FootnoteTextChar">
    <w:name w:val="Footnote Text Char"/>
    <w:basedOn w:val="DefaultParagraphFont"/>
    <w:link w:val="FootnoteText"/>
    <w:uiPriority w:val="99"/>
    <w:rsid w:val="0024751E"/>
    <w:rPr>
      <w:lang w:val="en-GB"/>
    </w:rPr>
  </w:style>
  <w:style w:type="character" w:styleId="FootnoteReference">
    <w:name w:val="footnote reference"/>
    <w:basedOn w:val="DefaultParagraphFont"/>
    <w:uiPriority w:val="99"/>
    <w:unhideWhenUsed/>
    <w:rsid w:val="0024751E"/>
    <w:rPr>
      <w:vertAlign w:val="superscript"/>
    </w:rPr>
  </w:style>
  <w:style w:type="paragraph" w:styleId="Footer">
    <w:name w:val="footer"/>
    <w:basedOn w:val="Normal"/>
    <w:link w:val="FooterChar"/>
    <w:uiPriority w:val="99"/>
    <w:unhideWhenUsed/>
    <w:rsid w:val="00D964D5"/>
    <w:pPr>
      <w:tabs>
        <w:tab w:val="center" w:pos="4513"/>
        <w:tab w:val="right" w:pos="9026"/>
      </w:tabs>
    </w:pPr>
  </w:style>
  <w:style w:type="character" w:customStyle="1" w:styleId="FooterChar">
    <w:name w:val="Footer Char"/>
    <w:basedOn w:val="DefaultParagraphFont"/>
    <w:link w:val="Footer"/>
    <w:uiPriority w:val="99"/>
    <w:rsid w:val="00D964D5"/>
    <w:rPr>
      <w:lang w:val="en-GB"/>
    </w:rPr>
  </w:style>
  <w:style w:type="character" w:styleId="PageNumber">
    <w:name w:val="page number"/>
    <w:basedOn w:val="DefaultParagraphFont"/>
    <w:uiPriority w:val="99"/>
    <w:semiHidden/>
    <w:unhideWhenUsed/>
    <w:rsid w:val="00D964D5"/>
  </w:style>
  <w:style w:type="character" w:customStyle="1" w:styleId="Heading1Char">
    <w:name w:val="Heading 1 Char"/>
    <w:basedOn w:val="DefaultParagraphFont"/>
    <w:link w:val="Heading1"/>
    <w:uiPriority w:val="9"/>
    <w:rsid w:val="000C730C"/>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uiPriority w:val="39"/>
    <w:rsid w:val="000C73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21E9F"/>
    <w:pPr>
      <w:ind w:left="720"/>
      <w:contextualSpacing/>
    </w:pPr>
  </w:style>
  <w:style w:type="paragraph" w:styleId="Header">
    <w:name w:val="header"/>
    <w:basedOn w:val="Normal"/>
    <w:link w:val="HeaderChar"/>
    <w:uiPriority w:val="99"/>
    <w:unhideWhenUsed/>
    <w:rsid w:val="00164190"/>
    <w:pPr>
      <w:tabs>
        <w:tab w:val="center" w:pos="4513"/>
        <w:tab w:val="right" w:pos="9026"/>
      </w:tabs>
    </w:pPr>
  </w:style>
  <w:style w:type="character" w:customStyle="1" w:styleId="HeaderChar">
    <w:name w:val="Header Char"/>
    <w:basedOn w:val="DefaultParagraphFont"/>
    <w:link w:val="Header"/>
    <w:uiPriority w:val="99"/>
    <w:rsid w:val="00164190"/>
    <w:rPr>
      <w:lang w:val="en-GB"/>
    </w:rPr>
  </w:style>
  <w:style w:type="character" w:styleId="Hyperlink">
    <w:name w:val="Hyperlink"/>
    <w:basedOn w:val="DefaultParagraphFont"/>
    <w:uiPriority w:val="99"/>
    <w:unhideWhenUsed/>
    <w:rsid w:val="00704957"/>
    <w:rPr>
      <w:color w:val="0563C1" w:themeColor="hyperlink"/>
      <w:u w:val="single"/>
    </w:rPr>
  </w:style>
  <w:style w:type="character" w:styleId="UnresolvedMention">
    <w:name w:val="Unresolved Mention"/>
    <w:basedOn w:val="DefaultParagraphFont"/>
    <w:uiPriority w:val="99"/>
    <w:rsid w:val="007049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30093">
      <w:bodyDiv w:val="1"/>
      <w:marLeft w:val="0"/>
      <w:marRight w:val="0"/>
      <w:marTop w:val="0"/>
      <w:marBottom w:val="0"/>
      <w:divBdr>
        <w:top w:val="none" w:sz="0" w:space="0" w:color="auto"/>
        <w:left w:val="none" w:sz="0" w:space="0" w:color="auto"/>
        <w:bottom w:val="none" w:sz="0" w:space="0" w:color="auto"/>
        <w:right w:val="none" w:sz="0" w:space="0" w:color="auto"/>
      </w:divBdr>
    </w:div>
    <w:div w:id="441845102">
      <w:bodyDiv w:val="1"/>
      <w:marLeft w:val="0"/>
      <w:marRight w:val="0"/>
      <w:marTop w:val="0"/>
      <w:marBottom w:val="0"/>
      <w:divBdr>
        <w:top w:val="none" w:sz="0" w:space="0" w:color="auto"/>
        <w:left w:val="none" w:sz="0" w:space="0" w:color="auto"/>
        <w:bottom w:val="none" w:sz="0" w:space="0" w:color="auto"/>
        <w:right w:val="none" w:sz="0" w:space="0" w:color="auto"/>
      </w:divBdr>
    </w:div>
    <w:div w:id="465392227">
      <w:bodyDiv w:val="1"/>
      <w:marLeft w:val="0"/>
      <w:marRight w:val="0"/>
      <w:marTop w:val="0"/>
      <w:marBottom w:val="0"/>
      <w:divBdr>
        <w:top w:val="none" w:sz="0" w:space="0" w:color="auto"/>
        <w:left w:val="none" w:sz="0" w:space="0" w:color="auto"/>
        <w:bottom w:val="none" w:sz="0" w:space="0" w:color="auto"/>
        <w:right w:val="none" w:sz="0" w:space="0" w:color="auto"/>
      </w:divBdr>
    </w:div>
    <w:div w:id="577831725">
      <w:bodyDiv w:val="1"/>
      <w:marLeft w:val="0"/>
      <w:marRight w:val="0"/>
      <w:marTop w:val="0"/>
      <w:marBottom w:val="0"/>
      <w:divBdr>
        <w:top w:val="none" w:sz="0" w:space="0" w:color="auto"/>
        <w:left w:val="none" w:sz="0" w:space="0" w:color="auto"/>
        <w:bottom w:val="none" w:sz="0" w:space="0" w:color="auto"/>
        <w:right w:val="none" w:sz="0" w:space="0" w:color="auto"/>
      </w:divBdr>
    </w:div>
    <w:div w:id="599142948">
      <w:bodyDiv w:val="1"/>
      <w:marLeft w:val="0"/>
      <w:marRight w:val="0"/>
      <w:marTop w:val="0"/>
      <w:marBottom w:val="0"/>
      <w:divBdr>
        <w:top w:val="none" w:sz="0" w:space="0" w:color="auto"/>
        <w:left w:val="none" w:sz="0" w:space="0" w:color="auto"/>
        <w:bottom w:val="none" w:sz="0" w:space="0" w:color="auto"/>
        <w:right w:val="none" w:sz="0" w:space="0" w:color="auto"/>
      </w:divBdr>
    </w:div>
    <w:div w:id="1204638258">
      <w:bodyDiv w:val="1"/>
      <w:marLeft w:val="0"/>
      <w:marRight w:val="0"/>
      <w:marTop w:val="0"/>
      <w:marBottom w:val="0"/>
      <w:divBdr>
        <w:top w:val="none" w:sz="0" w:space="0" w:color="auto"/>
        <w:left w:val="none" w:sz="0" w:space="0" w:color="auto"/>
        <w:bottom w:val="none" w:sz="0" w:space="0" w:color="auto"/>
        <w:right w:val="none" w:sz="0" w:space="0" w:color="auto"/>
      </w:divBdr>
    </w:div>
    <w:div w:id="1570992664">
      <w:bodyDiv w:val="1"/>
      <w:marLeft w:val="0"/>
      <w:marRight w:val="0"/>
      <w:marTop w:val="0"/>
      <w:marBottom w:val="0"/>
      <w:divBdr>
        <w:top w:val="none" w:sz="0" w:space="0" w:color="auto"/>
        <w:left w:val="none" w:sz="0" w:space="0" w:color="auto"/>
        <w:bottom w:val="none" w:sz="0" w:space="0" w:color="auto"/>
        <w:right w:val="none" w:sz="0" w:space="0" w:color="auto"/>
      </w:divBdr>
    </w:div>
    <w:div w:id="1610890384">
      <w:bodyDiv w:val="1"/>
      <w:marLeft w:val="0"/>
      <w:marRight w:val="0"/>
      <w:marTop w:val="0"/>
      <w:marBottom w:val="0"/>
      <w:divBdr>
        <w:top w:val="none" w:sz="0" w:space="0" w:color="auto"/>
        <w:left w:val="none" w:sz="0" w:space="0" w:color="auto"/>
        <w:bottom w:val="none" w:sz="0" w:space="0" w:color="auto"/>
        <w:right w:val="none" w:sz="0" w:space="0" w:color="auto"/>
      </w:divBdr>
    </w:div>
    <w:div w:id="1616978466">
      <w:bodyDiv w:val="1"/>
      <w:marLeft w:val="0"/>
      <w:marRight w:val="0"/>
      <w:marTop w:val="0"/>
      <w:marBottom w:val="0"/>
      <w:divBdr>
        <w:top w:val="none" w:sz="0" w:space="0" w:color="auto"/>
        <w:left w:val="none" w:sz="0" w:space="0" w:color="auto"/>
        <w:bottom w:val="none" w:sz="0" w:space="0" w:color="auto"/>
        <w:right w:val="none" w:sz="0" w:space="0" w:color="auto"/>
      </w:divBdr>
    </w:div>
    <w:div w:id="1696343582">
      <w:bodyDiv w:val="1"/>
      <w:marLeft w:val="0"/>
      <w:marRight w:val="0"/>
      <w:marTop w:val="0"/>
      <w:marBottom w:val="0"/>
      <w:divBdr>
        <w:top w:val="none" w:sz="0" w:space="0" w:color="auto"/>
        <w:left w:val="none" w:sz="0" w:space="0" w:color="auto"/>
        <w:bottom w:val="none" w:sz="0" w:space="0" w:color="auto"/>
        <w:right w:val="none" w:sz="0" w:space="0" w:color="auto"/>
      </w:divBdr>
    </w:div>
    <w:div w:id="200902041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emf"/><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emf"/><Relationship Id="rId17" Type="http://schemas.openxmlformats.org/officeDocument/2006/relationships/chart" Target="charts/chart2.xml"/><Relationship Id="rId2" Type="http://schemas.openxmlformats.org/officeDocument/2006/relationships/styles" Target="styles.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9.emf"/><Relationship Id="rId10" Type="http://schemas.openxmlformats.org/officeDocument/2006/relationships/image" Target="media/image4.emf"/><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8.emf"/></Relationships>
</file>

<file path=word/_rels/footer2.xml.rels><?xml version="1.0" encoding="UTF-8" standalone="yes"?>
<Relationships xmlns="http://schemas.openxmlformats.org/package/2006/relationships"><Relationship Id="rId1" Type="http://schemas.openxmlformats.org/officeDocument/2006/relationships/hyperlink" Target="https://www.scotts.com/en-us/library/lawn-care-basics/your-seasonal-guide-lush-lawn"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G:\My%20Drive\UCD\SupplyChainManagement\MiracleGroAssignment\21202634_DurgeshRamani_MiracleGroFinancialAnalysi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G:\My%20Drive\UCD\SupplyChainManagement\MiracleGroAssignment\21202634_DurgeshRamani_MiracleGroFinancialAnalysi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[21202634_DurgeshRamani_MiracleGroFinancialAnalysis.xlsx]CostPieChartUSA!PivotTable1</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pivotFmt>
      <c:pivotFmt>
        <c:idx val="23"/>
        <c:spPr>
          <a:solidFill>
            <a:schemeClr val="accent1"/>
          </a:solidFill>
          <a:ln w="19050">
            <a:solidFill>
              <a:schemeClr val="lt1"/>
            </a:solidFill>
          </a:ln>
          <a:effectLst/>
        </c:spPr>
      </c:pivotFmt>
      <c:pivotFmt>
        <c:idx val="24"/>
        <c:spPr>
          <a:solidFill>
            <a:schemeClr val="accent1"/>
          </a:solidFill>
          <a:ln w="19050">
            <a:solidFill>
              <a:schemeClr val="lt1"/>
            </a:solidFill>
          </a:ln>
          <a:effectLst/>
        </c:spPr>
      </c:pivotFmt>
      <c:pivotFmt>
        <c:idx val="25"/>
        <c:spPr>
          <a:solidFill>
            <a:schemeClr val="accent1"/>
          </a:solidFill>
          <a:ln w="19050">
            <a:solidFill>
              <a:schemeClr val="lt1"/>
            </a:solidFill>
          </a:ln>
          <a:effectLst/>
        </c:spPr>
      </c:pivotFmt>
      <c:pivotFmt>
        <c:idx val="26"/>
        <c:spPr>
          <a:solidFill>
            <a:schemeClr val="accent1"/>
          </a:solidFill>
          <a:ln w="19050">
            <a:solidFill>
              <a:schemeClr val="lt1"/>
            </a:solidFill>
          </a:ln>
          <a:effectLst/>
        </c:spPr>
      </c:pivotFmt>
    </c:pivotFmts>
    <c:plotArea>
      <c:layout/>
      <c:pieChart>
        <c:varyColors val="1"/>
        <c:ser>
          <c:idx val="0"/>
          <c:order val="0"/>
          <c:tx>
            <c:strRef>
              <c:f>CostPieChartUSA!$B$3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72C-4198-A139-6D4EF6DA249D}"/>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72C-4198-A139-6D4EF6DA249D}"/>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72C-4198-A139-6D4EF6DA249D}"/>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72C-4198-A139-6D4EF6DA249D}"/>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972C-4198-A139-6D4EF6DA249D}"/>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972C-4198-A139-6D4EF6DA249D}"/>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972C-4198-A139-6D4EF6DA249D}"/>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972C-4198-A139-6D4EF6DA249D}"/>
              </c:ext>
            </c:extLst>
          </c:dPt>
          <c:cat>
            <c:strRef>
              <c:f>CostPieChartUSA!$A$4:$A$12</c:f>
              <c:strCache>
                <c:ptCount val="8"/>
                <c:pt idx="0">
                  <c:v>Electricity Fixed</c:v>
                </c:pt>
                <c:pt idx="1">
                  <c:v>Electricity Surcharge</c:v>
                </c:pt>
                <c:pt idx="2">
                  <c:v>Labour Salary</c:v>
                </c:pt>
                <c:pt idx="3">
                  <c:v>Labour Temp</c:v>
                </c:pt>
                <c:pt idx="4">
                  <c:v>Lease Cost</c:v>
                </c:pt>
                <c:pt idx="5">
                  <c:v>Overhead 30% of labour + electricity</c:v>
                </c:pt>
                <c:pt idx="6">
                  <c:v>Overhead Fixed</c:v>
                </c:pt>
                <c:pt idx="7">
                  <c:v>Raw Materials</c:v>
                </c:pt>
              </c:strCache>
            </c:strRef>
          </c:cat>
          <c:val>
            <c:numRef>
              <c:f>CostPieChartUSA!$B$4:$B$12</c:f>
              <c:numCache>
                <c:formatCode>General</c:formatCode>
                <c:ptCount val="8"/>
                <c:pt idx="0">
                  <c:v>1280000</c:v>
                </c:pt>
                <c:pt idx="1">
                  <c:v>200000</c:v>
                </c:pt>
                <c:pt idx="2">
                  <c:v>2000000</c:v>
                </c:pt>
                <c:pt idx="3">
                  <c:v>6591000</c:v>
                </c:pt>
                <c:pt idx="4">
                  <c:v>3000000</c:v>
                </c:pt>
                <c:pt idx="5">
                  <c:v>3021300</c:v>
                </c:pt>
                <c:pt idx="6">
                  <c:v>1000000</c:v>
                </c:pt>
                <c:pt idx="7">
                  <c:v>0</c:v>
                </c:pt>
              </c:numCache>
            </c:numRef>
          </c:val>
          <c:extLst>
            <c:ext xmlns:c16="http://schemas.microsoft.com/office/drawing/2014/chart" uri="{C3380CC4-5D6E-409C-BE32-E72D297353CC}">
              <c16:uniqueId val="{00000010-972C-4198-A139-6D4EF6DA249D}"/>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[21202634_DurgeshRamani_MiracleGroFinancialAnalysis.xlsx]CostPieChartOutsource!PivotTable2</c:name>
    <c:fmtId val="-1"/>
  </c:pivotSource>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pivotFmt>
      <c:pivotFmt>
        <c:idx val="2"/>
        <c:spPr>
          <a:solidFill>
            <a:schemeClr val="accent1"/>
          </a:solidFill>
          <a:ln w="19050">
            <a:solidFill>
              <a:schemeClr val="lt1"/>
            </a:solidFill>
          </a:ln>
          <a:effectLst/>
        </c:spPr>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pivotFmt>
      <c:pivotFmt>
        <c:idx val="7"/>
        <c:spPr>
          <a:solidFill>
            <a:schemeClr val="accent1"/>
          </a:solidFill>
          <a:ln w="19050">
            <a:solidFill>
              <a:schemeClr val="lt1"/>
            </a:solidFill>
          </a:ln>
          <a:effectLst/>
        </c:spPr>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pivotFmt>
      <c:pivotFmt>
        <c:idx val="10"/>
        <c:spPr>
          <a:solidFill>
            <a:schemeClr val="accent1"/>
          </a:solidFill>
          <a:ln w="19050">
            <a:solidFill>
              <a:schemeClr val="lt1"/>
            </a:solidFill>
          </a:ln>
          <a:effectLst/>
        </c:spPr>
      </c:pivotFmt>
      <c:pivotFmt>
        <c:idx val="1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2"/>
        <c:spPr>
          <a:solidFill>
            <a:schemeClr val="accent1"/>
          </a:solidFill>
          <a:ln w="19050">
            <a:solidFill>
              <a:schemeClr val="lt1"/>
            </a:solidFill>
          </a:ln>
          <a:effectLst/>
        </c:spPr>
      </c:pivotFmt>
      <c:pivotFmt>
        <c:idx val="13"/>
        <c:spPr>
          <a:solidFill>
            <a:schemeClr val="accent1"/>
          </a:solidFill>
          <a:ln w="19050">
            <a:solidFill>
              <a:schemeClr val="lt1"/>
            </a:solidFill>
          </a:ln>
          <a:effectLst/>
        </c:spPr>
      </c:pivotFmt>
      <c:pivotFmt>
        <c:idx val="14"/>
        <c:spPr>
          <a:solidFill>
            <a:schemeClr val="accent1"/>
          </a:solidFill>
          <a:ln w="19050">
            <a:solidFill>
              <a:schemeClr val="lt1"/>
            </a:solidFill>
          </a:ln>
          <a:effectLst/>
        </c:spPr>
      </c:pivotFmt>
      <c:pivotFmt>
        <c:idx val="15"/>
        <c:spPr>
          <a:solidFill>
            <a:schemeClr val="accent1"/>
          </a:solidFill>
          <a:ln w="19050">
            <a:solidFill>
              <a:schemeClr val="lt1"/>
            </a:solidFill>
          </a:ln>
          <a:effectLst/>
        </c:spPr>
      </c:pivotFmt>
      <c:pivotFmt>
        <c:idx val="16"/>
        <c:spPr>
          <a:solidFill>
            <a:schemeClr val="accent1"/>
          </a:solidFill>
          <a:ln w="19050">
            <a:solidFill>
              <a:schemeClr val="lt1"/>
            </a:solidFill>
          </a:ln>
          <a:effectLst/>
        </c:spPr>
      </c:pivotFmt>
      <c:pivotFmt>
        <c:idx val="17"/>
        <c:spPr>
          <a:solidFill>
            <a:schemeClr val="accent1"/>
          </a:solidFill>
          <a:ln w="19050">
            <a:solidFill>
              <a:schemeClr val="lt1"/>
            </a:solidFill>
          </a:ln>
          <a:effectLst/>
        </c:spPr>
      </c:pivotFmt>
      <c:pivotFmt>
        <c:idx val="18"/>
        <c:spPr>
          <a:solidFill>
            <a:schemeClr val="accent1"/>
          </a:solidFill>
          <a:ln w="19050">
            <a:solidFill>
              <a:schemeClr val="lt1"/>
            </a:solidFill>
          </a:ln>
          <a:effectLst/>
        </c:spPr>
      </c:pivotFmt>
      <c:pivotFmt>
        <c:idx val="19"/>
        <c:spPr>
          <a:solidFill>
            <a:schemeClr val="accent1"/>
          </a:solidFill>
          <a:ln w="19050">
            <a:solidFill>
              <a:schemeClr val="lt1"/>
            </a:solidFill>
          </a:ln>
          <a:effectLst/>
        </c:spPr>
      </c:pivotFmt>
      <c:pivotFmt>
        <c:idx val="20"/>
        <c:spPr>
          <a:solidFill>
            <a:schemeClr val="accent1"/>
          </a:solidFill>
          <a:ln w="19050">
            <a:solidFill>
              <a:schemeClr val="lt1"/>
            </a:solidFill>
          </a:ln>
          <a:effectLst/>
        </c:spPr>
      </c:pivotFmt>
      <c:pivotFmt>
        <c:idx val="21"/>
        <c:spPr>
          <a:solidFill>
            <a:schemeClr val="accent1"/>
          </a:solidFill>
          <a:ln w="19050">
            <a:solidFill>
              <a:schemeClr val="lt1"/>
            </a:solidFill>
          </a:ln>
          <a:effectLst/>
        </c:spPr>
      </c:pivotFmt>
      <c:pivotFmt>
        <c:idx val="22"/>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3"/>
        <c:spPr>
          <a:solidFill>
            <a:schemeClr val="accent1"/>
          </a:solidFill>
          <a:ln w="19050">
            <a:solidFill>
              <a:schemeClr val="lt1"/>
            </a:solidFill>
          </a:ln>
          <a:effectLst/>
        </c:spPr>
      </c:pivotFmt>
      <c:pivotFmt>
        <c:idx val="24"/>
        <c:spPr>
          <a:solidFill>
            <a:schemeClr val="accent1"/>
          </a:solidFill>
          <a:ln w="19050">
            <a:solidFill>
              <a:schemeClr val="lt1"/>
            </a:solidFill>
          </a:ln>
          <a:effectLst/>
        </c:spPr>
      </c:pivotFmt>
      <c:pivotFmt>
        <c:idx val="25"/>
        <c:spPr>
          <a:solidFill>
            <a:schemeClr val="accent1"/>
          </a:solidFill>
          <a:ln w="19050">
            <a:solidFill>
              <a:schemeClr val="lt1"/>
            </a:solidFill>
          </a:ln>
          <a:effectLst/>
        </c:spPr>
      </c:pivotFmt>
      <c:pivotFmt>
        <c:idx val="26"/>
        <c:spPr>
          <a:solidFill>
            <a:schemeClr val="accent1"/>
          </a:solidFill>
          <a:ln w="19050">
            <a:solidFill>
              <a:schemeClr val="lt1"/>
            </a:solidFill>
          </a:ln>
          <a:effectLst/>
        </c:spPr>
      </c:pivotFmt>
      <c:pivotFmt>
        <c:idx val="27"/>
        <c:spPr>
          <a:solidFill>
            <a:schemeClr val="accent1"/>
          </a:solidFill>
          <a:ln w="19050">
            <a:solidFill>
              <a:schemeClr val="lt1"/>
            </a:solidFill>
          </a:ln>
          <a:effectLst/>
        </c:spPr>
      </c:pivotFmt>
      <c:pivotFmt>
        <c:idx val="28"/>
        <c:spPr>
          <a:solidFill>
            <a:schemeClr val="accent1"/>
          </a:solidFill>
          <a:ln w="19050">
            <a:solidFill>
              <a:schemeClr val="lt1"/>
            </a:solidFill>
          </a:ln>
          <a:effectLst/>
        </c:spPr>
      </c:pivotFmt>
      <c:pivotFmt>
        <c:idx val="29"/>
        <c:spPr>
          <a:solidFill>
            <a:schemeClr val="accent1"/>
          </a:solidFill>
          <a:ln w="19050">
            <a:solidFill>
              <a:schemeClr val="lt1"/>
            </a:solidFill>
          </a:ln>
          <a:effectLst/>
        </c:spPr>
      </c:pivotFmt>
      <c:pivotFmt>
        <c:idx val="30"/>
        <c:spPr>
          <a:solidFill>
            <a:schemeClr val="accent1"/>
          </a:solidFill>
          <a:ln w="19050">
            <a:solidFill>
              <a:schemeClr val="lt1"/>
            </a:solidFill>
          </a:ln>
          <a:effectLst/>
        </c:spPr>
      </c:pivotFmt>
      <c:pivotFmt>
        <c:idx val="31"/>
        <c:spPr>
          <a:solidFill>
            <a:schemeClr val="accent1"/>
          </a:solidFill>
          <a:ln w="19050">
            <a:solidFill>
              <a:schemeClr val="lt1"/>
            </a:solidFill>
          </a:ln>
          <a:effectLst/>
        </c:spPr>
      </c:pivotFmt>
      <c:pivotFmt>
        <c:idx val="32"/>
        <c:spPr>
          <a:solidFill>
            <a:schemeClr val="accent1"/>
          </a:solidFill>
          <a:ln w="19050">
            <a:solidFill>
              <a:schemeClr val="lt1"/>
            </a:solidFill>
          </a:ln>
          <a:effectLst/>
        </c:spPr>
      </c:pivotFmt>
    </c:pivotFmts>
    <c:plotArea>
      <c:layout/>
      <c:pieChart>
        <c:varyColors val="1"/>
        <c:ser>
          <c:idx val="0"/>
          <c:order val="0"/>
          <c:tx>
            <c:strRef>
              <c:f>CostPieChartOutsource!$B$3</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6B5D-489D-A0D6-C3E29009A5D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6B5D-489D-A0D6-C3E29009A5D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6B5D-489D-A0D6-C3E29009A5D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6B5D-489D-A0D6-C3E29009A5D9}"/>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6B5D-489D-A0D6-C3E29009A5D9}"/>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6B5D-489D-A0D6-C3E29009A5D9}"/>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6B5D-489D-A0D6-C3E29009A5D9}"/>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6B5D-489D-A0D6-C3E29009A5D9}"/>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6B5D-489D-A0D6-C3E29009A5D9}"/>
              </c:ext>
            </c:extLst>
          </c:dPt>
          <c:dPt>
            <c:idx val="9"/>
            <c:bubble3D val="0"/>
            <c:spPr>
              <a:solidFill>
                <a:schemeClr val="accent4">
                  <a:lumMod val="60000"/>
                </a:schemeClr>
              </a:solidFill>
              <a:ln w="19050">
                <a:solidFill>
                  <a:schemeClr val="lt1"/>
                </a:solidFill>
              </a:ln>
              <a:effectLst/>
            </c:spPr>
            <c:extLst>
              <c:ext xmlns:c16="http://schemas.microsoft.com/office/drawing/2014/chart" uri="{C3380CC4-5D6E-409C-BE32-E72D297353CC}">
                <c16:uniqueId val="{00000013-6B5D-489D-A0D6-C3E29009A5D9}"/>
              </c:ext>
            </c:extLst>
          </c:dPt>
          <c:cat>
            <c:strRef>
              <c:f>CostPieChartOutsource!$A$4:$A$14</c:f>
              <c:strCache>
                <c:ptCount val="10"/>
                <c:pt idx="0">
                  <c:v>Contractor Margin (8%)</c:v>
                </c:pt>
                <c:pt idx="1">
                  <c:v>Direct Labour Cost (40% in 10 years)</c:v>
                </c:pt>
                <c:pt idx="2">
                  <c:v>Electricity (20% in 10 years)</c:v>
                </c:pt>
                <c:pt idx="3">
                  <c:v>Freight </c:v>
                </c:pt>
                <c:pt idx="4">
                  <c:v>Freight Offset</c:v>
                </c:pt>
                <c:pt idx="5">
                  <c:v>Lead time offset stock</c:v>
                </c:pt>
                <c:pt idx="6">
                  <c:v>Lease Cost</c:v>
                </c:pt>
                <c:pt idx="7">
                  <c:v>Overhead (50% of direct labour)</c:v>
                </c:pt>
                <c:pt idx="8">
                  <c:v>Overhead Fixed (HQ)</c:v>
                </c:pt>
                <c:pt idx="9">
                  <c:v>Raw Materials</c:v>
                </c:pt>
              </c:strCache>
            </c:strRef>
          </c:cat>
          <c:val>
            <c:numRef>
              <c:f>CostPieChartOutsource!$B$4:$B$14</c:f>
              <c:numCache>
                <c:formatCode>General</c:formatCode>
                <c:ptCount val="10"/>
                <c:pt idx="0">
                  <c:v>110318.26560000001</c:v>
                </c:pt>
                <c:pt idx="1">
                  <c:v>439318.88</c:v>
                </c:pt>
                <c:pt idx="2">
                  <c:v>520000</c:v>
                </c:pt>
                <c:pt idx="3">
                  <c:v>8741816</c:v>
                </c:pt>
                <c:pt idx="4">
                  <c:v>-1000000</c:v>
                </c:pt>
                <c:pt idx="5">
                  <c:v>460000</c:v>
                </c:pt>
                <c:pt idx="6">
                  <c:v>200000</c:v>
                </c:pt>
                <c:pt idx="7">
                  <c:v>219659.44</c:v>
                </c:pt>
                <c:pt idx="8">
                  <c:v>1000000</c:v>
                </c:pt>
                <c:pt idx="9">
                  <c:v>100000</c:v>
                </c:pt>
              </c:numCache>
            </c:numRef>
          </c:val>
          <c:extLst>
            <c:ext xmlns:c16="http://schemas.microsoft.com/office/drawing/2014/chart" uri="{C3380CC4-5D6E-409C-BE32-E72D297353CC}">
              <c16:uniqueId val="{00000014-6B5D-489D-A0D6-C3E29009A5D9}"/>
            </c:ext>
          </c:extLst>
        </c:ser>
        <c:dLbls>
          <c:showLegendKey val="0"/>
          <c:showVal val="0"/>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883</TotalTime>
  <Pages>6</Pages>
  <Words>2654</Words>
  <Characters>15129</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Durgesh R</cp:lastModifiedBy>
  <cp:revision>37</cp:revision>
  <dcterms:created xsi:type="dcterms:W3CDTF">2017-10-03T09:15:00Z</dcterms:created>
  <dcterms:modified xsi:type="dcterms:W3CDTF">2021-10-15T04:14:00Z</dcterms:modified>
</cp:coreProperties>
</file>