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2240"/>
            <w:vAlign w:val="center"/>
            <w:shd w:fill="082E23"/>
            <w:tcMar>
              <w:top w:w="720" w:type="dxa"/>
              <w:start w:w="720" w:type="dxa"/>
              <w:bottom w:w="640" w:type="dxa"/>
              <w:end w:w="720" w:type="dxa"/>
            </w:tcMar>
          </w:tcPr>
          <w:p>
            <w:pPr>
              <w:spacing w:after="320"/>
              <w:jc w:val="left"/>
            </w:pPr>
            <w:r>
              <w:rPr>
                <w:rFonts w:ascii="Aptos" w:hAnsi="Aptos"/>
                <w:b/>
                <w:color w:val="75E1D1"/>
                <w:sz w:val="20"/>
              </w:rPr>
              <w:t>ENTERPRISE TRANSFORMATION PORTFOLIO</w:t>
            </w:r>
          </w:p>
          <w:p>
            <w:pPr>
              <w:pStyle w:val="Title"/>
              <w:spacing w:after="240"/>
            </w:pPr>
            <w:r>
              <w:t>M&amp;A IT Integration Playbooks</w:t>
            </w:r>
          </w:p>
          <w:p>
            <w:pPr>
              <w:spacing w:after="360"/>
            </w:pPr>
            <w:r>
              <w:rPr>
                <w:color w:val="DDF4F0"/>
                <w:sz w:val="26"/>
              </w:rPr>
              <w:t>A complete, anonymized program from clean-team discovery and Day 1 through secure convergence, decommissioning, and benefits ownership.</w:t>
            </w:r>
          </w:p>
          <w:p>
            <w:pPr>
              <w:spacing w:after="440"/>
            </w:pPr>
            <w:r>
              <w:rPr>
                <w:b/>
                <w:color w:val="FFFFFF"/>
                <w:sz w:val="20"/>
              </w:rPr>
              <w:t>Agile · Predictive / Waterfall — PMBOK Guide Eighth Edition aligned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3060"/>
              <w:gridCol w:w="3060"/>
              <w:gridCol w:w="3060"/>
              <w:gridCol w:w="3060"/>
            </w:tblGrid>
            <w:tr>
              <w:tc>
                <w:tcPr>
                  <w:tcW w:type="dxa" w:w="3060"/>
                  <w:shd w:fill="0D4938"/>
                  <w:tcMar>
                    <w:top w:w="120" w:type="dxa"/>
                    <w:start w:w="120" w:type="dxa"/>
                    <w:bottom w:w="120" w:type="dxa"/>
                    <w:end w:w="120" w:type="dxa"/>
                  </w:tcMar>
                </w:tcPr>
                <w:p>
                  <w:r>
                    <w:rPr>
                      <w:b/>
                      <w:color w:val="83E5D6"/>
                      <w:sz w:val="30"/>
                    </w:rPr>
                    <w:t>680</w:t>
                  </w:r>
                </w:p>
                <w:p>
                  <w:r>
                    <w:rPr>
                      <w:color w:val="D6EAE5"/>
                      <w:sz w:val="15"/>
                    </w:rPr>
                    <w:t>workers</w:t>
                  </w:r>
                </w:p>
              </w:tc>
              <w:tc>
                <w:tcPr>
                  <w:tcW w:type="dxa" w:w="3060"/>
                  <w:shd w:fill="0D4938"/>
                  <w:tcMar>
                    <w:top w:w="120" w:type="dxa"/>
                    <w:start w:w="120" w:type="dxa"/>
                    <w:bottom w:w="120" w:type="dxa"/>
                    <w:end w:w="120" w:type="dxa"/>
                  </w:tcMar>
                </w:tcPr>
                <w:p>
                  <w:r>
                    <w:rPr>
                      <w:b/>
                      <w:color w:val="83E5D6"/>
                      <w:sz w:val="30"/>
                    </w:rPr>
                    <w:t>745</w:t>
                  </w:r>
                </w:p>
                <w:p>
                  <w:r>
                    <w:rPr>
                      <w:color w:val="D6EAE5"/>
                      <w:sz w:val="15"/>
                    </w:rPr>
                    <w:t>endpoints</w:t>
                  </w:r>
                </w:p>
              </w:tc>
              <w:tc>
                <w:tcPr>
                  <w:tcW w:type="dxa" w:w="3060"/>
                  <w:shd w:fill="0D4938"/>
                  <w:tcMar>
                    <w:top w:w="120" w:type="dxa"/>
                    <w:start w:w="120" w:type="dxa"/>
                    <w:bottom w:w="120" w:type="dxa"/>
                    <w:end w:w="120" w:type="dxa"/>
                  </w:tcMar>
                </w:tcPr>
                <w:p>
                  <w:r>
                    <w:rPr>
                      <w:b/>
                      <w:color w:val="83E5D6"/>
                      <w:sz w:val="30"/>
                    </w:rPr>
                    <w:t>142</w:t>
                  </w:r>
                </w:p>
                <w:p>
                  <w:r>
                    <w:rPr>
                      <w:color w:val="D6EAE5"/>
                      <w:sz w:val="15"/>
                    </w:rPr>
                    <w:t>applications</w:t>
                  </w:r>
                </w:p>
              </w:tc>
              <w:tc>
                <w:tcPr>
                  <w:tcW w:type="dxa" w:w="3060"/>
                  <w:shd w:fill="0D4938"/>
                  <w:tcMar>
                    <w:top w:w="120" w:type="dxa"/>
                    <w:start w:w="120" w:type="dxa"/>
                    <w:bottom w:w="120" w:type="dxa"/>
                    <w:end w:w="120" w:type="dxa"/>
                  </w:tcMar>
                </w:tcPr>
                <w:p>
                  <w:r>
                    <w:rPr>
                      <w:b/>
                      <w:color w:val="83E5D6"/>
                      <w:sz w:val="30"/>
                    </w:rPr>
                    <w:t>$1.86M</w:t>
                  </w:r>
                </w:p>
                <w:p>
                  <w:r>
                    <w:rPr>
                      <w:color w:val="D6EAE5"/>
                      <w:sz w:val="15"/>
                    </w:rPr>
                    <w:t>modeled authorization</w:t>
                  </w:r>
                </w:p>
              </w:tc>
            </w:tr>
          </w:tbl>
          <w:p/>
          <w:p>
            <w:pPr>
              <w:spacing w:before="480"/>
            </w:pPr>
            <w:r>
              <w:rPr>
                <w:b/>
                <w:color w:val="75E1D1"/>
                <w:sz w:val="16"/>
              </w:rPr>
              <w:t>PORTFOLIO GUIDE · AUGUST 2026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How to read this portfolio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0C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82E23"/>
              </w:rPr>
              <w:t>Truth boundary</w:t>
            </w:r>
          </w:p>
          <w:p>
            <w:pPr>
              <w:spacing w:after="0"/>
            </w:pPr>
            <w:r>
              <w:rPr>
                <w:sz w:val="17"/>
              </w:rPr>
              <w:t>Company ABC and Company XYZ are fictional. All project dates, quantities, costs, performance, and decisions are scenario assumptions. Verified experience is separated from case results; product and standards references are current primary-source guidance as of August 25, 2026.</w:t>
            </w:r>
          </w:p>
        </w:tc>
      </w:tr>
    </w:tbl>
    <w:p>
      <w:pPr>
        <w:spacing w:after="0"/>
      </w:pPr>
    </w:p>
    <w:p>
      <w:pPr>
        <w:spacing w:before="240"/>
        <w:keepNext/>
      </w:pPr>
      <w:r>
        <w:rPr>
          <w:b/>
          <w:color w:val="082E23"/>
          <w:sz w:val="18"/>
        </w:rPr>
        <w:t>Table 1. Evidence classes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88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Class</w:t>
            </w:r>
          </w:p>
        </w:tc>
        <w:tc>
          <w:tcPr>
            <w:tcW w:type="dxa" w:w="3672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3816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Example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Verified experience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Supported by supplied resume/profile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Nine M&amp;A endpoint integrations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Public source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Authoritative current guidance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PMI PMBOK 8; NIST CSF 2.0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Scenario assumption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Fictional planning input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680 workers; $1.86M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Derived calculation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Arithmetic from disclosed inputs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665 / 680 = 97.8%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Unknown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Requires discovery, approval, test, contract, or source record</w:t>
            </w:r>
          </w:p>
        </w:tc>
        <w:tc>
          <w:tcPr>
            <w:tcW w:type="dxa" w:w="381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Mailbox volume; legal-hold population</w:t>
            </w:r>
          </w:p>
        </w:tc>
      </w:tr>
    </w:tbl>
    <w:p>
      <w:pPr>
        <w:spacing w:after="0"/>
      </w:pPr>
    </w:p>
    <w:p>
      <w:r>
        <w:t>The website contains the full artifact library and filterable workbook. This guide is the executive field manual: it shows the control architecture, method differences, key registers, and decision rules.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F3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82E23"/>
              </w:rPr>
              <w:t>Reusable template fields</w:t>
            </w:r>
          </w:p>
          <w:p>
            <w:pPr>
              <w:spacing w:after="0"/>
            </w:pPr>
            <w:r>
              <w:rPr>
                <w:sz w:val="17"/>
              </w:rPr>
              <w:t>deal thesis · close date · clean-team rules · headcount/sites/devices/apps · target state · success measures · method rationale</w:t>
            </w:r>
          </w:p>
        </w:tc>
      </w:tr>
    </w:tbl>
    <w:p>
      <w:pPr>
        <w:spacing w:after="0"/>
      </w:pPr>
    </w:p>
    <w:p>
      <w:pPr>
        <w:pStyle w:val="Heading1"/>
        <w:pageBreakBefore/>
        <w:keepNext/>
      </w:pPr>
      <w:r>
        <w:t>Scenario and outcome architecture</w:t>
      </w:r>
    </w:p>
    <w:p>
      <w:pPr>
        <w:spacing w:before="240"/>
        <w:keepNext/>
      </w:pPr>
      <w:r>
        <w:rPr>
          <w:b/>
          <w:color w:val="082E23"/>
          <w:sz w:val="18"/>
        </w:rPr>
        <w:t>Table 2. Scenario at a glance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72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3528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Filled example</w:t>
            </w:r>
          </w:p>
        </w:tc>
        <w:tc>
          <w:tcPr>
            <w:tcW w:type="dxa" w:w="4176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Acceptance truth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Day 1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680 workers across three offices and remote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665 fully ready; 15 owned exceptions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Identity/endpoints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Company ABC target; temporary bridge; 745 endpoints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Unique identity, MFA, device path, least privilege, logs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Network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Three sites, two clouds, four subnet collisions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No unresolved overlap; restricted, redundant, observable flows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Collaboration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Google Workspace, Slack, Asana, Jira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Counts, samples, permissions, holds, integrations, business acceptance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Applications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142 discovered; 37 overlaps; 22 targeted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Owner, criticality, disposition, dependency, contract and evidence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Financial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$1.860M baseline; $1.782M forecast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Planning assumption; Finance validates actual/realized value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Experience that informs the design</w:t>
      </w:r>
    </w:p>
    <w:p>
      <w:pPr>
        <w:pStyle w:val="ListBullet"/>
        <w:spacing w:after="50"/>
      </w:pPr>
      <w:r>
        <w:t>Nine enterprise M&amp;A endpoint integrations covering standards, access, onboarding, tooling, support, and continuity.</w:t>
      </w:r>
    </w:p>
    <w:p>
      <w:pPr>
        <w:pStyle w:val="ListBullet"/>
        <w:spacing w:after="50"/>
      </w:pPr>
      <w:r>
        <w:t>Digital-workplace leadership across 37,000 Macs and 300,000 Windows endpoints with modern management and telemetry.</w:t>
      </w:r>
    </w:p>
    <w:p>
      <w:pPr>
        <w:pStyle w:val="ListBullet"/>
        <w:spacing w:after="50"/>
      </w:pPr>
      <w:r>
        <w:t>Collaboration-platform work spanning Google Workspace, Slack, Box, Microsoft 365, Teams, OneDrive, Jira, and Confluence.</w:t>
      </w:r>
    </w:p>
    <w:p>
      <w:pPr>
        <w:pStyle w:val="ListBullet"/>
        <w:spacing w:after="50"/>
      </w:pPr>
      <w:r>
        <w:t>A 45-person portfolio, $14 million financial responsibility, vendor savings, security/audit partnership, endpoint standards, and cross-functional delivery.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6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82E23"/>
              </w:rPr>
              <w:t>What this does not claim</w:t>
            </w:r>
          </w:p>
          <w:p>
            <w:pPr>
              <w:spacing w:after="0"/>
            </w:pPr>
            <w:r>
              <w:rPr>
                <w:sz w:val="17"/>
              </w:rPr>
              <w:t>The modeled Company ABC/XYZ project, quantities, dates, costs, migration results, and closeout are not presented as a prior employer engagement.</w:t>
            </w:r>
          </w:p>
        </w:tc>
      </w:tr>
    </w:tbl>
    <w:p>
      <w:pPr>
        <w:spacing w:after="0"/>
      </w:pPr>
    </w:p>
    <w:p>
      <w:pPr>
        <w:pStyle w:val="Heading1"/>
        <w:pageBreakBefore/>
        <w:keepNext/>
      </w:pPr>
      <w:r>
        <w:t>Agile playbook</w:t>
      </w:r>
    </w:p>
    <w:p>
      <w:r>
        <w:t>Product Goal: acquired workers perform priority work securely on Day 1, then Company ABC progressively converges technology and removes temporary risk and cost with measured acceptance.</w:t>
      </w:r>
    </w:p>
    <w:p>
      <w:pPr>
        <w:spacing w:before="240"/>
        <w:keepNext/>
      </w:pPr>
      <w:r>
        <w:rPr>
          <w:b/>
          <w:color w:val="082E23"/>
          <w:sz w:val="18"/>
        </w:rPr>
        <w:t>Table 3. Agile operating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3888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Filled example</w:t>
            </w:r>
          </w:p>
        </w:tc>
        <w:tc>
          <w:tcPr>
            <w:tcW w:type="dxa" w:w="3888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Evidence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Cadence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Ten two-week Sprints; reviews, retrospectives, twice-weekly dependencies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Sprint goal, accepted Increment, decision log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Releases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Foundation; Day 1; migration waves; convergence/closure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Release outcome and shared gate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Backlog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Outcome, owner, priority, acceptance, risk, dependency, evidence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One ordered integration backlog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Quality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Definition of Ready/Done includes security, data, business, operations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No tool-success-only completion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Metrics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Outcome burn-up, cycle time, throughput, defects, blockers, budget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Three Sprints: 176/186 forecast points; P85 6.9 days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Agile gate tension</w:t>
      </w:r>
    </w:p>
    <w:p>
      <w:r>
        <w:t>Legal close, Day 1, security/privacy approval, contract dates, and destructive decommission actions are fixed constraints. Discovery and solution work are adaptive. The backlog may reorder work; it may not delete control evidence to protect velocity.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F3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82E23"/>
              </w:rPr>
              <w:t>Reusable template fields</w:t>
            </w:r>
          </w:p>
          <w:p>
            <w:pPr>
              <w:spacing w:after="0"/>
            </w:pPr>
            <w:r>
              <w:rPr>
                <w:sz w:val="17"/>
              </w:rPr>
              <w:t>Product Goal · value streams · Sprint length/events · release map · backlog schema · DoR/DoD · metrics · fixed constraints</w:t>
            </w:r>
          </w:p>
        </w:tc>
      </w:tr>
    </w:tbl>
    <w:p>
      <w:pPr>
        <w:spacing w:after="0"/>
      </w:pPr>
    </w:p>
    <w:p>
      <w:pPr>
        <w:pStyle w:val="Heading1"/>
        <w:pageBreakBefore/>
        <w:keepNext/>
      </w:pPr>
      <w:r>
        <w:t>Predictive / Waterfall playbook</w:t>
      </w:r>
    </w:p>
    <w:p>
      <w:r>
        <w:t>PMBOK Guide Eighth Edition is delivery-approach neutral. This playbook is called Predictive / Waterfall because it uses formal scope, WBS, schedule and cost baselines, sequenced stage gates, integrated change control, quality assurance, and earned value reporting.</w:t>
      </w:r>
    </w:p>
    <w:p>
      <w:pPr>
        <w:spacing w:before="240"/>
        <w:keepNext/>
      </w:pPr>
      <w:r>
        <w:rPr>
          <w:b/>
          <w:color w:val="082E23"/>
          <w:sz w:val="18"/>
        </w:rPr>
        <w:t>Table 4. PMBOK 8 application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72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4176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Portfolio application</w:t>
            </w:r>
          </w:p>
        </w:tc>
        <w:tc>
          <w:tcPr>
            <w:tcW w:type="dxa" w:w="3528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Primary evidence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Six principles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Holistic view, value, embedded quality, accountability, sustainability, empowered teams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Charter, acceptance, governance, closure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Seven domains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Governance, scope, schedule, finance, stakeholders, resources, risk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Baselines, owners, measures and registers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Process groups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Initiating, Planning, Executing, Monitoring/Controlling, Closing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Lifecycle and gate sequence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Tailoring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Formal legal/security/data/decommission gates; rolling-wave detail for unknowns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Tailoring statement and change thresholds</w:t>
            </w:r>
          </w:p>
        </w:tc>
      </w:tr>
    </w:tbl>
    <w:p>
      <w:pPr>
        <w:spacing w:after="0"/>
      </w:pPr>
    </w:p>
    <w:p>
      <w:pPr>
        <w:spacing w:before="240"/>
        <w:keepNext/>
      </w:pPr>
      <w:r>
        <w:rPr>
          <w:b/>
          <w:color w:val="082E23"/>
          <w:sz w:val="18"/>
        </w:rPr>
        <w:t>Table 5. Predictive performance checkpoint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72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Measure</w:t>
            </w:r>
          </w:p>
        </w:tc>
        <w:tc>
          <w:tcPr>
            <w:tcW w:type="dxa" w:w="3168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4536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Interpretation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SPI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0.97 at Week 12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Schedule watch; Week 24 unchanged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CPI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1.02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Cost favorable; never substitutes for acceptance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EAC / VAC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$1.782M / $78K favorable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Fictional; update from source financial records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Critical control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Jira production cohort held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Quality gate prevents premature release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F3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82E23"/>
              </w:rPr>
              <w:t>Reusable template fields</w:t>
            </w:r>
          </w:p>
          <w:p>
            <w:pPr>
              <w:spacing w:after="0"/>
            </w:pPr>
            <w:r>
              <w:rPr>
                <w:sz w:val="17"/>
              </w:rPr>
              <w:t>tailoring · WBS/control accounts · IMS/critical path · cost baseline/EVM · stage gates · quality · change thresholds · closure</w:t>
            </w:r>
          </w:p>
        </w:tc>
      </w:tr>
    </w:tbl>
    <w:p>
      <w:pPr>
        <w:spacing w:after="0"/>
      </w:pPr>
    </w:p>
    <w:p>
      <w:pPr>
        <w:pStyle w:val="Heading1"/>
        <w:pageBreakBefore/>
        <w:keepNext/>
      </w:pPr>
      <w:r>
        <w:t>Shared control pack</w:t>
      </w:r>
    </w:p>
    <w:p>
      <w:pPr>
        <w:spacing w:before="240"/>
        <w:keepNext/>
      </w:pPr>
      <w:r>
        <w:rPr>
          <w:b/>
          <w:color w:val="082E23"/>
          <w:sz w:val="18"/>
        </w:rPr>
        <w:t>Table 6. Shared artifacts and accountable questions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88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Artifact</w:t>
            </w:r>
          </w:p>
        </w:tc>
        <w:tc>
          <w:tcPr>
            <w:tcW w:type="dxa" w:w="3744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Question it answers</w:t>
            </w:r>
          </w:p>
        </w:tc>
        <w:tc>
          <w:tcPr>
            <w:tcW w:type="dxa" w:w="3744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Completion evidence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Charter/governance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What is authorized; who decides?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Signed outcomes, limits, forums, thresholds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Day 1 plan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Can every worker perform priority work?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Roster/persona/device/access/support evidence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Identity/access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Is the identity bridge controlled and temporary?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Unique IDs, least privilege, privileged review, expiry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Network/infrastructure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Can required traffic flow safely and observably?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Collision, DNS, route, rule, failover and log tests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Collaboration migration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Is content usable, permitted, retained and integrated?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Counts, samples, permissions, holds, bots/webhooks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Application rationalization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Does every app have a safe target disposition?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142/142 owner, decision, dependency and exit evidence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Security/privacy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Are risk, data and legal controls embedded?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NIST CSF outcomes, data approvals, risk acceptance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Cutover/hypercare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Can we stop, recover and hand off?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Time-stamped runbook, triggers, rollback and service acceptance</w:t>
            </w:r>
          </w:p>
        </w:tc>
      </w:tr>
    </w:tbl>
    <w:p>
      <w:pPr>
        <w:spacing w:after="0"/>
      </w:pPr>
    </w:p>
    <w:p>
      <w:pPr>
        <w:pStyle w:val="Heading1"/>
        <w:pageBreakBefore/>
        <w:keepNext/>
      </w:pPr>
      <w:r>
        <w:t>Day 1 readiness and support</w:t>
      </w:r>
    </w:p>
    <w:p>
      <w:pPr>
        <w:spacing w:before="240"/>
        <w:keepNext/>
      </w:pPr>
      <w:r>
        <w:rPr>
          <w:b/>
          <w:color w:val="082E23"/>
          <w:sz w:val="18"/>
        </w:rPr>
        <w:t>Table 7. Modeled Day 1 readiness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1944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Cohort</w:t>
            </w:r>
          </w:p>
        </w:tc>
        <w:tc>
          <w:tcPr>
            <w:tcW w:type="dxa" w:w="1152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Population</w:t>
            </w:r>
          </w:p>
        </w:tc>
        <w:tc>
          <w:tcPr>
            <w:tcW w:type="dxa" w:w="1656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Fully ready</w:t>
            </w:r>
          </w:p>
        </w:tc>
        <w:tc>
          <w:tcPr>
            <w:tcW w:type="dxa" w:w="1152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Exceptions</w:t>
            </w:r>
          </w:p>
        </w:tc>
        <w:tc>
          <w:tcPr>
            <w:tcW w:type="dxa" w:w="3672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Control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HQ Site A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280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272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8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Loaners + temporary approved access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Office Site B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190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186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4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Site runner + spares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Office Site C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110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107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3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Concierge appointments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Remote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100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100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0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Courier + virtual support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Total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680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665 (97.8%)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15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Every exception has owner/workaround/expiry</w:t>
            </w:r>
          </w:p>
        </w:tc>
      </w:tr>
    </w:tbl>
    <w:p>
      <w:pPr>
        <w:spacing w:after="0"/>
      </w:pPr>
    </w:p>
    <w:p>
      <w:pPr>
        <w:pStyle w:val="ListBullet"/>
        <w:spacing w:after="50"/>
      </w:pPr>
      <w:r>
        <w:t>Freeze and reconcile HR roster at T-10, T-3 and T-0; resolve duplicates, contractors, managers, personas, sites, devices and special access.</w:t>
      </w:r>
    </w:p>
    <w:p>
      <w:pPr>
        <w:pStyle w:val="ListBullet"/>
        <w:spacing w:after="50"/>
      </w:pPr>
      <w:r>
        <w:t>Provision destination identities disabled; validate MFA, privileged roles, service identities, licenses and recovery before release.</w:t>
      </w:r>
    </w:p>
    <w:p>
      <w:pPr>
        <w:pStyle w:val="ListBullet"/>
        <w:spacing w:after="50"/>
      </w:pPr>
      <w:r>
        <w:t>Stage devices and instructions by site/remote logistics; test standard, executive/delegate, developer/admin, shared, contractor and accessibility personas.</w:t>
      </w:r>
    </w:p>
    <w:p>
      <w:pPr>
        <w:pStyle w:val="ListBullet"/>
        <w:spacing w:after="50"/>
      </w:pPr>
      <w:r>
        <w:t>Open a staffed command center; measure login, compliance, collaboration, priority app, incident, workaround and user-impact evidence at T+2/T+8.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6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82E23"/>
              </w:rPr>
              <w:t>Stop rule</w:t>
            </w:r>
          </w:p>
          <w:p>
            <w:pPr>
              <w:spacing w:after="0"/>
            </w:pPr>
            <w:r>
              <w:rPr>
                <w:sz w:val="17"/>
              </w:rPr>
              <w:t>Hold a cohort if roster-to-identity mismatch exceeds 1%, a privileged path is unapproved, a Tier 0 workflow fails, or support cannot receive and route cases. Preserve the approved source path; rollback is not deletion.</w:t>
            </w:r>
          </w:p>
        </w:tc>
      </w:tr>
    </w:tbl>
    <w:p>
      <w:pPr>
        <w:spacing w:after="0"/>
      </w:pPr>
    </w:p>
    <w:p>
      <w:pPr>
        <w:pStyle w:val="Heading1"/>
        <w:pageBreakBefore/>
        <w:keepNext/>
      </w:pPr>
      <w:r>
        <w:t>Migration workstreams and acceptance</w:t>
      </w:r>
    </w:p>
    <w:p>
      <w:pPr>
        <w:spacing w:before="240"/>
        <w:keepNext/>
      </w:pPr>
      <w:r>
        <w:rPr>
          <w:b/>
          <w:color w:val="082E23"/>
          <w:sz w:val="18"/>
        </w:rPr>
        <w:t>Table 8. Platform migration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656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Platform</w:t>
            </w:r>
          </w:p>
        </w:tc>
        <w:tc>
          <w:tcPr>
            <w:tcW w:type="dxa" w:w="2664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240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High-risk edge cases</w:t>
            </w:r>
          </w:p>
        </w:tc>
        <w:tc>
          <w:tcPr>
            <w:tcW w:type="dxa" w:w="3096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Acceptance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Google Workspace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610 users; Gmail, Calendar, Drive, Shared Drives, Groups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Delegates, sharing, ownership, holds, links, unsupported items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99.5%+ counts plus samples, permissions and business tests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Slack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520 users; 286 channels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Private/shared channels, guests, history, files, apps, bots, webhooks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Membership/history/integrations/retention accepted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Asana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280 users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Owners, dates, custom fields, archives and privacy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Project/task/field reconciliation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Jira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190 users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Email identity, groups, permissions, apps, filters, boards, automation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User/group-first mapping and workflow regression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Applications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142 discovered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Shadow IT, contracts, data, APIs, ownerless apps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Owner, disposition, migration/archive, contract and decommission evidence</w:t>
            </w:r>
          </w:p>
        </w:tc>
      </w:tr>
    </w:tbl>
    <w:p>
      <w:pPr>
        <w:spacing w:after="0"/>
      </w:pPr>
    </w:p>
    <w:p>
      <w:r>
        <w:t>A migration batch is not accepted on a tool-success message. The accountable owner reviews object counts, defined exclusions, representative samples, permissions, retention/legal hold, critical integrations, searchability and business workflows. The source remains available/read-only for the approved retention window.</w:t>
      </w:r>
    </w:p>
    <w:p>
      <w:pPr>
        <w:pStyle w:val="Heading1"/>
        <w:pageBreakBefore/>
        <w:keepNext/>
      </w:pPr>
      <w:r>
        <w:t>Governance, risk, and financial control</w:t>
      </w:r>
    </w:p>
    <w:p>
      <w:pPr>
        <w:spacing w:before="240"/>
        <w:keepNext/>
      </w:pPr>
      <w:r>
        <w:rPr>
          <w:b/>
          <w:color w:val="082E23"/>
          <w:sz w:val="18"/>
        </w:rPr>
        <w:t>Table 9. Top RAID items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224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672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Exposure</w:t>
            </w:r>
          </w:p>
        </w:tc>
        <w:tc>
          <w:tcPr>
            <w:tcW w:type="dxa" w:w="1008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Score</w:t>
            </w:r>
          </w:p>
        </w:tc>
        <w:tc>
          <w:tcPr>
            <w:tcW w:type="dxa" w:w="4176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Response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MA-R-001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Identity duplicates/stale contractors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20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T-10/T-3/T-0 reconciliation and exception path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MA-R-002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Subnet overlap disrupts routing/DNS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15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NAT/renumber, isolated test, route withdrawal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MA-R-003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Collaboration permissions/retention/integrations differ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15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Identity-first mapping, legal review, pilot and validation</w:t>
            </w:r>
          </w:p>
        </w:tc>
      </w:tr>
      <w:tr>
        <w:trPr>
          <w:cantSplit/>
        </w:trPr>
        <w:tc>
          <w:tcPr>
            <w:tcW w:type="dxa" w:w="1224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MA-I-004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15 Day 1 worker exceptions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15</w:t>
            </w:r>
          </w:p>
        </w:tc>
        <w:tc>
          <w:tcPr>
            <w:tcW w:type="dxa" w:w="4176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Workarounds, owners, expiry and daily burn-down</w:t>
            </w:r>
          </w:p>
        </w:tc>
      </w:tr>
    </w:tbl>
    <w:p>
      <w:pPr>
        <w:spacing w:after="0"/>
      </w:pPr>
    </w:p>
    <w:p>
      <w:pPr>
        <w:spacing w:before="240"/>
        <w:keepNext/>
      </w:pPr>
      <w:r>
        <w:rPr>
          <w:b/>
          <w:color w:val="082E23"/>
          <w:sz w:val="18"/>
        </w:rPr>
        <w:t>Table 10. Budget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32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Measure</w:t>
            </w:r>
          </w:p>
        </w:tc>
        <w:tc>
          <w:tcPr>
            <w:tcW w:type="dxa" w:w="2232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Modeled value</w:t>
            </w:r>
          </w:p>
        </w:tc>
        <w:tc>
          <w:tcPr>
            <w:tcW w:type="dxa" w:w="5256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Control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Authorized baseline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$1.860M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Scenario assumption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Forecast at completion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$1.782M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Weekly ETC/EAC from work packages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Forecast variance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$78K favorable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Protect reserve and quality gates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Savings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Not booked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Finance validates contract/invoice stop; capacity is not cash</w:t>
            </w:r>
          </w:p>
        </w:tc>
      </w:tr>
    </w:tbl>
    <w:p>
      <w:pPr>
        <w:spacing w:after="0"/>
      </w:pPr>
    </w:p>
    <w:p>
      <w:pPr>
        <w:pStyle w:val="Heading1"/>
        <w:pageBreakBefore/>
        <w:keepNext/>
      </w:pPr>
      <w:r>
        <w:t>Cutover, rollback, and hypercare</w:t>
      </w:r>
    </w:p>
    <w:p>
      <w:pPr>
        <w:spacing w:before="240"/>
        <w:keepNext/>
      </w:pPr>
      <w:r>
        <w:rPr>
          <w:b/>
          <w:color w:val="082E23"/>
          <w:sz w:val="18"/>
        </w:rPr>
        <w:t>Table 11. Gate and command path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Checkpoint</w:t>
            </w:r>
          </w:p>
        </w:tc>
        <w:tc>
          <w:tcPr>
            <w:tcW w:type="dxa" w:w="5256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Required evidence</w:t>
            </w:r>
          </w:p>
        </w:tc>
        <w:tc>
          <w:tcPr>
            <w:tcW w:type="dxa" w:w="2664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T-10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Roster, inventory, design, vendor, communications, test status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Continue / recover / de-scope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T-3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No Sev 1; Tier 0 tests; rollback; staffing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Go / conditional go / hold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T-0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Backups/exports, freeze, monitoring, bridge, approvals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Start cutover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Batch validation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Counts, samples, permissions, workflow, support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Accept / retry / rollback cohort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Hypercare exit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Stable SLA, defects, knowledge, on-call, owner acceptance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Transfer to operations</w:t>
            </w:r>
          </w:p>
        </w:tc>
      </w:tr>
    </w:tbl>
    <w:p>
      <w:pPr>
        <w:spacing w:after="0"/>
      </w:pPr>
    </w:p>
    <w:p>
      <w:pPr>
        <w:pStyle w:val="ListBullet"/>
        <w:spacing w:after="50"/>
      </w:pPr>
      <w:r>
        <w:t>Rollback is assessed per identity cohort, route/rule group, application, site and data batch—not as one all-or-nothing command.</w:t>
      </w:r>
    </w:p>
    <w:p>
      <w:pPr>
        <w:pStyle w:val="ListBullet"/>
        <w:spacing w:after="50"/>
      </w:pPr>
      <w:r>
        <w:t>Triggers include security control failure, permission variance, reconciliation below 99.5%, identity failure above 2%, Tier 0 workflow failure, or inability to restore within the approved objective.</w:t>
      </w:r>
    </w:p>
    <w:p>
      <w:pPr>
        <w:pStyle w:val="ListBullet"/>
        <w:spacing w:after="50"/>
      </w:pPr>
      <w:r>
        <w:t>Exit hypercare after five stable business days, no Sev 1, accepted service ownership, controlled aged defects and documented residual risk.</w:t>
      </w:r>
    </w:p>
    <w:p>
      <w:pPr>
        <w:pStyle w:val="Heading1"/>
        <w:pageBreakBefore/>
        <w:keepNext/>
      </w:pPr>
      <w:r>
        <w:t>Executive dashboard and decision rules</w:t>
      </w:r>
    </w:p>
    <w:p>
      <w:pPr>
        <w:spacing w:before="240"/>
        <w:keepNext/>
      </w:pPr>
      <w:r>
        <w:rPr>
          <w:b/>
          <w:color w:val="082E23"/>
          <w:sz w:val="18"/>
        </w:rPr>
        <w:t>Table 12. Illustrative checkpoint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4680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3240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Day 1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665/680 fully ready; 674/680 authentication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Close 15 exceptions by Day 3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Migration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Workspace pilot 99.7%; Slack/Jira integration defects open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Hold affected production scope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Applications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142 discovered; five Tier 2 owners unresolved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Assign/restrict before integration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Schedule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Agile Week 20 or Predictive Week 24 forecast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Method-specific forecast; same acceptance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Finance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$1.782M forecast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Favorable but low-confidence scenario value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6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82E23"/>
              </w:rPr>
              <w:t>Management rule</w:t>
            </w:r>
          </w:p>
          <w:p>
            <w:pPr>
              <w:spacing w:after="0"/>
            </w:pPr>
            <w:r>
              <w:rPr>
                <w:sz w:val="17"/>
              </w:rPr>
              <w:t>A dashboard is green only when its source register is current. Unknown denominator, unowned exception, missing approval, untested rollback or unvalidated destructive action is visible and blocks the affected decision.</w:t>
            </w:r>
          </w:p>
        </w:tc>
      </w:tr>
    </w:tbl>
    <w:p>
      <w:pPr>
        <w:spacing w:after="0"/>
      </w:pPr>
    </w:p>
    <w:p>
      <w:pPr>
        <w:pStyle w:val="Heading1"/>
        <w:pageBreakBefore/>
        <w:keepNext/>
      </w:pPr>
      <w:r>
        <w:t>Artifact inventory and research</w:t>
      </w:r>
    </w:p>
    <w:p>
      <w:pPr>
        <w:spacing w:before="240"/>
        <w:keepNext/>
      </w:pPr>
      <w:r>
        <w:rPr>
          <w:b/>
          <w:color w:val="082E23"/>
          <w:sz w:val="18"/>
        </w:rPr>
        <w:t>Table 13. Repository package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944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5328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Examples</w:t>
            </w:r>
          </w:p>
        </w:tc>
        <w:tc>
          <w:tcPr>
            <w:tcW w:type="dxa" w:w="2448"/>
            <w:shd w:fill="145B7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Format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Shared controls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Charter; governance; Day 1; IAM; network; collaboration; apps; security; change; cutover; vendor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Rendered web pages + Markdown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Registers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RAID; dependencies; RACI; app portfolio; readiness; validation; budget; sources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Rendered tables + CSV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Agile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Playbook; roadmap; backlog; Sprint plan; DoR/DoD; metrics; status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Web/Markdown/CSV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Predictive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Playbook; PMBOK 8 map; WBS; IMS; gates/change; quality; EVM; status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  <w:shd w:fill="F7FAFB"/>
          </w:tcPr>
          <w:p>
            <w:r>
              <w:rPr>
                <w:color w:val="142132"/>
                <w:sz w:val="15"/>
              </w:rPr>
              <w:t>Web/Markdown/CSV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Control workbook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Two dashboards and reusable source registers/formulas</w:t>
            </w:r>
          </w:p>
        </w:tc>
        <w:tc>
          <w:tcPr>
            <w:tcW w:type="dxa" w:w="244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color w:val="142132"/>
                <w:sz w:val="15"/>
              </w:rPr>
              <w:t>XLSX</w:t>
            </w:r>
          </w:p>
        </w:tc>
      </w:tr>
    </w:tbl>
    <w:p>
      <w:pPr>
        <w:spacing w:after="0"/>
      </w:pPr>
    </w:p>
    <w:p>
      <w:r>
        <w:t>Primary-source research includes PMI PMBOK Guide Eighth Edition, PMI Process Groups and Agile Practice Guides, the 2026 PMP exam update, NIST CSF 2.0, Microsoft Entra multi-tenant and Azure VPN guidance, Google Workspace migration resources, Slack migration documentation, Atlassian migration guidance, and Asana import/export documentation.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F3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82E23"/>
              </w:rPr>
              <w:t>Reusable template fields</w:t>
            </w:r>
          </w:p>
          <w:p>
            <w:pPr>
              <w:spacing w:after="0"/>
            </w:pPr>
            <w:r>
              <w:rPr>
                <w:sz w:val="17"/>
              </w:rPr>
              <w:t>source title · publisher · URL · access date · portfolio use · authority · validation owner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03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D6877"/>
        <w:sz w:val="16"/>
      </w:rPr>
      <w:t xml:space="preserve">Anthony Durham · Experience-informed fictional case study · </w:t>
    </w:r>
    <w:r>
      <w:rPr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spacing w:after="0"/>
    </w:pPr>
    <w:r>
      <w:rPr>
        <w:b/>
        <w:color w:val="0F9F8B"/>
        <w:sz w:val="15"/>
      </w:rPr>
      <w:t>M&amp;A IT INTEGRATION PLAYBOOKS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4213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2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E2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5B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9F8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FFFFF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