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B2545"/>
          <w:sz w:val="48"/>
        </w:rPr>
        <w:t>Weekly Executive Status</w:t>
      </w:r>
    </w:p>
    <w:p>
      <w:pPr>
        <w:spacing w:after="240"/>
      </w:pPr>
      <w:r>
        <w:rPr>
          <w:rFonts w:ascii="Calibri" w:hAnsi="Calibri"/>
          <w:b w:val="0"/>
          <w:i w:val="0"/>
          <w:color w:val="5B6670"/>
          <w:sz w:val="24"/>
        </w:rPr>
        <w:t>A concise, evidence-aware program control and decision report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Program: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Owner: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Version / date: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Approval state: </w:t>
      </w:r>
      <w:r>
        <w:rPr>
          <w:rFonts w:ascii="Calibri" w:hAnsi="Calibri"/>
          <w:b w:val="0"/>
          <w:i w:val="0"/>
          <w:color w:val="000000"/>
          <w:sz w:val="20"/>
        </w:rPr>
        <w:t>Draft — not approved</w:t>
      </w:r>
    </w:p>
    <w:p>
      <w:pPr>
        <w:pStyle w:val="EvidenceNote"/>
      </w:pPr>
      <w:r>
        <w:rPr>
          <w:rFonts w:ascii="Calibri" w:hAnsi="Calibri"/>
          <w:b w:val="0"/>
          <w:i w:val="0"/>
          <w:color w:val="5B6670"/>
          <w:sz w:val="18"/>
        </w:rPr>
        <w:t>Evidence-confidence key: [PB-H] public benchmark/high; [RBE-M] range estimate/medium; [SA-L] scenario assumption/low; [DC-L] derived calculation/low; [UPV] unverified production value.</w:t>
      </w:r>
    </w:p>
    <w:p>
      <w:pPr>
        <w:pStyle w:val="Heading1"/>
      </w:pPr>
      <w:r>
        <w:t>1. Executive readout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1. Executive health summary — Evidence: weekly source registers [UPV]; Confidence: unverified until reconciled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840"/>
        <w:gridCol w:w="4080"/>
        <w:gridCol w:w="264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Dimension</w:t>
            </w:r>
          </w:p>
        </w:tc>
        <w:tc>
          <w:tcPr>
            <w:tcW w:type="dxa" w:w="8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RAG</w:t>
            </w:r>
          </w:p>
        </w:tc>
        <w:tc>
          <w:tcPr>
            <w:tcW w:type="dxa" w:w="4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This-week evidence</w:t>
            </w:r>
          </w:p>
        </w:tc>
        <w:tc>
          <w:tcPr>
            <w:tcW w:type="dxa" w:w="26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Next control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Outcome / benefit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[R/A/G]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measured result + label]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Schedule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[R/A/G]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milestone variance]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Budget / TCO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[R/A/G]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actual/forecast/variance]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/ quality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[R/A/G]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test/incident evidence]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Service / adoption</w:t>
            </w:r>
          </w:p>
        </w:tc>
        <w:tc>
          <w:tcPr>
            <w:tcW w:type="dxa" w:w="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[R/A/G]</w:t>
            </w:r>
          </w:p>
        </w:tc>
        <w:tc>
          <w:tcPr>
            <w:tcW w:type="dxa" w:w="4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telemetry/case/user evidence]</w:t>
            </w:r>
          </w:p>
        </w:tc>
        <w:tc>
          <w:tcPr>
            <w:tcW w:type="dxa" w:w="2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p>
      <w:pPr>
        <w:pStyle w:val="Heading1"/>
      </w:pPr>
      <w:r>
        <w:t>2. Accomplishments and next work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2. Delivery evidence — Evidence: weekly records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2520"/>
        <w:gridCol w:w="2520"/>
        <w:gridCol w:w="1320"/>
        <w:gridCol w:w="1440"/>
      </w:tblGrid>
      <w:tr>
        <w:trPr>
          <w:tblHeader w:val="true"/>
          <w:cantSplit/>
        </w:trPr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Workstream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Completed this week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Next week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Program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 + label]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Engineering / integration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 + label]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Site / operations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 + label]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/ security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 + label]</w:t>
            </w:r>
          </w:p>
        </w:tc>
      </w:tr>
    </w:tbl>
    <w:p>
      <w:pPr>
        <w:pStyle w:val="Heading1"/>
      </w:pPr>
      <w:r>
        <w:t>3. Exceptions and decisions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3. Top RAID items — Evidence: RAID register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760"/>
        <w:gridCol w:w="2520"/>
        <w:gridCol w:w="1800"/>
        <w:gridCol w:w="1200"/>
      </w:tblGrid>
      <w:tr>
        <w:trPr>
          <w:tblHeader w:val="true"/>
          <w:cantSplit/>
        </w:trPr>
        <w:tc>
          <w:tcPr>
            <w:tcW w:type="dxa" w:w="10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ID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Exposure / trigger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Response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 / due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State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[OPEN/CLOSED]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[OPEN/CLOSED]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[OPEN/CLOSED]</w:t>
            </w:r>
          </w:p>
        </w:tc>
      </w:tr>
    </w:tbl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4. Executive decisions required — Evidence: open decision log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2760"/>
        <w:gridCol w:w="1680"/>
        <w:gridCol w:w="1320"/>
        <w:gridCol w:w="1560"/>
      </w:tblGrid>
      <w:tr>
        <w:trPr>
          <w:tblHeader w:val="true"/>
          <w:cantSplit/>
        </w:trPr>
        <w:tc>
          <w:tcPr>
            <w:tcW w:type="dxa" w:w="20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Options / recommendation</w:t>
            </w:r>
          </w:p>
        </w:tc>
        <w:tc>
          <w:tcPr>
            <w:tcW w:type="dxa" w:w="16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 owner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Needed by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Impact if delayed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p>
      <w:pPr>
        <w:pStyle w:val="Heading1"/>
      </w:pPr>
      <w:r>
        <w:t>4. Reconciliation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5. Source register checkpoint — Evidence: named source records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0"/>
        <w:gridCol w:w="1800"/>
        <w:gridCol w:w="1560"/>
        <w:gridCol w:w="1440"/>
        <w:gridCol w:w="2520"/>
      </w:tblGrid>
      <w:tr>
        <w:trPr>
          <w:tblHeader w:val="true"/>
          <w:cantSplit/>
        </w:trPr>
        <w:tc>
          <w:tcPr>
            <w:tcW w:type="dxa" w:w="20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Source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Version / as-of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14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Reconciled?</w:t>
            </w:r>
          </w:p>
        </w:tc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Exception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Schedule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[YES/NO]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Budget / TCO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[YES/NO]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RAID / decisions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[YES/NO]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Requirements / evidence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[YES/NO]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6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0"/>
        <w:sz w:val="18"/>
      </w:rPr>
      <w:t>ROBOTICS PM OPERATING SYSTEM  |  WEEKLY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 Title"/>
    <w:pPr>
      <w:keepNext/>
      <w:spacing w:before="80" w:after="80"/>
    </w:pPr>
    <w:rPr>
      <w:rFonts w:ascii="Calibri" w:hAnsi="Calibri"/>
      <w:b/>
      <w:color w:val="1F4D78"/>
      <w:sz w:val="18"/>
    </w:rPr>
  </w:style>
  <w:style w:type="paragraph" w:customStyle="1" w:styleId="EvidenceNote">
    <w:name w:val="Evidence Note"/>
    <w:pPr>
      <w:spacing w:before="80" w:after="80"/>
    </w:pPr>
    <w:rPr>
      <w:rFonts w:ascii="Calibri" w:hAnsi="Calibri"/>
      <w:color w:val="5B66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Executive Status</dc:title>
  <dc:subject>Reusable robotics program management template</dc:subject>
  <dc:creator>Anthony Durham</dc:creator>
  <cp:keywords/>
  <dc:description>Template fields and example values require human validation and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