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8D7C" w14:textId="317A833B" w:rsidR="00C53047" w:rsidRDefault="00C53047" w:rsidP="008A382D">
      <w:pPr>
        <w:spacing w:line="360" w:lineRule="auto"/>
        <w:jc w:val="right"/>
        <w:rPr>
          <w:sz w:val="24"/>
          <w:szCs w:val="24"/>
          <w:lang w:val="es-MX"/>
        </w:rPr>
      </w:pPr>
      <w:r>
        <w:rPr>
          <w:sz w:val="24"/>
          <w:szCs w:val="24"/>
          <w:lang w:val="es-MX"/>
        </w:rPr>
        <w:t>Daniel Roman-Acosta</w:t>
      </w:r>
    </w:p>
    <w:p w14:paraId="3099F476" w14:textId="4168969F" w:rsidR="00C53047" w:rsidRDefault="00C53047" w:rsidP="008A382D">
      <w:pPr>
        <w:spacing w:line="360" w:lineRule="auto"/>
        <w:jc w:val="right"/>
        <w:rPr>
          <w:sz w:val="24"/>
          <w:szCs w:val="24"/>
        </w:rPr>
      </w:pPr>
      <w:r w:rsidRPr="00C53047">
        <w:rPr>
          <w:sz w:val="24"/>
          <w:szCs w:val="24"/>
        </w:rPr>
        <w:t>Plataforma de Acción, Gestión e Investigación Socia S.A.S. Sincelejo, Colombia</w:t>
      </w:r>
    </w:p>
    <w:p w14:paraId="5E549E4B" w14:textId="6E7F8B98" w:rsidR="00C53047" w:rsidRDefault="00C53047" w:rsidP="008A382D">
      <w:pPr>
        <w:spacing w:line="360" w:lineRule="auto"/>
        <w:jc w:val="right"/>
        <w:rPr>
          <w:sz w:val="24"/>
          <w:szCs w:val="24"/>
        </w:rPr>
      </w:pPr>
      <w:r w:rsidRPr="00C53047">
        <w:rPr>
          <w:sz w:val="24"/>
          <w:szCs w:val="24"/>
        </w:rPr>
        <w:t>danielrdavidromanacosta@gmail.com</w:t>
      </w:r>
    </w:p>
    <w:p w14:paraId="75CE52EE" w14:textId="74F8C1FE" w:rsidR="00C53047" w:rsidRDefault="00C53047" w:rsidP="008A382D">
      <w:pPr>
        <w:spacing w:line="360" w:lineRule="auto"/>
        <w:jc w:val="right"/>
        <w:rPr>
          <w:sz w:val="24"/>
          <w:szCs w:val="24"/>
          <w:lang w:val="es-MX"/>
        </w:rPr>
      </w:pPr>
      <w:r w:rsidRPr="00C53047">
        <w:rPr>
          <w:sz w:val="24"/>
          <w:szCs w:val="24"/>
          <w:lang w:val="es-MX"/>
        </w:rPr>
        <w:t>https://orcid.org/0000-0002-4300-9174</w:t>
      </w:r>
    </w:p>
    <w:p w14:paraId="19A727A6" w14:textId="77777777" w:rsidR="00C53047" w:rsidRDefault="00C53047" w:rsidP="008A382D">
      <w:pPr>
        <w:spacing w:line="360" w:lineRule="auto"/>
        <w:ind w:firstLine="567"/>
        <w:jc w:val="both"/>
        <w:rPr>
          <w:sz w:val="24"/>
          <w:szCs w:val="24"/>
          <w:lang w:val="es-MX"/>
        </w:rPr>
      </w:pPr>
    </w:p>
    <w:p w14:paraId="6C2B6B49" w14:textId="77777777" w:rsidR="00C53047" w:rsidRPr="00E43797" w:rsidRDefault="00C53047" w:rsidP="008A382D">
      <w:pPr>
        <w:pStyle w:val="Prrafodelista"/>
        <w:numPr>
          <w:ilvl w:val="0"/>
          <w:numId w:val="2"/>
        </w:numPr>
        <w:spacing w:line="360" w:lineRule="auto"/>
        <w:jc w:val="both"/>
        <w:rPr>
          <w:b/>
          <w:bCs/>
          <w:sz w:val="24"/>
          <w:szCs w:val="24"/>
        </w:rPr>
      </w:pPr>
      <w:r>
        <w:rPr>
          <w:b/>
          <w:bCs/>
          <w:sz w:val="24"/>
          <w:szCs w:val="24"/>
        </w:rPr>
        <w:t xml:space="preserve">Introducción </w:t>
      </w:r>
    </w:p>
    <w:p w14:paraId="67B133ED" w14:textId="2C366CEB" w:rsidR="00EA783C" w:rsidRPr="00EA783C" w:rsidRDefault="00EA783C" w:rsidP="008A382D">
      <w:pPr>
        <w:spacing w:line="360" w:lineRule="auto"/>
        <w:ind w:firstLine="567"/>
        <w:jc w:val="both"/>
        <w:rPr>
          <w:sz w:val="24"/>
          <w:szCs w:val="24"/>
          <w:lang w:val="es-MX"/>
        </w:rPr>
      </w:pPr>
      <w:r w:rsidRPr="00EA783C">
        <w:rPr>
          <w:sz w:val="24"/>
          <w:szCs w:val="24"/>
          <w:lang w:val="es-MX"/>
        </w:rPr>
        <w:t xml:space="preserve">A veces se dice que la estadística convierte los datos en conocimiento, y aunque suene a frase hecha, no está tan lejos de la verdad. </w:t>
      </w:r>
      <w:r>
        <w:rPr>
          <w:sz w:val="24"/>
          <w:szCs w:val="24"/>
          <w:lang w:val="es-MX"/>
        </w:rPr>
        <w:t>Hoy por hoy, la</w:t>
      </w:r>
      <w:r w:rsidRPr="00EA783C">
        <w:rPr>
          <w:sz w:val="24"/>
          <w:szCs w:val="24"/>
          <w:lang w:val="es-MX"/>
        </w:rPr>
        <w:t xml:space="preserve"> información parece no tener fin, el verdadero reto no está en obtenerla, sino en entender qué nos quiere decir. La estadística aparece entonces como una especie de brújula, una guía que orienta a investigadores, educadores y quienes diseñan políticas hacia decisiones más justas y razonadas</w:t>
      </w:r>
      <w:r w:rsidR="00634B8E">
        <w:rPr>
          <w:sz w:val="24"/>
          <w:szCs w:val="24"/>
          <w:lang w:val="es-MX"/>
        </w:rPr>
        <w:t xml:space="preserve"> (</w:t>
      </w:r>
      <w:r w:rsidR="00634B8E" w:rsidRPr="00634B8E">
        <w:rPr>
          <w:sz w:val="24"/>
          <w:szCs w:val="24"/>
        </w:rPr>
        <w:t>Zaragoza Alvarado</w:t>
      </w:r>
      <w:r w:rsidR="00634B8E">
        <w:rPr>
          <w:sz w:val="24"/>
          <w:szCs w:val="24"/>
        </w:rPr>
        <w:t>, 2025</w:t>
      </w:r>
      <w:r w:rsidR="00634B8E">
        <w:rPr>
          <w:sz w:val="24"/>
          <w:szCs w:val="24"/>
          <w:lang w:val="es-MX"/>
        </w:rPr>
        <w:t>)</w:t>
      </w:r>
      <w:r w:rsidRPr="00EA783C">
        <w:rPr>
          <w:sz w:val="24"/>
          <w:szCs w:val="24"/>
          <w:lang w:val="es-MX"/>
        </w:rPr>
        <w:t>. Pero más allá de la metáfora, queda la pregunta de fondo: qué tan real es ese poder que le atribuimos dentro del campo educativo.</w:t>
      </w:r>
    </w:p>
    <w:p w14:paraId="1421EE61" w14:textId="0FA00E93" w:rsidR="00EA783C" w:rsidRPr="00EA783C" w:rsidRDefault="00EA783C" w:rsidP="008A382D">
      <w:pPr>
        <w:spacing w:line="360" w:lineRule="auto"/>
        <w:ind w:firstLine="567"/>
        <w:jc w:val="both"/>
        <w:rPr>
          <w:sz w:val="24"/>
          <w:szCs w:val="24"/>
          <w:lang w:val="es-MX"/>
        </w:rPr>
      </w:pPr>
      <w:r w:rsidRPr="00EA783C">
        <w:rPr>
          <w:sz w:val="24"/>
          <w:szCs w:val="24"/>
          <w:lang w:val="es-MX"/>
        </w:rPr>
        <w:t>Resulta claro que la estadística, más que un conjunto de técnicas</w:t>
      </w:r>
      <w:r>
        <w:rPr>
          <w:sz w:val="24"/>
          <w:szCs w:val="24"/>
          <w:lang w:val="es-MX"/>
        </w:rPr>
        <w:t>,</w:t>
      </w:r>
      <w:r w:rsidRPr="00EA783C">
        <w:rPr>
          <w:sz w:val="24"/>
          <w:szCs w:val="24"/>
          <w:lang w:val="es-MX"/>
        </w:rPr>
        <w:t xml:space="preserve"> es una herramienta para mirar los datos con otros ojos. Permite encontrar regularidades donde parece haber solo caos, conectar variables que antes no tenían relación y llegar a conclusiones que dan sentido a la información dispersa. Ya lo decía Pearson (1900), considerado uno de los padres de la estadística moderna, cuando afirmaba que “la estadística es la gramática de la ciencia”, subrayando que sin ella no podríamos organizar ni comprender los fenómenos que observamos. Décadas después, Spiegelhalter (2019) recordaba que la estadística “no trata solo de números, sino de contar historias confiables con datos”, una idea que rescata su dimensión más humana y narrativa.</w:t>
      </w:r>
    </w:p>
    <w:p w14:paraId="74C2CC90" w14:textId="31E017B6" w:rsidR="00EA783C" w:rsidRPr="00EA783C" w:rsidRDefault="00EA783C" w:rsidP="008A382D">
      <w:pPr>
        <w:spacing w:line="360" w:lineRule="auto"/>
        <w:ind w:firstLine="567"/>
        <w:jc w:val="both"/>
        <w:rPr>
          <w:sz w:val="24"/>
          <w:szCs w:val="24"/>
          <w:lang w:val="es-MX"/>
        </w:rPr>
      </w:pPr>
      <w:r w:rsidRPr="00EA783C">
        <w:rPr>
          <w:sz w:val="24"/>
          <w:szCs w:val="24"/>
          <w:lang w:val="es-MX"/>
        </w:rPr>
        <w:t>En la educación, esa capacidad cobra un sentido particular. Analizar los resultados académicos, entender por qué algunos estudiantes abandonan la escuela o medir el impacto real de una política educativa se vuelve posible gracias a la estadística. Muijs (2011) lo plantea con claridad: la estadística es fundamental para comprender y mejorar la práctica educativa basada en evidencias. A la vez, como señalan Borg</w:t>
      </w:r>
      <w:r w:rsidR="00C94BEC">
        <w:rPr>
          <w:sz w:val="24"/>
          <w:szCs w:val="24"/>
          <w:lang w:val="es-MX"/>
        </w:rPr>
        <w:t xml:space="preserve"> et al. </w:t>
      </w:r>
      <w:r w:rsidRPr="00EA783C">
        <w:rPr>
          <w:sz w:val="24"/>
          <w:szCs w:val="24"/>
          <w:lang w:val="es-MX"/>
        </w:rPr>
        <w:t xml:space="preserve">(2007), ofrece los medios para evaluar programas, valorar su eficacia y descubrir los puntos donde se puede mejorar. </w:t>
      </w:r>
      <w:r w:rsidR="00E6789A">
        <w:rPr>
          <w:sz w:val="24"/>
          <w:szCs w:val="24"/>
          <w:lang w:val="es-MX"/>
        </w:rPr>
        <w:t>Por lo que</w:t>
      </w:r>
      <w:r w:rsidRPr="00EA783C">
        <w:rPr>
          <w:sz w:val="24"/>
          <w:szCs w:val="24"/>
          <w:lang w:val="es-MX"/>
        </w:rPr>
        <w:t xml:space="preserve">, no se trata de medir, </w:t>
      </w:r>
      <w:r w:rsidR="00C94BEC">
        <w:rPr>
          <w:sz w:val="24"/>
          <w:szCs w:val="24"/>
          <w:lang w:val="es-MX"/>
        </w:rPr>
        <w:t xml:space="preserve">se debe </w:t>
      </w:r>
      <w:r w:rsidRPr="00EA783C">
        <w:rPr>
          <w:sz w:val="24"/>
          <w:szCs w:val="24"/>
          <w:lang w:val="es-MX"/>
        </w:rPr>
        <w:t>interpretar y aprender de los números.</w:t>
      </w:r>
    </w:p>
    <w:p w14:paraId="702E9B88" w14:textId="77777777" w:rsidR="00EA783C" w:rsidRPr="00EA783C" w:rsidRDefault="00EA783C" w:rsidP="008A382D">
      <w:pPr>
        <w:spacing w:line="360" w:lineRule="auto"/>
        <w:ind w:firstLine="567"/>
        <w:jc w:val="both"/>
        <w:rPr>
          <w:sz w:val="24"/>
          <w:szCs w:val="24"/>
          <w:lang w:val="es-MX"/>
        </w:rPr>
      </w:pPr>
      <w:r w:rsidRPr="00EA783C">
        <w:rPr>
          <w:sz w:val="24"/>
          <w:szCs w:val="24"/>
          <w:lang w:val="es-MX"/>
        </w:rPr>
        <w:t xml:space="preserve">Decir que la estadística sustenta decisiones informadas no es exagerar. Los resultados que genera sirven como base objetiva para políticas públicas, reformas </w:t>
      </w:r>
      <w:r w:rsidRPr="00EA783C">
        <w:rPr>
          <w:sz w:val="24"/>
          <w:szCs w:val="24"/>
          <w:lang w:val="es-MX"/>
        </w:rPr>
        <w:lastRenderedPageBreak/>
        <w:t>curriculares y estrategias pedagógicas que buscan ser más efectivas. Hattie (2009), en uno de los metaanálisis más amplios sobre educación, demuestra que el uso riguroso de datos permite identificar las prácticas que realmente funcionan, alejando la enseñanza del terreno de la intuición y acercándola al conocimiento empírico. En eso radica su fuerza: no en la cantidad de cifras, sino en el modo en que las hacemos hablar.</w:t>
      </w:r>
    </w:p>
    <w:p w14:paraId="0F9121E4" w14:textId="77777777" w:rsidR="00D14FBE" w:rsidRDefault="00EA783C" w:rsidP="008A382D">
      <w:pPr>
        <w:spacing w:line="360" w:lineRule="auto"/>
        <w:ind w:firstLine="567"/>
        <w:jc w:val="both"/>
        <w:rPr>
          <w:sz w:val="24"/>
          <w:szCs w:val="24"/>
          <w:lang w:val="es-MX"/>
        </w:rPr>
      </w:pPr>
      <w:r w:rsidRPr="00EA783C">
        <w:rPr>
          <w:sz w:val="24"/>
          <w:szCs w:val="24"/>
          <w:lang w:val="es-MX"/>
        </w:rPr>
        <w:t>Así, la estadística no se limita a transformar datos en conocimiento. Va más allá, porque ayuda a comprender la realidad educativa y a tomar decisiones que puedan sostenerse con argumentos y evidencias. Su importancia, tanto en la teoría como en la práctica, se sostiene en lo que han dicho autores clásicos y contemporáneos: que gracias a ella es posible mejorar los procesos educativos y avanzar hacia una enseñanza más justa, eficaz y consciente.</w:t>
      </w:r>
    </w:p>
    <w:p w14:paraId="08C0058A" w14:textId="504F5C34" w:rsidR="00F62DB9" w:rsidRPr="00F62DB9" w:rsidRDefault="00F62DB9" w:rsidP="008A382D">
      <w:pPr>
        <w:spacing w:line="360" w:lineRule="auto"/>
        <w:ind w:firstLine="567"/>
        <w:jc w:val="both"/>
        <w:rPr>
          <w:sz w:val="24"/>
          <w:szCs w:val="24"/>
          <w:lang w:val="es-MX"/>
        </w:rPr>
      </w:pPr>
      <w:r w:rsidRPr="00F62DB9">
        <w:rPr>
          <w:sz w:val="24"/>
          <w:szCs w:val="24"/>
          <w:lang w:val="es-MX"/>
        </w:rPr>
        <w:t>El objetivo de este libro es ofrecer una comprensión sólida, clara y aplicada de los fundamentos de la estadística, orientada especialmente a investigadores y estudiantes de educación superior que buscan utilizar los datos como una herramienta para interpretar, explicar y transformar la realidad educativa. A través de un enfoque didáctico y contextualizado, el texto pretende desarrollar en el lector la capacidad de analizar información con rigor científico, formular conclusiones basadas en evidencia y tomar decisiones fundamentadas que contribuyan a mejorar los procesos de enseñanza, aprendizaje y gestión institucional.</w:t>
      </w:r>
    </w:p>
    <w:p w14:paraId="00000006" w14:textId="77777777" w:rsidR="00D07104" w:rsidRPr="00634B8E" w:rsidRDefault="00D07104" w:rsidP="008A382D">
      <w:pPr>
        <w:spacing w:line="360" w:lineRule="auto"/>
        <w:jc w:val="both"/>
        <w:rPr>
          <w:sz w:val="24"/>
          <w:szCs w:val="24"/>
          <w:lang w:val="es-MX"/>
        </w:rPr>
      </w:pPr>
    </w:p>
    <w:p w14:paraId="3529E30A" w14:textId="207DEB7A" w:rsidR="00E45754" w:rsidRPr="00E45754" w:rsidRDefault="00E45754" w:rsidP="008A382D">
      <w:pPr>
        <w:pStyle w:val="Prrafodelista"/>
        <w:numPr>
          <w:ilvl w:val="1"/>
          <w:numId w:val="1"/>
        </w:numPr>
        <w:spacing w:line="360" w:lineRule="auto"/>
        <w:jc w:val="both"/>
        <w:rPr>
          <w:b/>
          <w:bCs/>
          <w:sz w:val="24"/>
          <w:szCs w:val="24"/>
          <w:lang w:val="es-MX"/>
        </w:rPr>
      </w:pPr>
      <w:r w:rsidRPr="00E45754">
        <w:rPr>
          <w:b/>
          <w:bCs/>
          <w:sz w:val="24"/>
          <w:szCs w:val="24"/>
          <w:lang w:val="es-MX"/>
        </w:rPr>
        <w:t>Definición y naturaleza de la estadística</w:t>
      </w:r>
    </w:p>
    <w:p w14:paraId="22F7BC9E" w14:textId="29E032FB" w:rsidR="00E45754" w:rsidRPr="00E45754" w:rsidRDefault="00E45754" w:rsidP="008A382D">
      <w:pPr>
        <w:spacing w:line="360" w:lineRule="auto"/>
        <w:ind w:firstLine="567"/>
        <w:jc w:val="both"/>
        <w:rPr>
          <w:sz w:val="24"/>
          <w:szCs w:val="24"/>
          <w:lang w:val="es-MX"/>
        </w:rPr>
      </w:pPr>
      <w:r w:rsidRPr="00E45754">
        <w:rPr>
          <w:sz w:val="24"/>
          <w:szCs w:val="24"/>
          <w:lang w:val="es-MX"/>
        </w:rPr>
        <w:t>La estadística, más que un conjunto de fórmulas o cálculos, puede entenderse como una forma organizada de mirar la realidad. Se ha definido como el conjunto de métodos científicos para recoger, organizar, presentar, analizar e interpretar datos para tomar decisiones fundamentadas (Triola, 2014). Esta idea resume bien su función: transformar la información en comprensión, y la comprensión en decisiones razonadas. A veces parece un proceso puramente técnico, pero en realidad está profundamente ligado a la manera en que interpretamos el mundo.</w:t>
      </w:r>
    </w:p>
    <w:p w14:paraId="150BC5E7" w14:textId="77777777" w:rsidR="00E45754" w:rsidRPr="00E45754" w:rsidRDefault="00E45754" w:rsidP="008A382D">
      <w:pPr>
        <w:spacing w:line="360" w:lineRule="auto"/>
        <w:ind w:firstLine="567"/>
        <w:jc w:val="both"/>
        <w:rPr>
          <w:sz w:val="24"/>
          <w:szCs w:val="24"/>
          <w:lang w:val="es-MX"/>
        </w:rPr>
      </w:pPr>
      <w:r w:rsidRPr="00E45754">
        <w:rPr>
          <w:sz w:val="24"/>
          <w:szCs w:val="24"/>
          <w:lang w:val="es-MX"/>
        </w:rPr>
        <w:t xml:space="preserve">Su raíz etimológica viene del latín </w:t>
      </w:r>
      <w:r w:rsidRPr="00E45754">
        <w:rPr>
          <w:i/>
          <w:iCs/>
          <w:sz w:val="24"/>
          <w:szCs w:val="24"/>
          <w:lang w:val="es-MX"/>
        </w:rPr>
        <w:t>statisticum collegium</w:t>
      </w:r>
      <w:r w:rsidRPr="00E45754">
        <w:rPr>
          <w:sz w:val="24"/>
          <w:szCs w:val="24"/>
          <w:lang w:val="es-MX"/>
        </w:rPr>
        <w:t xml:space="preserve"> y del italiano </w:t>
      </w:r>
      <w:r w:rsidRPr="00E45754">
        <w:rPr>
          <w:i/>
          <w:iCs/>
          <w:sz w:val="24"/>
          <w:szCs w:val="24"/>
          <w:lang w:val="es-MX"/>
        </w:rPr>
        <w:t>statista</w:t>
      </w:r>
      <w:r w:rsidRPr="00E45754">
        <w:rPr>
          <w:sz w:val="24"/>
          <w:szCs w:val="24"/>
          <w:lang w:val="es-MX"/>
        </w:rPr>
        <w:t xml:space="preserve">, términos que hacían referencia a los asuntos del Estado, especialmente al registro de datos demográficos o censales (Spiegel &amp; Stephens, 2008). En sus inicios, la estadística servía para conocer cuántas personas vivían en un territorio o cuántos bienes se producían. Con el tiempo, ese interés administrativo se amplió, y lo que </w:t>
      </w:r>
      <w:r w:rsidRPr="00E45754">
        <w:rPr>
          <w:sz w:val="24"/>
          <w:szCs w:val="24"/>
          <w:lang w:val="es-MX"/>
        </w:rPr>
        <w:lastRenderedPageBreak/>
        <w:t>comenzó siendo un instrumento político se transformó en una herramienta científica, indispensable en la investigación, la economía y, desde luego, en la educación.</w:t>
      </w:r>
    </w:p>
    <w:p w14:paraId="7FB3F3D9" w14:textId="299189BA" w:rsidR="00E45754" w:rsidRPr="00E45754" w:rsidRDefault="00E45754" w:rsidP="008A382D">
      <w:pPr>
        <w:spacing w:line="360" w:lineRule="auto"/>
        <w:ind w:firstLine="567"/>
        <w:jc w:val="both"/>
        <w:rPr>
          <w:sz w:val="24"/>
          <w:szCs w:val="24"/>
          <w:lang w:val="es-MX"/>
        </w:rPr>
      </w:pPr>
      <w:r w:rsidRPr="00E45754">
        <w:rPr>
          <w:sz w:val="24"/>
          <w:szCs w:val="24"/>
          <w:lang w:val="es-MX"/>
        </w:rPr>
        <w:t>En su estructura moderna, la estadística se divide en dos grandes ramas. Por un lado, la estadística descriptiva, encargada de resumir y presentar los datos obtenidos de una muestra o población, mostrando tendencias, promedios o distribuciones. Por otro, la estadística inferencial, que va un paso más allá: permite hacer generalizaciones y estimar conclusiones sobre una población más amplia, basándose solo en una muestra y en el grado de fiabilidad que esas inferencias puedan tener (Wackerly</w:t>
      </w:r>
      <w:r w:rsidR="00F32842">
        <w:rPr>
          <w:sz w:val="24"/>
          <w:szCs w:val="24"/>
          <w:lang w:val="es-MX"/>
        </w:rPr>
        <w:t xml:space="preserve"> et al.</w:t>
      </w:r>
      <w:r w:rsidRPr="00E45754">
        <w:rPr>
          <w:sz w:val="24"/>
          <w:szCs w:val="24"/>
          <w:lang w:val="es-MX"/>
        </w:rPr>
        <w:t>, 2010). Ambas trabajan de manera complementaria, una describiendo lo que se observa, la otra interpretando lo que podría ser.</w:t>
      </w:r>
    </w:p>
    <w:p w14:paraId="359ED03B" w14:textId="77777777" w:rsidR="00E45754" w:rsidRPr="00E45754" w:rsidRDefault="00E45754" w:rsidP="008A382D">
      <w:pPr>
        <w:spacing w:line="360" w:lineRule="auto"/>
        <w:ind w:firstLine="567"/>
        <w:jc w:val="both"/>
        <w:rPr>
          <w:sz w:val="24"/>
          <w:szCs w:val="24"/>
          <w:lang w:val="es-MX"/>
        </w:rPr>
      </w:pPr>
      <w:r w:rsidRPr="00E45754">
        <w:rPr>
          <w:sz w:val="24"/>
          <w:szCs w:val="24"/>
          <w:lang w:val="es-MX"/>
        </w:rPr>
        <w:t>Ahora bien, los datos con los que trabaja la estadística no son todos iguales. Se clasifican en cualitativos y cuantitativos (Johnson &amp; Kuby, 2011). Los cualitativos expresan atributos o características que no pueden medirse con números, como el color de ojos o la materia preferida de un estudiante. Los cuantitativos, en cambio, representan valores numéricos y se dividen en dos tipos: discretos, cuando los valores son contables, como el número de estudiantes en una clase; y continuos, cuando los valores pueden variar dentro de un rango sin límite preciso, como la estatura o el tiempo que tarda un alumno en completar un examen (Larson &amp; Farber, 2014). En ambos casos, los datos revelan algo sobre el fenómeno que se estudia, pero la forma de analizarlos depende del tipo que sean.</w:t>
      </w:r>
    </w:p>
    <w:p w14:paraId="28A73FC7" w14:textId="33873873" w:rsidR="00E45754" w:rsidRDefault="00E45754" w:rsidP="008A382D">
      <w:pPr>
        <w:spacing w:line="360" w:lineRule="auto"/>
        <w:ind w:firstLine="567"/>
        <w:jc w:val="both"/>
        <w:rPr>
          <w:sz w:val="24"/>
          <w:szCs w:val="24"/>
          <w:lang w:val="es-MX"/>
        </w:rPr>
      </w:pPr>
      <w:r w:rsidRPr="00E45754">
        <w:rPr>
          <w:sz w:val="24"/>
          <w:szCs w:val="24"/>
          <w:lang w:val="es-MX"/>
        </w:rPr>
        <w:t>Otro elemento central en el estudio estadístico son las escalas de medición, que determinan el tipo de operaciones y comparaciones que pueden hacerse con los datos. Stevens (1946) propuso cuatro niveles fundamentales: la escala nominal, que solo clasifica sin establecer ningún orden; la ordinal, que introduce un orden jerárquico pero sin medir distancias exactas; la de intervalo, que permite comparar distancias entre valores aunque sin un cero absoluto; y la de razón, que añade el cero absoluto y posibilita afirmaciones proporcionales, como decir que una calificación es el doble de otra (Levine</w:t>
      </w:r>
      <w:r w:rsidR="0001588A">
        <w:rPr>
          <w:sz w:val="24"/>
          <w:szCs w:val="24"/>
          <w:lang w:val="es-MX"/>
        </w:rPr>
        <w:t xml:space="preserve"> et al.</w:t>
      </w:r>
      <w:r w:rsidRPr="00E45754">
        <w:rPr>
          <w:sz w:val="24"/>
          <w:szCs w:val="24"/>
          <w:lang w:val="es-MX"/>
        </w:rPr>
        <w:t>, 2016).</w:t>
      </w:r>
    </w:p>
    <w:p w14:paraId="20FA737A" w14:textId="0E4520A3" w:rsidR="001A5284" w:rsidRDefault="001A5284" w:rsidP="008A382D">
      <w:pPr>
        <w:spacing w:line="360" w:lineRule="auto"/>
        <w:ind w:firstLine="567"/>
        <w:jc w:val="both"/>
        <w:rPr>
          <w:sz w:val="24"/>
          <w:szCs w:val="24"/>
        </w:rPr>
      </w:pPr>
      <w:r w:rsidRPr="001A5284">
        <w:rPr>
          <w:sz w:val="24"/>
          <w:szCs w:val="24"/>
        </w:rPr>
        <w:t>Por ejemplo, un investigador que analiza la relación entre el tiempo de estudio y el rendimiento académico de los estudiantes está utilizando variables de tipo cuantitativo. Si además desea comparar los resultados entre distintas asignaturas (Matemáticas, Lengua, Ciencias), incluirá variables cualitativas nominales. Y al medir las calificaciones en una escala de 0 a 100, aplicará una escala de razón, ya que el cero implica ausencia de logro y las distancias entre valores son significativas.</w:t>
      </w:r>
    </w:p>
    <w:p w14:paraId="0AD035EC" w14:textId="3CA0C6D8" w:rsidR="001A5284" w:rsidRPr="001A5284" w:rsidRDefault="001A5284" w:rsidP="008A382D">
      <w:pPr>
        <w:spacing w:line="360" w:lineRule="auto"/>
        <w:ind w:firstLine="567"/>
        <w:jc w:val="both"/>
        <w:rPr>
          <w:sz w:val="24"/>
          <w:szCs w:val="24"/>
          <w:lang w:val="es-MX"/>
        </w:rPr>
      </w:pPr>
      <w:r w:rsidRPr="001A5284">
        <w:rPr>
          <w:sz w:val="24"/>
          <w:szCs w:val="24"/>
          <w:lang w:val="es-MX"/>
        </w:rPr>
        <w:lastRenderedPageBreak/>
        <w:t xml:space="preserve">Para visualizar de manera más clara la relación entre los tipos de datos y las escalas de medición que se utilizan en el análisis estadístico, resulta útil presentar una síntesis que los organice de forma comparativa. </w:t>
      </w:r>
      <w:r>
        <w:rPr>
          <w:sz w:val="24"/>
          <w:szCs w:val="24"/>
          <w:lang w:val="es-MX"/>
        </w:rPr>
        <w:t>La</w:t>
      </w:r>
      <w:r w:rsidRPr="001A5284">
        <w:rPr>
          <w:sz w:val="24"/>
          <w:szCs w:val="24"/>
          <w:lang w:val="es-MX"/>
        </w:rPr>
        <w:t xml:space="preserve"> tabla</w:t>
      </w:r>
      <w:r>
        <w:rPr>
          <w:sz w:val="24"/>
          <w:szCs w:val="24"/>
          <w:lang w:val="es-MX"/>
        </w:rPr>
        <w:t xml:space="preserve"> 1,</w:t>
      </w:r>
      <w:r w:rsidRPr="001A5284">
        <w:rPr>
          <w:sz w:val="24"/>
          <w:szCs w:val="24"/>
          <w:lang w:val="es-MX"/>
        </w:rPr>
        <w:t xml:space="preserve"> </w:t>
      </w:r>
      <w:r>
        <w:rPr>
          <w:sz w:val="24"/>
          <w:szCs w:val="24"/>
          <w:lang w:val="es-MX"/>
        </w:rPr>
        <w:t>muestra</w:t>
      </w:r>
      <w:r w:rsidRPr="001A5284">
        <w:rPr>
          <w:sz w:val="24"/>
          <w:szCs w:val="24"/>
          <w:lang w:val="es-MX"/>
        </w:rPr>
        <w:t xml:space="preserve"> las características principales de cada tipo de dato, junto con ejemplos propios del ámbito educativo y la escala correspondiente, lo que facilita identificar cómo se debe proceder en el tratamiento y la interpretación de la información recolectada.</w:t>
      </w:r>
    </w:p>
    <w:p w14:paraId="7877A2C6" w14:textId="7E398C5C" w:rsidR="001A5284" w:rsidRPr="001A5284" w:rsidRDefault="001A5284" w:rsidP="008A382D">
      <w:pPr>
        <w:spacing w:line="360" w:lineRule="auto"/>
        <w:jc w:val="both"/>
        <w:rPr>
          <w:b/>
          <w:bCs/>
          <w:sz w:val="24"/>
          <w:szCs w:val="24"/>
          <w:lang w:val="es-MX"/>
        </w:rPr>
      </w:pPr>
      <w:r w:rsidRPr="001A5284">
        <w:rPr>
          <w:b/>
          <w:bCs/>
          <w:sz w:val="24"/>
          <w:szCs w:val="24"/>
          <w:lang w:val="es-MX"/>
        </w:rPr>
        <w:t>Tabla 1</w:t>
      </w:r>
    </w:p>
    <w:p w14:paraId="77E4EC98" w14:textId="719BED4E" w:rsidR="001A5284" w:rsidRDefault="001A5284" w:rsidP="008A382D">
      <w:pPr>
        <w:spacing w:line="360" w:lineRule="auto"/>
        <w:jc w:val="both"/>
        <w:rPr>
          <w:sz w:val="24"/>
          <w:szCs w:val="24"/>
          <w:lang w:val="es-MX"/>
        </w:rPr>
      </w:pPr>
      <w:r w:rsidRPr="001A5284">
        <w:rPr>
          <w:sz w:val="24"/>
          <w:szCs w:val="24"/>
        </w:rPr>
        <w:t>Tipos de datos y escalas de medición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909"/>
        <w:gridCol w:w="3393"/>
        <w:gridCol w:w="1691"/>
      </w:tblGrid>
      <w:tr w:rsidR="001A5284" w:rsidRPr="001A5284" w14:paraId="4540C04E" w14:textId="77777777" w:rsidTr="009B7DA4">
        <w:trPr>
          <w:tblHeader/>
          <w:tblCellSpacing w:w="15" w:type="dxa"/>
        </w:trPr>
        <w:tc>
          <w:tcPr>
            <w:tcW w:w="0" w:type="auto"/>
            <w:vAlign w:val="center"/>
            <w:hideMark/>
          </w:tcPr>
          <w:p w14:paraId="42880CE6" w14:textId="77777777" w:rsidR="001A5284" w:rsidRPr="001A5284" w:rsidRDefault="001A5284" w:rsidP="008A382D">
            <w:pPr>
              <w:spacing w:line="360" w:lineRule="auto"/>
              <w:jc w:val="both"/>
              <w:rPr>
                <w:b/>
                <w:bCs/>
                <w:sz w:val="24"/>
                <w:szCs w:val="24"/>
                <w:lang w:val="es-MX"/>
              </w:rPr>
            </w:pPr>
            <w:r w:rsidRPr="001A5284">
              <w:rPr>
                <w:b/>
                <w:bCs/>
                <w:sz w:val="24"/>
                <w:szCs w:val="24"/>
                <w:lang w:val="es-MX"/>
              </w:rPr>
              <w:t>Tipo de dato</w:t>
            </w:r>
          </w:p>
        </w:tc>
        <w:tc>
          <w:tcPr>
            <w:tcW w:w="0" w:type="auto"/>
            <w:vAlign w:val="center"/>
            <w:hideMark/>
          </w:tcPr>
          <w:p w14:paraId="78639962" w14:textId="77777777" w:rsidR="001A5284" w:rsidRPr="001A5284" w:rsidRDefault="001A5284" w:rsidP="008A382D">
            <w:pPr>
              <w:spacing w:line="360" w:lineRule="auto"/>
              <w:jc w:val="both"/>
              <w:rPr>
                <w:b/>
                <w:bCs/>
                <w:sz w:val="24"/>
                <w:szCs w:val="24"/>
                <w:lang w:val="es-MX"/>
              </w:rPr>
            </w:pPr>
            <w:r w:rsidRPr="001A5284">
              <w:rPr>
                <w:b/>
                <w:bCs/>
                <w:sz w:val="24"/>
                <w:szCs w:val="24"/>
                <w:lang w:val="es-MX"/>
              </w:rPr>
              <w:t>Descripción</w:t>
            </w:r>
          </w:p>
        </w:tc>
        <w:tc>
          <w:tcPr>
            <w:tcW w:w="0" w:type="auto"/>
            <w:vAlign w:val="center"/>
            <w:hideMark/>
          </w:tcPr>
          <w:p w14:paraId="20004FE5" w14:textId="77777777" w:rsidR="001A5284" w:rsidRPr="001A5284" w:rsidRDefault="001A5284" w:rsidP="008A382D">
            <w:pPr>
              <w:spacing w:line="360" w:lineRule="auto"/>
              <w:jc w:val="both"/>
              <w:rPr>
                <w:b/>
                <w:bCs/>
                <w:sz w:val="24"/>
                <w:szCs w:val="24"/>
                <w:lang w:val="es-MX"/>
              </w:rPr>
            </w:pPr>
            <w:r w:rsidRPr="001A5284">
              <w:rPr>
                <w:b/>
                <w:bCs/>
                <w:sz w:val="24"/>
                <w:szCs w:val="24"/>
                <w:lang w:val="es-MX"/>
              </w:rPr>
              <w:t>Ejemplo educativo</w:t>
            </w:r>
          </w:p>
        </w:tc>
        <w:tc>
          <w:tcPr>
            <w:tcW w:w="0" w:type="auto"/>
            <w:vAlign w:val="center"/>
            <w:hideMark/>
          </w:tcPr>
          <w:p w14:paraId="4705D171" w14:textId="77777777" w:rsidR="001A5284" w:rsidRPr="001A5284" w:rsidRDefault="001A5284" w:rsidP="008A382D">
            <w:pPr>
              <w:spacing w:line="360" w:lineRule="auto"/>
              <w:jc w:val="both"/>
              <w:rPr>
                <w:b/>
                <w:bCs/>
                <w:sz w:val="24"/>
                <w:szCs w:val="24"/>
                <w:lang w:val="es-MX"/>
              </w:rPr>
            </w:pPr>
            <w:r w:rsidRPr="001A5284">
              <w:rPr>
                <w:b/>
                <w:bCs/>
                <w:sz w:val="24"/>
                <w:szCs w:val="24"/>
                <w:lang w:val="es-MX"/>
              </w:rPr>
              <w:t>Escala asociada</w:t>
            </w:r>
          </w:p>
        </w:tc>
      </w:tr>
      <w:tr w:rsidR="001A5284" w:rsidRPr="001A5284" w14:paraId="54561D14" w14:textId="77777777" w:rsidTr="009B7DA4">
        <w:trPr>
          <w:tblCellSpacing w:w="15" w:type="dxa"/>
        </w:trPr>
        <w:tc>
          <w:tcPr>
            <w:tcW w:w="0" w:type="auto"/>
            <w:vAlign w:val="center"/>
            <w:hideMark/>
          </w:tcPr>
          <w:p w14:paraId="601E4B86" w14:textId="77777777" w:rsidR="001A5284" w:rsidRPr="001A5284" w:rsidRDefault="001A5284" w:rsidP="008A382D">
            <w:pPr>
              <w:spacing w:line="360" w:lineRule="auto"/>
              <w:jc w:val="both"/>
              <w:rPr>
                <w:sz w:val="24"/>
                <w:szCs w:val="24"/>
                <w:lang w:val="es-MX"/>
              </w:rPr>
            </w:pPr>
            <w:r w:rsidRPr="001A5284">
              <w:rPr>
                <w:sz w:val="24"/>
                <w:szCs w:val="24"/>
                <w:lang w:val="es-MX"/>
              </w:rPr>
              <w:t>Cualitativo nominal</w:t>
            </w:r>
          </w:p>
        </w:tc>
        <w:tc>
          <w:tcPr>
            <w:tcW w:w="0" w:type="auto"/>
            <w:vAlign w:val="center"/>
            <w:hideMark/>
          </w:tcPr>
          <w:p w14:paraId="05442FB2" w14:textId="77777777" w:rsidR="001A5284" w:rsidRPr="001A5284" w:rsidRDefault="001A5284" w:rsidP="008A382D">
            <w:pPr>
              <w:spacing w:line="360" w:lineRule="auto"/>
              <w:jc w:val="both"/>
              <w:rPr>
                <w:sz w:val="24"/>
                <w:szCs w:val="24"/>
                <w:lang w:val="es-MX"/>
              </w:rPr>
            </w:pPr>
            <w:r w:rsidRPr="001A5284">
              <w:rPr>
                <w:sz w:val="24"/>
                <w:szCs w:val="24"/>
                <w:lang w:val="es-MX"/>
              </w:rPr>
              <w:t>Clasifica sin orden</w:t>
            </w:r>
          </w:p>
        </w:tc>
        <w:tc>
          <w:tcPr>
            <w:tcW w:w="0" w:type="auto"/>
            <w:vAlign w:val="center"/>
            <w:hideMark/>
          </w:tcPr>
          <w:p w14:paraId="23E6753D" w14:textId="77777777" w:rsidR="001A5284" w:rsidRPr="001A5284" w:rsidRDefault="001A5284" w:rsidP="008A382D">
            <w:pPr>
              <w:spacing w:line="360" w:lineRule="auto"/>
              <w:jc w:val="both"/>
              <w:rPr>
                <w:sz w:val="24"/>
                <w:szCs w:val="24"/>
                <w:lang w:val="es-MX"/>
              </w:rPr>
            </w:pPr>
            <w:r w:rsidRPr="001A5284">
              <w:rPr>
                <w:sz w:val="24"/>
                <w:szCs w:val="24"/>
                <w:lang w:val="es-MX"/>
              </w:rPr>
              <w:t>Materias cursadas</w:t>
            </w:r>
          </w:p>
        </w:tc>
        <w:tc>
          <w:tcPr>
            <w:tcW w:w="0" w:type="auto"/>
            <w:vAlign w:val="center"/>
            <w:hideMark/>
          </w:tcPr>
          <w:p w14:paraId="5B2C7A21" w14:textId="77777777" w:rsidR="001A5284" w:rsidRPr="001A5284" w:rsidRDefault="001A5284" w:rsidP="008A382D">
            <w:pPr>
              <w:spacing w:line="360" w:lineRule="auto"/>
              <w:jc w:val="both"/>
              <w:rPr>
                <w:sz w:val="24"/>
                <w:szCs w:val="24"/>
                <w:lang w:val="es-MX"/>
              </w:rPr>
            </w:pPr>
            <w:r w:rsidRPr="001A5284">
              <w:rPr>
                <w:sz w:val="24"/>
                <w:szCs w:val="24"/>
                <w:lang w:val="es-MX"/>
              </w:rPr>
              <w:t>Nominal</w:t>
            </w:r>
          </w:p>
        </w:tc>
      </w:tr>
      <w:tr w:rsidR="001A5284" w:rsidRPr="001A5284" w14:paraId="7516A534" w14:textId="77777777" w:rsidTr="009B7DA4">
        <w:trPr>
          <w:tblCellSpacing w:w="15" w:type="dxa"/>
        </w:trPr>
        <w:tc>
          <w:tcPr>
            <w:tcW w:w="0" w:type="auto"/>
            <w:vAlign w:val="center"/>
            <w:hideMark/>
          </w:tcPr>
          <w:p w14:paraId="06A660FC" w14:textId="77777777" w:rsidR="001A5284" w:rsidRPr="001A5284" w:rsidRDefault="001A5284" w:rsidP="008A382D">
            <w:pPr>
              <w:spacing w:line="360" w:lineRule="auto"/>
              <w:jc w:val="both"/>
              <w:rPr>
                <w:sz w:val="24"/>
                <w:szCs w:val="24"/>
                <w:lang w:val="es-MX"/>
              </w:rPr>
            </w:pPr>
            <w:r w:rsidRPr="001A5284">
              <w:rPr>
                <w:sz w:val="24"/>
                <w:szCs w:val="24"/>
                <w:lang w:val="es-MX"/>
              </w:rPr>
              <w:t>Cualitativo ordinal</w:t>
            </w:r>
          </w:p>
        </w:tc>
        <w:tc>
          <w:tcPr>
            <w:tcW w:w="0" w:type="auto"/>
            <w:vAlign w:val="center"/>
            <w:hideMark/>
          </w:tcPr>
          <w:p w14:paraId="37E3596C" w14:textId="77777777" w:rsidR="001A5284" w:rsidRPr="001A5284" w:rsidRDefault="001A5284" w:rsidP="008A382D">
            <w:pPr>
              <w:spacing w:line="360" w:lineRule="auto"/>
              <w:jc w:val="both"/>
              <w:rPr>
                <w:sz w:val="24"/>
                <w:szCs w:val="24"/>
                <w:lang w:val="es-MX"/>
              </w:rPr>
            </w:pPr>
            <w:r w:rsidRPr="001A5284">
              <w:rPr>
                <w:sz w:val="24"/>
                <w:szCs w:val="24"/>
                <w:lang w:val="es-MX"/>
              </w:rPr>
              <w:t>Clasifica con orden</w:t>
            </w:r>
          </w:p>
        </w:tc>
        <w:tc>
          <w:tcPr>
            <w:tcW w:w="0" w:type="auto"/>
            <w:vAlign w:val="center"/>
            <w:hideMark/>
          </w:tcPr>
          <w:p w14:paraId="27EA4EB7" w14:textId="77777777" w:rsidR="001A5284" w:rsidRPr="001A5284" w:rsidRDefault="001A5284" w:rsidP="008A382D">
            <w:pPr>
              <w:spacing w:line="360" w:lineRule="auto"/>
              <w:jc w:val="both"/>
              <w:rPr>
                <w:sz w:val="24"/>
                <w:szCs w:val="24"/>
                <w:lang w:val="es-MX"/>
              </w:rPr>
            </w:pPr>
            <w:r w:rsidRPr="001A5284">
              <w:rPr>
                <w:sz w:val="24"/>
                <w:szCs w:val="24"/>
                <w:lang w:val="es-MX"/>
              </w:rPr>
              <w:t>Nivel de satisfacción (bajo, medio, alto)</w:t>
            </w:r>
          </w:p>
        </w:tc>
        <w:tc>
          <w:tcPr>
            <w:tcW w:w="0" w:type="auto"/>
            <w:vAlign w:val="center"/>
            <w:hideMark/>
          </w:tcPr>
          <w:p w14:paraId="62DA8B16" w14:textId="77777777" w:rsidR="001A5284" w:rsidRPr="001A5284" w:rsidRDefault="001A5284" w:rsidP="008A382D">
            <w:pPr>
              <w:spacing w:line="360" w:lineRule="auto"/>
              <w:jc w:val="both"/>
              <w:rPr>
                <w:sz w:val="24"/>
                <w:szCs w:val="24"/>
                <w:lang w:val="es-MX"/>
              </w:rPr>
            </w:pPr>
            <w:r w:rsidRPr="001A5284">
              <w:rPr>
                <w:sz w:val="24"/>
                <w:szCs w:val="24"/>
                <w:lang w:val="es-MX"/>
              </w:rPr>
              <w:t>Ordinal</w:t>
            </w:r>
          </w:p>
        </w:tc>
      </w:tr>
      <w:tr w:rsidR="001A5284" w:rsidRPr="001A5284" w14:paraId="71286524" w14:textId="77777777" w:rsidTr="009B7DA4">
        <w:trPr>
          <w:tblCellSpacing w:w="15" w:type="dxa"/>
        </w:trPr>
        <w:tc>
          <w:tcPr>
            <w:tcW w:w="0" w:type="auto"/>
            <w:vAlign w:val="center"/>
            <w:hideMark/>
          </w:tcPr>
          <w:p w14:paraId="00CCB069" w14:textId="77777777" w:rsidR="001A5284" w:rsidRPr="001A5284" w:rsidRDefault="001A5284" w:rsidP="008A382D">
            <w:pPr>
              <w:spacing w:line="360" w:lineRule="auto"/>
              <w:jc w:val="both"/>
              <w:rPr>
                <w:sz w:val="24"/>
                <w:szCs w:val="24"/>
                <w:lang w:val="es-MX"/>
              </w:rPr>
            </w:pPr>
            <w:r w:rsidRPr="001A5284">
              <w:rPr>
                <w:sz w:val="24"/>
                <w:szCs w:val="24"/>
                <w:lang w:val="es-MX"/>
              </w:rPr>
              <w:t>Cuantitativo discreto</w:t>
            </w:r>
          </w:p>
        </w:tc>
        <w:tc>
          <w:tcPr>
            <w:tcW w:w="0" w:type="auto"/>
            <w:vAlign w:val="center"/>
            <w:hideMark/>
          </w:tcPr>
          <w:p w14:paraId="47984AA4" w14:textId="77777777" w:rsidR="001A5284" w:rsidRPr="001A5284" w:rsidRDefault="001A5284" w:rsidP="008A382D">
            <w:pPr>
              <w:spacing w:line="360" w:lineRule="auto"/>
              <w:jc w:val="both"/>
              <w:rPr>
                <w:sz w:val="24"/>
                <w:szCs w:val="24"/>
                <w:lang w:val="es-MX"/>
              </w:rPr>
            </w:pPr>
            <w:r w:rsidRPr="001A5284">
              <w:rPr>
                <w:sz w:val="24"/>
                <w:szCs w:val="24"/>
                <w:lang w:val="es-MX"/>
              </w:rPr>
              <w:t>Contable</w:t>
            </w:r>
          </w:p>
        </w:tc>
        <w:tc>
          <w:tcPr>
            <w:tcW w:w="0" w:type="auto"/>
            <w:vAlign w:val="center"/>
            <w:hideMark/>
          </w:tcPr>
          <w:p w14:paraId="38744CA6" w14:textId="77777777" w:rsidR="001A5284" w:rsidRPr="001A5284" w:rsidRDefault="001A5284" w:rsidP="008A382D">
            <w:pPr>
              <w:spacing w:line="360" w:lineRule="auto"/>
              <w:jc w:val="both"/>
              <w:rPr>
                <w:sz w:val="24"/>
                <w:szCs w:val="24"/>
                <w:lang w:val="es-MX"/>
              </w:rPr>
            </w:pPr>
            <w:r w:rsidRPr="001A5284">
              <w:rPr>
                <w:sz w:val="24"/>
                <w:szCs w:val="24"/>
                <w:lang w:val="es-MX"/>
              </w:rPr>
              <w:t>Número de estudiantes en clase</w:t>
            </w:r>
          </w:p>
        </w:tc>
        <w:tc>
          <w:tcPr>
            <w:tcW w:w="0" w:type="auto"/>
            <w:vAlign w:val="center"/>
            <w:hideMark/>
          </w:tcPr>
          <w:p w14:paraId="60AD3DCA" w14:textId="77777777" w:rsidR="001A5284" w:rsidRPr="001A5284" w:rsidRDefault="001A5284" w:rsidP="008A382D">
            <w:pPr>
              <w:spacing w:line="360" w:lineRule="auto"/>
              <w:jc w:val="both"/>
              <w:rPr>
                <w:sz w:val="24"/>
                <w:szCs w:val="24"/>
                <w:lang w:val="es-MX"/>
              </w:rPr>
            </w:pPr>
            <w:r w:rsidRPr="001A5284">
              <w:rPr>
                <w:sz w:val="24"/>
                <w:szCs w:val="24"/>
                <w:lang w:val="es-MX"/>
              </w:rPr>
              <w:t>Razón</w:t>
            </w:r>
          </w:p>
        </w:tc>
      </w:tr>
      <w:tr w:rsidR="001A5284" w:rsidRPr="001A5284" w14:paraId="6E9F8FA8" w14:textId="77777777" w:rsidTr="009B7DA4">
        <w:trPr>
          <w:tblCellSpacing w:w="15" w:type="dxa"/>
        </w:trPr>
        <w:tc>
          <w:tcPr>
            <w:tcW w:w="0" w:type="auto"/>
            <w:vAlign w:val="center"/>
            <w:hideMark/>
          </w:tcPr>
          <w:p w14:paraId="35BD1276" w14:textId="77777777" w:rsidR="001A5284" w:rsidRPr="001A5284" w:rsidRDefault="001A5284" w:rsidP="008A382D">
            <w:pPr>
              <w:spacing w:line="360" w:lineRule="auto"/>
              <w:jc w:val="both"/>
              <w:rPr>
                <w:sz w:val="24"/>
                <w:szCs w:val="24"/>
                <w:lang w:val="es-MX"/>
              </w:rPr>
            </w:pPr>
            <w:r w:rsidRPr="001A5284">
              <w:rPr>
                <w:sz w:val="24"/>
                <w:szCs w:val="24"/>
                <w:lang w:val="es-MX"/>
              </w:rPr>
              <w:t>Cuantitativo continuo</w:t>
            </w:r>
          </w:p>
        </w:tc>
        <w:tc>
          <w:tcPr>
            <w:tcW w:w="0" w:type="auto"/>
            <w:vAlign w:val="center"/>
            <w:hideMark/>
          </w:tcPr>
          <w:p w14:paraId="317A006D" w14:textId="77777777" w:rsidR="001A5284" w:rsidRPr="001A5284" w:rsidRDefault="001A5284" w:rsidP="008A382D">
            <w:pPr>
              <w:spacing w:line="360" w:lineRule="auto"/>
              <w:jc w:val="both"/>
              <w:rPr>
                <w:sz w:val="24"/>
                <w:szCs w:val="24"/>
                <w:lang w:val="es-MX"/>
              </w:rPr>
            </w:pPr>
            <w:r w:rsidRPr="001A5284">
              <w:rPr>
                <w:sz w:val="24"/>
                <w:szCs w:val="24"/>
                <w:lang w:val="es-MX"/>
              </w:rPr>
              <w:t>Medible en rango</w:t>
            </w:r>
          </w:p>
        </w:tc>
        <w:tc>
          <w:tcPr>
            <w:tcW w:w="0" w:type="auto"/>
            <w:vAlign w:val="center"/>
            <w:hideMark/>
          </w:tcPr>
          <w:p w14:paraId="306F1AFC" w14:textId="77777777" w:rsidR="001A5284" w:rsidRPr="001A5284" w:rsidRDefault="001A5284" w:rsidP="008A382D">
            <w:pPr>
              <w:spacing w:line="360" w:lineRule="auto"/>
              <w:jc w:val="both"/>
              <w:rPr>
                <w:sz w:val="24"/>
                <w:szCs w:val="24"/>
                <w:lang w:val="es-MX"/>
              </w:rPr>
            </w:pPr>
            <w:r w:rsidRPr="001A5284">
              <w:rPr>
                <w:sz w:val="24"/>
                <w:szCs w:val="24"/>
                <w:lang w:val="es-MX"/>
              </w:rPr>
              <w:t>Tiempo de resolución de un examen</w:t>
            </w:r>
          </w:p>
        </w:tc>
        <w:tc>
          <w:tcPr>
            <w:tcW w:w="0" w:type="auto"/>
            <w:vAlign w:val="center"/>
            <w:hideMark/>
          </w:tcPr>
          <w:p w14:paraId="316AF0AB" w14:textId="77777777" w:rsidR="001A5284" w:rsidRPr="001A5284" w:rsidRDefault="001A5284" w:rsidP="008A382D">
            <w:pPr>
              <w:spacing w:line="360" w:lineRule="auto"/>
              <w:jc w:val="both"/>
              <w:rPr>
                <w:sz w:val="24"/>
                <w:szCs w:val="24"/>
                <w:lang w:val="es-MX"/>
              </w:rPr>
            </w:pPr>
            <w:r w:rsidRPr="001A5284">
              <w:rPr>
                <w:sz w:val="24"/>
                <w:szCs w:val="24"/>
                <w:lang w:val="es-MX"/>
              </w:rPr>
              <w:t>Razón</w:t>
            </w:r>
          </w:p>
        </w:tc>
      </w:tr>
    </w:tbl>
    <w:p w14:paraId="09EE79E0" w14:textId="77777777" w:rsidR="001A5284" w:rsidRPr="001A5284" w:rsidRDefault="001A5284" w:rsidP="008A382D">
      <w:pPr>
        <w:spacing w:line="360" w:lineRule="auto"/>
        <w:jc w:val="both"/>
        <w:rPr>
          <w:sz w:val="24"/>
          <w:szCs w:val="24"/>
          <w:lang w:val="es-MX"/>
        </w:rPr>
      </w:pPr>
    </w:p>
    <w:p w14:paraId="33466EB0" w14:textId="77777777" w:rsidR="00E45754" w:rsidRPr="00E45754" w:rsidRDefault="00E45754" w:rsidP="008A382D">
      <w:pPr>
        <w:spacing w:line="360" w:lineRule="auto"/>
        <w:ind w:firstLine="567"/>
        <w:jc w:val="both"/>
        <w:rPr>
          <w:sz w:val="24"/>
          <w:szCs w:val="24"/>
          <w:lang w:val="es-MX"/>
        </w:rPr>
      </w:pPr>
      <w:r w:rsidRPr="00E45754">
        <w:rPr>
          <w:sz w:val="24"/>
          <w:szCs w:val="24"/>
          <w:lang w:val="es-MX"/>
        </w:rPr>
        <w:t>En contextos educativos, estas escalas son especialmente útiles. Por ejemplo, un listado de materias (Matemáticas, Historia, Ciencias) pertenece al nivel nominal, pues clasifica sin orden. Un conjunto de respuestas sobre el nivel de satisfacción de una clase se ubica en una escala ordinal, ya que expresa jerarquía, aunque no mide la distancia entre categorías. Las calificaciones numéricas de los estudiantes suelen considerarse de razón, pues el cero indica ausencia de rendimiento y las diferencias entre valores son medibles. Y el tiempo que tarda un alumno en responder un examen corresponde a una variable continua, que también se maneja en escala de razón (Triola, 2014; Stevens, 1946).</w:t>
      </w:r>
    </w:p>
    <w:p w14:paraId="30113506" w14:textId="166614BE" w:rsidR="00E45754" w:rsidRPr="00E45754" w:rsidRDefault="001A5284" w:rsidP="008A382D">
      <w:pPr>
        <w:spacing w:line="360" w:lineRule="auto"/>
        <w:ind w:firstLine="567"/>
        <w:jc w:val="both"/>
        <w:rPr>
          <w:sz w:val="24"/>
          <w:szCs w:val="24"/>
          <w:lang w:val="es-MX"/>
        </w:rPr>
      </w:pPr>
      <w:r w:rsidRPr="001A5284">
        <w:rPr>
          <w:sz w:val="24"/>
          <w:szCs w:val="24"/>
        </w:rPr>
        <w:t>Comprender los tipos de datos y las escalas de medición no es solo un requisito técnico. Es una forma de garantizar que las conclusiones obtenidas a partir de los datos educativos sean válidas y útiles. Elegir la escala correcta, en última instancia, determina qué tipo de verdad se puede afirmar sobre la realidad que se estudia</w:t>
      </w:r>
      <w:r w:rsidR="00E45754" w:rsidRPr="00E45754">
        <w:rPr>
          <w:sz w:val="24"/>
          <w:szCs w:val="24"/>
          <w:lang w:val="es-MX"/>
        </w:rPr>
        <w:t>.</w:t>
      </w:r>
    </w:p>
    <w:p w14:paraId="4CAC386D" w14:textId="77777777" w:rsidR="00E45754" w:rsidRDefault="00E45754" w:rsidP="008A382D">
      <w:pPr>
        <w:spacing w:line="360" w:lineRule="auto"/>
        <w:ind w:firstLine="567"/>
        <w:jc w:val="both"/>
        <w:rPr>
          <w:sz w:val="24"/>
          <w:szCs w:val="24"/>
          <w:lang w:val="es-MX"/>
        </w:rPr>
      </w:pPr>
    </w:p>
    <w:p w14:paraId="46DF8F18" w14:textId="30D815E6" w:rsidR="000670C0" w:rsidRPr="000670C0" w:rsidRDefault="006F546D" w:rsidP="008A382D">
      <w:pPr>
        <w:spacing w:line="360" w:lineRule="auto"/>
        <w:ind w:firstLine="567"/>
        <w:jc w:val="both"/>
        <w:rPr>
          <w:b/>
          <w:bCs/>
          <w:sz w:val="24"/>
          <w:szCs w:val="24"/>
          <w:lang w:val="es-MX"/>
        </w:rPr>
      </w:pPr>
      <w:r>
        <w:rPr>
          <w:b/>
          <w:bCs/>
          <w:sz w:val="24"/>
          <w:szCs w:val="24"/>
          <w:lang w:val="es-MX"/>
        </w:rPr>
        <w:lastRenderedPageBreak/>
        <w:t>1.2</w:t>
      </w:r>
      <w:r w:rsidR="000670C0" w:rsidRPr="000670C0">
        <w:rPr>
          <w:b/>
          <w:bCs/>
          <w:sz w:val="24"/>
          <w:szCs w:val="24"/>
          <w:lang w:val="es-MX"/>
        </w:rPr>
        <w:t>. Conceptos fundamentales</w:t>
      </w:r>
    </w:p>
    <w:p w14:paraId="09815C1F" w14:textId="77777777" w:rsidR="000670C0" w:rsidRPr="000670C0" w:rsidRDefault="000670C0" w:rsidP="008A382D">
      <w:pPr>
        <w:spacing w:line="360" w:lineRule="auto"/>
        <w:ind w:firstLine="567"/>
        <w:jc w:val="both"/>
        <w:rPr>
          <w:sz w:val="24"/>
          <w:szCs w:val="24"/>
          <w:lang w:val="es-MX"/>
        </w:rPr>
      </w:pPr>
      <w:r w:rsidRPr="000670C0">
        <w:rPr>
          <w:sz w:val="24"/>
          <w:szCs w:val="24"/>
          <w:lang w:val="es-MX"/>
        </w:rPr>
        <w:t xml:space="preserve">Cuando se habla de estadística, casi siempre se parte de una pregunta básica: ¿de qué conjunto de elementos se quiere obtener información? A ese conjunto se le llama población estadística, y puede estar formado por personas, objetos, eventos o cualquier entidad que comparta una o más características comunes. En términos más formales, es el total de unidades sobre el cual se desea conocer algo o tomar decisiones (Triola, 2014). Por ejemplo, en un estudio educativo, la población podría ser </w:t>
      </w:r>
      <w:r w:rsidRPr="000670C0">
        <w:rPr>
          <w:i/>
          <w:iCs/>
          <w:sz w:val="24"/>
          <w:szCs w:val="24"/>
          <w:lang w:val="es-MX"/>
        </w:rPr>
        <w:t>todos los estudiantes de secundaria de una ciudad</w:t>
      </w:r>
      <w:r w:rsidRPr="000670C0">
        <w:rPr>
          <w:sz w:val="24"/>
          <w:szCs w:val="24"/>
          <w:lang w:val="es-MX"/>
        </w:rPr>
        <w:t>. Es decir, el grupo completo que interesa analizar.</w:t>
      </w:r>
    </w:p>
    <w:p w14:paraId="42B7C0EB" w14:textId="77777777" w:rsidR="000670C0" w:rsidRPr="000670C0" w:rsidRDefault="000670C0" w:rsidP="008A382D">
      <w:pPr>
        <w:spacing w:line="360" w:lineRule="auto"/>
        <w:ind w:firstLine="567"/>
        <w:jc w:val="both"/>
        <w:rPr>
          <w:sz w:val="24"/>
          <w:szCs w:val="24"/>
          <w:lang w:val="es-MX"/>
        </w:rPr>
      </w:pPr>
      <w:r w:rsidRPr="000670C0">
        <w:rPr>
          <w:sz w:val="24"/>
          <w:szCs w:val="24"/>
          <w:lang w:val="es-MX"/>
        </w:rPr>
        <w:t>Sin embargo, en la mayoría de los casos no resulta posible estudiar a cada miembro de la población. Sería costoso, lento o, simplemente, inviable. Por eso se recurre a una muestra, que consiste en un subconjunto representativo de esa población. Su propósito es reflejar, de manera proporcional, las características generales del grupo total (Levine et al., 2016). En el ámbito escolar, se podría seleccionar una muestra de 150 estudiantes de entre 1,500 para aplicar una encuesta sobre hábitos de estudio. Si se elige adecuadamente, esa muestra permitirá extraer conclusiones válidas sin tener que consultar a todos los alumnos.</w:t>
      </w:r>
    </w:p>
    <w:p w14:paraId="1E70BEEE" w14:textId="77777777" w:rsidR="000670C0" w:rsidRDefault="000670C0" w:rsidP="008A382D">
      <w:pPr>
        <w:spacing w:line="360" w:lineRule="auto"/>
        <w:ind w:firstLine="567"/>
        <w:jc w:val="both"/>
        <w:rPr>
          <w:sz w:val="24"/>
          <w:szCs w:val="24"/>
          <w:lang w:val="es-MX"/>
        </w:rPr>
      </w:pPr>
      <w:r w:rsidRPr="000670C0">
        <w:rPr>
          <w:sz w:val="24"/>
          <w:szCs w:val="24"/>
          <w:lang w:val="es-MX"/>
        </w:rPr>
        <w:t>Dentro de una población o muestra, cada elemento posee atributos que pueden medirse o describirse. A estos atributos se los conoce como variables (Spiegel &amp; Stephens, 2008). Una variable puede representar casi cualquier aspecto que se quiera observar: edad, género, número de libros leídos, nivel de satisfacción, entre muchos otros. Lo importante es que cambie de un individuo a otro; de lo contrario, no habría información que analizar.</w:t>
      </w:r>
    </w:p>
    <w:p w14:paraId="52D5D537" w14:textId="52BB2033" w:rsidR="000D3FF5" w:rsidRDefault="000D3FF5" w:rsidP="008A382D">
      <w:pPr>
        <w:spacing w:line="360" w:lineRule="auto"/>
        <w:ind w:firstLine="567"/>
        <w:jc w:val="both"/>
        <w:rPr>
          <w:sz w:val="24"/>
          <w:szCs w:val="24"/>
        </w:rPr>
      </w:pPr>
      <w:r w:rsidRPr="000D3FF5">
        <w:rPr>
          <w:sz w:val="24"/>
          <w:szCs w:val="24"/>
        </w:rPr>
        <w:t>Para ilustrar la relación entre población y muestra, se puede representar la primera como un conjunto total de individuos y la segunda como un subconjunto seleccionado que mantiene sus mismas características esenciales.</w:t>
      </w:r>
    </w:p>
    <w:p w14:paraId="690C4E05" w14:textId="56698459" w:rsidR="000D3FF5" w:rsidRPr="000D3FF5" w:rsidRDefault="000D3FF5" w:rsidP="008A382D">
      <w:pPr>
        <w:spacing w:line="360" w:lineRule="auto"/>
        <w:ind w:firstLine="567"/>
        <w:jc w:val="both"/>
        <w:rPr>
          <w:b/>
          <w:bCs/>
          <w:sz w:val="24"/>
          <w:szCs w:val="24"/>
        </w:rPr>
      </w:pPr>
      <w:r w:rsidRPr="000D3FF5">
        <w:rPr>
          <w:b/>
          <w:bCs/>
          <w:sz w:val="24"/>
          <w:szCs w:val="24"/>
        </w:rPr>
        <w:t>Figura 1</w:t>
      </w:r>
    </w:p>
    <w:p w14:paraId="1322F0BA" w14:textId="47EEBED1" w:rsidR="000D3FF5" w:rsidRPr="000670C0" w:rsidRDefault="000D3FF5" w:rsidP="008A382D">
      <w:pPr>
        <w:spacing w:line="360" w:lineRule="auto"/>
        <w:ind w:firstLine="567"/>
        <w:jc w:val="both"/>
        <w:rPr>
          <w:i/>
          <w:iCs/>
          <w:sz w:val="24"/>
          <w:szCs w:val="24"/>
          <w:lang w:val="es-MX"/>
        </w:rPr>
      </w:pPr>
      <w:r w:rsidRPr="000D3FF5">
        <w:rPr>
          <w:i/>
          <w:iCs/>
          <w:sz w:val="24"/>
          <w:szCs w:val="24"/>
        </w:rPr>
        <w:t>Relación entre población y muestra</w:t>
      </w:r>
    </w:p>
    <w:p w14:paraId="783981F3" w14:textId="39AFA0F8" w:rsidR="000D3FF5" w:rsidRDefault="000D3FF5" w:rsidP="008A382D">
      <w:pPr>
        <w:spacing w:line="360" w:lineRule="auto"/>
        <w:jc w:val="both"/>
        <w:rPr>
          <w:sz w:val="24"/>
          <w:szCs w:val="24"/>
          <w:lang w:val="es-MX"/>
        </w:rPr>
      </w:pPr>
      <w:r>
        <w:rPr>
          <w:noProof/>
          <w:sz w:val="24"/>
          <w:szCs w:val="24"/>
          <w:lang w:val="es-MX"/>
        </w:rPr>
        <w:lastRenderedPageBreak/>
        <w:drawing>
          <wp:inline distT="0" distB="0" distL="0" distR="0" wp14:anchorId="21BF12DA" wp14:editId="0E985B3A">
            <wp:extent cx="5486400" cy="3200400"/>
            <wp:effectExtent l="0" t="0" r="0" b="19050"/>
            <wp:docPr id="1436818629"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9CD6FE1" w14:textId="7FD34285" w:rsidR="000D3FF5" w:rsidRDefault="00257FE0" w:rsidP="008A382D">
      <w:pPr>
        <w:spacing w:line="360" w:lineRule="auto"/>
        <w:jc w:val="both"/>
        <w:rPr>
          <w:sz w:val="24"/>
          <w:szCs w:val="24"/>
        </w:rPr>
      </w:pPr>
      <w:r>
        <w:rPr>
          <w:sz w:val="24"/>
          <w:szCs w:val="24"/>
          <w:lang w:val="es-MX"/>
        </w:rPr>
        <w:t>Fuente</w:t>
      </w:r>
      <w:r w:rsidR="000D3FF5">
        <w:rPr>
          <w:sz w:val="24"/>
          <w:szCs w:val="24"/>
          <w:lang w:val="es-MX"/>
        </w:rPr>
        <w:t xml:space="preserve">: </w:t>
      </w:r>
      <w:r>
        <w:rPr>
          <w:sz w:val="24"/>
          <w:szCs w:val="24"/>
        </w:rPr>
        <w:t>Elaboración</w:t>
      </w:r>
      <w:r w:rsidR="000D3FF5" w:rsidRPr="000D3FF5">
        <w:rPr>
          <w:sz w:val="24"/>
          <w:szCs w:val="24"/>
        </w:rPr>
        <w:t xml:space="preserve"> propia con base en Triola, </w:t>
      </w:r>
      <w:r>
        <w:rPr>
          <w:sz w:val="24"/>
          <w:szCs w:val="24"/>
        </w:rPr>
        <w:t>(</w:t>
      </w:r>
      <w:r w:rsidR="000D3FF5" w:rsidRPr="000D3FF5">
        <w:rPr>
          <w:sz w:val="24"/>
          <w:szCs w:val="24"/>
        </w:rPr>
        <w:t>2014</w:t>
      </w:r>
      <w:r>
        <w:rPr>
          <w:sz w:val="24"/>
          <w:szCs w:val="24"/>
        </w:rPr>
        <w:t>) y</w:t>
      </w:r>
      <w:r w:rsidR="000D3FF5" w:rsidRPr="000D3FF5">
        <w:rPr>
          <w:sz w:val="24"/>
          <w:szCs w:val="24"/>
        </w:rPr>
        <w:t xml:space="preserve"> Levine et al. </w:t>
      </w:r>
      <w:r>
        <w:rPr>
          <w:sz w:val="24"/>
          <w:szCs w:val="24"/>
        </w:rPr>
        <w:t>(</w:t>
      </w:r>
      <w:r w:rsidR="000D3FF5" w:rsidRPr="000D3FF5">
        <w:rPr>
          <w:sz w:val="24"/>
          <w:szCs w:val="24"/>
        </w:rPr>
        <w:t>2016</w:t>
      </w:r>
      <w:r>
        <w:rPr>
          <w:sz w:val="24"/>
          <w:szCs w:val="24"/>
        </w:rPr>
        <w:t>)</w:t>
      </w:r>
      <w:r w:rsidR="000D3FF5" w:rsidRPr="000D3FF5">
        <w:rPr>
          <w:sz w:val="24"/>
          <w:szCs w:val="24"/>
        </w:rPr>
        <w:t>.</w:t>
      </w:r>
    </w:p>
    <w:p w14:paraId="5365A16D" w14:textId="77777777" w:rsidR="000D3FF5" w:rsidRDefault="000D3FF5" w:rsidP="008A382D">
      <w:pPr>
        <w:spacing w:line="360" w:lineRule="auto"/>
        <w:jc w:val="both"/>
        <w:rPr>
          <w:sz w:val="24"/>
          <w:szCs w:val="24"/>
          <w:lang w:val="es-MX"/>
        </w:rPr>
      </w:pPr>
    </w:p>
    <w:p w14:paraId="665975D8" w14:textId="21DCE562" w:rsidR="000670C0" w:rsidRDefault="000670C0" w:rsidP="008A382D">
      <w:pPr>
        <w:spacing w:line="360" w:lineRule="auto"/>
        <w:ind w:firstLine="567"/>
        <w:jc w:val="both"/>
        <w:rPr>
          <w:sz w:val="24"/>
          <w:szCs w:val="24"/>
          <w:lang w:val="es-MX"/>
        </w:rPr>
      </w:pPr>
      <w:r w:rsidRPr="000670C0">
        <w:rPr>
          <w:sz w:val="24"/>
          <w:szCs w:val="24"/>
          <w:lang w:val="es-MX"/>
        </w:rPr>
        <w:t>Las variables se dividen en cualitativas y cuantitativas, según la naturaleza de los valores que adopten (Larson &amp; Farber, 2014). Las cualitativas, también llamadas categóricas, expresan cualidades o categorías no numéricas, como el área de estudio o el tipo de institución educativa. Las cuantitativas, en cambio, expresan valores numéricos y se subdividen en dos tipos: discretas, que provienen de un conteo —por ejemplo, el número de hijos o el número de materias aprobadas—, y continuas, que surgen de una medición, como la estatura, el peso o el tiempo que tarda un estudiante en completar una tarea. En los datos continuos, los valores pueden adoptar infinitas posiciones dentro de un rango, lo que los hace más sensibles y ricos para el análisis.</w:t>
      </w:r>
    </w:p>
    <w:p w14:paraId="6E20166A" w14:textId="748D69F9" w:rsidR="000D3FF5" w:rsidRDefault="000D3FF5" w:rsidP="008A382D">
      <w:pPr>
        <w:spacing w:line="360" w:lineRule="auto"/>
        <w:ind w:firstLine="567"/>
        <w:jc w:val="both"/>
        <w:rPr>
          <w:sz w:val="24"/>
          <w:szCs w:val="24"/>
        </w:rPr>
      </w:pPr>
      <w:r w:rsidRPr="000D3FF5">
        <w:rPr>
          <w:sz w:val="24"/>
          <w:szCs w:val="24"/>
        </w:rPr>
        <w:t xml:space="preserve">Las variables pueden clasificarse en cualitativas y cuantitativas. </w:t>
      </w:r>
      <w:r>
        <w:rPr>
          <w:sz w:val="24"/>
          <w:szCs w:val="24"/>
        </w:rPr>
        <w:t>La</w:t>
      </w:r>
      <w:r w:rsidRPr="000D3FF5">
        <w:rPr>
          <w:sz w:val="24"/>
          <w:szCs w:val="24"/>
        </w:rPr>
        <w:t xml:space="preserve"> figura</w:t>
      </w:r>
      <w:r>
        <w:rPr>
          <w:sz w:val="24"/>
          <w:szCs w:val="24"/>
        </w:rPr>
        <w:t xml:space="preserve"> 2,</w:t>
      </w:r>
      <w:r w:rsidRPr="000D3FF5">
        <w:rPr>
          <w:sz w:val="24"/>
          <w:szCs w:val="24"/>
        </w:rPr>
        <w:t xml:space="preserve"> </w:t>
      </w:r>
      <w:r>
        <w:rPr>
          <w:sz w:val="24"/>
          <w:szCs w:val="24"/>
        </w:rPr>
        <w:t>muestra</w:t>
      </w:r>
      <w:r w:rsidRPr="000D3FF5">
        <w:rPr>
          <w:sz w:val="24"/>
          <w:szCs w:val="24"/>
        </w:rPr>
        <w:t xml:space="preserve"> sus diferencias principales y las subcategorías que pueden adoptar.</w:t>
      </w:r>
    </w:p>
    <w:p w14:paraId="7E81124D" w14:textId="1A21D32D" w:rsidR="000D3FF5" w:rsidRPr="000D3FF5" w:rsidRDefault="000D3FF5" w:rsidP="008A382D">
      <w:pPr>
        <w:spacing w:line="360" w:lineRule="auto"/>
        <w:ind w:firstLine="567"/>
        <w:jc w:val="both"/>
        <w:rPr>
          <w:b/>
          <w:bCs/>
          <w:sz w:val="24"/>
          <w:szCs w:val="24"/>
        </w:rPr>
      </w:pPr>
      <w:r w:rsidRPr="000D3FF5">
        <w:rPr>
          <w:b/>
          <w:bCs/>
          <w:sz w:val="24"/>
          <w:szCs w:val="24"/>
        </w:rPr>
        <w:t xml:space="preserve">Figura </w:t>
      </w:r>
      <w:r>
        <w:rPr>
          <w:b/>
          <w:bCs/>
          <w:sz w:val="24"/>
          <w:szCs w:val="24"/>
        </w:rPr>
        <w:t>2</w:t>
      </w:r>
    </w:p>
    <w:p w14:paraId="38A81839" w14:textId="6D615A24" w:rsidR="000D3FF5" w:rsidRPr="000670C0" w:rsidRDefault="000D3FF5" w:rsidP="008A382D">
      <w:pPr>
        <w:spacing w:line="360" w:lineRule="auto"/>
        <w:ind w:firstLine="567"/>
        <w:jc w:val="both"/>
        <w:rPr>
          <w:i/>
          <w:iCs/>
          <w:sz w:val="24"/>
          <w:szCs w:val="24"/>
          <w:lang w:val="es-MX"/>
        </w:rPr>
      </w:pPr>
      <w:r w:rsidRPr="000D3FF5">
        <w:rPr>
          <w:i/>
          <w:iCs/>
          <w:sz w:val="24"/>
          <w:szCs w:val="24"/>
        </w:rPr>
        <w:t>Tipos de variables estadísticas</w:t>
      </w:r>
    </w:p>
    <w:p w14:paraId="1B6BB904" w14:textId="3A8665F3" w:rsidR="000D3FF5" w:rsidRDefault="000D3FF5" w:rsidP="008A382D">
      <w:pPr>
        <w:tabs>
          <w:tab w:val="left" w:pos="3310"/>
        </w:tabs>
        <w:spacing w:line="360" w:lineRule="auto"/>
        <w:ind w:firstLine="567"/>
        <w:jc w:val="both"/>
        <w:rPr>
          <w:sz w:val="24"/>
          <w:szCs w:val="24"/>
          <w:lang w:val="es-MX"/>
        </w:rPr>
      </w:pPr>
      <w:r>
        <w:rPr>
          <w:noProof/>
          <w:sz w:val="24"/>
          <w:szCs w:val="24"/>
          <w:lang w:val="es-MX"/>
        </w:rPr>
        <w:lastRenderedPageBreak/>
        <w:drawing>
          <wp:inline distT="0" distB="0" distL="0" distR="0" wp14:anchorId="51020034" wp14:editId="4E44EEB6">
            <wp:extent cx="5486400" cy="3598223"/>
            <wp:effectExtent l="0" t="38100" r="0" b="59690"/>
            <wp:docPr id="161901205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F620E86" w14:textId="192A9895" w:rsidR="000D3FF5" w:rsidRDefault="00336D1E" w:rsidP="008A382D">
      <w:pPr>
        <w:tabs>
          <w:tab w:val="left" w:pos="3310"/>
        </w:tabs>
        <w:spacing w:line="360" w:lineRule="auto"/>
        <w:jc w:val="both"/>
        <w:rPr>
          <w:sz w:val="24"/>
          <w:szCs w:val="24"/>
          <w:lang w:val="es-MX"/>
        </w:rPr>
      </w:pPr>
      <w:r>
        <w:rPr>
          <w:sz w:val="24"/>
          <w:szCs w:val="24"/>
          <w:lang w:val="es-MX"/>
        </w:rPr>
        <w:t>Fuente:</w:t>
      </w:r>
      <w:r w:rsidRPr="00336D1E">
        <w:rPr>
          <w:sz w:val="24"/>
          <w:szCs w:val="24"/>
          <w:lang w:val="es-MX"/>
        </w:rPr>
        <w:t xml:space="preserve"> Clasificación de las variables estadísticas (elaboración propia con base en Spiegel &amp; Stephens, 2008; Larson &amp; Farber, 2014).</w:t>
      </w:r>
    </w:p>
    <w:p w14:paraId="31786D25" w14:textId="0EA58814" w:rsidR="000D3FF5" w:rsidRPr="000670C0" w:rsidRDefault="000D3FF5" w:rsidP="008A382D">
      <w:pPr>
        <w:tabs>
          <w:tab w:val="left" w:pos="3310"/>
        </w:tabs>
        <w:spacing w:line="360" w:lineRule="auto"/>
        <w:ind w:firstLine="567"/>
        <w:jc w:val="both"/>
        <w:rPr>
          <w:sz w:val="24"/>
          <w:szCs w:val="24"/>
          <w:lang w:val="es-MX"/>
        </w:rPr>
      </w:pPr>
      <w:r>
        <w:rPr>
          <w:sz w:val="24"/>
          <w:szCs w:val="24"/>
          <w:lang w:val="es-MX"/>
        </w:rPr>
        <w:tab/>
      </w:r>
    </w:p>
    <w:p w14:paraId="110AC0F4" w14:textId="4494F038" w:rsidR="000670C0" w:rsidRPr="000670C0" w:rsidRDefault="000670C0" w:rsidP="008A382D">
      <w:pPr>
        <w:spacing w:line="360" w:lineRule="auto"/>
        <w:ind w:firstLine="567"/>
        <w:jc w:val="both"/>
        <w:rPr>
          <w:sz w:val="24"/>
          <w:szCs w:val="24"/>
          <w:lang w:val="es-MX"/>
        </w:rPr>
      </w:pPr>
      <w:r w:rsidRPr="000670C0">
        <w:rPr>
          <w:sz w:val="24"/>
          <w:szCs w:val="24"/>
          <w:lang w:val="es-MX"/>
        </w:rPr>
        <w:t>En el lenguaje estadístico también se distingue entre parámetro y estadístico, dos conceptos que, aunque parecidos, no significan lo mismo. Un parámetro es una medida numérica que describe una característica de toda la población, mientras que un estadístico resume esa misma característica, pero dentro de la muestra (Wackerly, Mendenhall &amp; Scheaffer, 2010). Así, si se calcula la media de calificaciones de todos los estudiantes de una escuela, se obtiene un parámetro; si esa media proviene solo de una muestra de 50 alumnos, se trata de un estadístico. Los estadísticos son útiles porque, al ser más accesibles, permiten estimar los valores de los parámetros reales, que en la práctica rara vez se conocen con exactitud.</w:t>
      </w:r>
    </w:p>
    <w:p w14:paraId="6499102E" w14:textId="77777777" w:rsidR="000670C0" w:rsidRPr="000670C0" w:rsidRDefault="000670C0" w:rsidP="008A382D">
      <w:pPr>
        <w:spacing w:line="360" w:lineRule="auto"/>
        <w:ind w:firstLine="567"/>
        <w:jc w:val="both"/>
        <w:rPr>
          <w:sz w:val="24"/>
          <w:szCs w:val="24"/>
          <w:lang w:val="es-MX"/>
        </w:rPr>
      </w:pPr>
      <w:r w:rsidRPr="000670C0">
        <w:rPr>
          <w:sz w:val="24"/>
          <w:szCs w:val="24"/>
          <w:lang w:val="es-MX"/>
        </w:rPr>
        <w:t>El parámetro cumple, por tanto, una función teórica esencial: representa la medida verdadera de la población, aquella que el investigador desea aproximar o estimar (Johnson &amp; Kuby, 2011). De allí que todo análisis estadístico aspire a reducir la distancia entre el estadístico obtenido y el parámetro que se intenta conocer. Cuanto menor sea esa diferencia, mayor será la calidad de la inferencia.</w:t>
      </w:r>
    </w:p>
    <w:p w14:paraId="5F0E8FBF" w14:textId="77777777" w:rsidR="000670C0" w:rsidRPr="000670C0" w:rsidRDefault="000670C0" w:rsidP="008A382D">
      <w:pPr>
        <w:spacing w:line="360" w:lineRule="auto"/>
        <w:ind w:firstLine="567"/>
        <w:jc w:val="both"/>
        <w:rPr>
          <w:sz w:val="24"/>
          <w:szCs w:val="24"/>
          <w:lang w:val="es-MX"/>
        </w:rPr>
      </w:pPr>
      <w:r w:rsidRPr="000670C0">
        <w:rPr>
          <w:sz w:val="24"/>
          <w:szCs w:val="24"/>
          <w:lang w:val="es-MX"/>
        </w:rPr>
        <w:t xml:space="preserve">Para que los datos puedan entenderse mejor, se organizan en distribuciones de frecuencia, que muestran cuántas veces aparece cada valor o grupo de valores dentro </w:t>
      </w:r>
      <w:r w:rsidRPr="000670C0">
        <w:rPr>
          <w:sz w:val="24"/>
          <w:szCs w:val="24"/>
          <w:lang w:val="es-MX"/>
        </w:rPr>
        <w:lastRenderedPageBreak/>
        <w:t>del conjunto (Triola, 2014). Estas tablas permiten observar patrones, concentraciones o dispersiones de datos de forma ordenada. En la práctica educativa, una distribución de frecuencias puede mostrar, por ejemplo, cómo se reparten las calificaciones de un examen entre los distintos intervalos de nota.</w:t>
      </w:r>
    </w:p>
    <w:p w14:paraId="6403BAD4" w14:textId="0513423E" w:rsidR="002948D3" w:rsidRDefault="002948D3" w:rsidP="008A382D">
      <w:pPr>
        <w:spacing w:line="360" w:lineRule="auto"/>
        <w:ind w:firstLine="567"/>
        <w:jc w:val="both"/>
        <w:rPr>
          <w:sz w:val="24"/>
          <w:szCs w:val="24"/>
          <w:lang w:val="es-MX"/>
        </w:rPr>
      </w:pPr>
      <w:r w:rsidRPr="002948D3">
        <w:rPr>
          <w:sz w:val="24"/>
          <w:szCs w:val="24"/>
        </w:rPr>
        <w:t>Las distribuciones de frecuencia permiten organizar los datos de forma ordenada, mostrando la cantidad de veces que aparece cada valor o intervalo</w:t>
      </w:r>
      <w:r>
        <w:rPr>
          <w:sz w:val="24"/>
          <w:szCs w:val="24"/>
        </w:rPr>
        <w:t xml:space="preserve"> (ver figura 3)</w:t>
      </w:r>
      <w:r w:rsidRPr="002948D3">
        <w:rPr>
          <w:sz w:val="24"/>
          <w:szCs w:val="24"/>
        </w:rPr>
        <w:t>.</w:t>
      </w:r>
    </w:p>
    <w:p w14:paraId="5A2AADD1" w14:textId="77777777" w:rsidR="002948D3" w:rsidRPr="002948D3" w:rsidRDefault="002948D3" w:rsidP="008A382D">
      <w:pPr>
        <w:spacing w:line="360" w:lineRule="auto"/>
        <w:jc w:val="both"/>
        <w:rPr>
          <w:b/>
          <w:bCs/>
          <w:sz w:val="24"/>
          <w:szCs w:val="24"/>
        </w:rPr>
      </w:pPr>
      <w:r w:rsidRPr="002948D3">
        <w:rPr>
          <w:b/>
          <w:bCs/>
          <w:sz w:val="24"/>
          <w:szCs w:val="24"/>
        </w:rPr>
        <w:t xml:space="preserve">Figura 3. </w:t>
      </w:r>
    </w:p>
    <w:p w14:paraId="28CAFF93" w14:textId="18F71699" w:rsidR="002948D3" w:rsidRDefault="002948D3" w:rsidP="008A382D">
      <w:pPr>
        <w:spacing w:line="360" w:lineRule="auto"/>
        <w:jc w:val="both"/>
        <w:rPr>
          <w:i/>
          <w:iCs/>
          <w:sz w:val="24"/>
          <w:szCs w:val="24"/>
        </w:rPr>
      </w:pPr>
      <w:r w:rsidRPr="002948D3">
        <w:rPr>
          <w:i/>
          <w:iCs/>
          <w:sz w:val="24"/>
          <w:szCs w:val="24"/>
        </w:rPr>
        <w:t>Ejemplo de distribución de frecuencias</w:t>
      </w:r>
    </w:p>
    <w:p w14:paraId="263B1952" w14:textId="43E8DE43" w:rsidR="002948D3" w:rsidRDefault="002948D3" w:rsidP="008A382D">
      <w:pPr>
        <w:spacing w:line="360" w:lineRule="auto"/>
        <w:ind w:firstLine="567"/>
        <w:jc w:val="both"/>
        <w:rPr>
          <w:sz w:val="24"/>
          <w:szCs w:val="24"/>
          <w:lang w:val="es-MX"/>
        </w:rPr>
      </w:pPr>
      <w:r w:rsidRPr="002948D3">
        <w:rPr>
          <w:noProof/>
        </w:rPr>
        <w:t xml:space="preserve"> </w:t>
      </w:r>
      <w:r>
        <w:rPr>
          <w:noProof/>
        </w:rPr>
        <w:drawing>
          <wp:inline distT="0" distB="0" distL="0" distR="0" wp14:anchorId="5D63D518" wp14:editId="490E900D">
            <wp:extent cx="3564684" cy="2688609"/>
            <wp:effectExtent l="0" t="0" r="0" b="0"/>
            <wp:docPr id="1614249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49426" name=""/>
                    <pic:cNvPicPr/>
                  </pic:nvPicPr>
                  <pic:blipFill rotWithShape="1">
                    <a:blip r:embed="rId15"/>
                    <a:srcRect l="9009" t="9711" r="5953" b="21156"/>
                    <a:stretch>
                      <a:fillRect/>
                    </a:stretch>
                  </pic:blipFill>
                  <pic:spPr bwMode="auto">
                    <a:xfrm>
                      <a:off x="0" y="0"/>
                      <a:ext cx="3571778" cy="2693959"/>
                    </a:xfrm>
                    <a:prstGeom prst="rect">
                      <a:avLst/>
                    </a:prstGeom>
                    <a:ln>
                      <a:noFill/>
                    </a:ln>
                    <a:extLst>
                      <a:ext uri="{53640926-AAD7-44D8-BBD7-CCE9431645EC}">
                        <a14:shadowObscured xmlns:a14="http://schemas.microsoft.com/office/drawing/2010/main"/>
                      </a:ext>
                    </a:extLst>
                  </pic:spPr>
                </pic:pic>
              </a:graphicData>
            </a:graphic>
          </wp:inline>
        </w:drawing>
      </w:r>
    </w:p>
    <w:p w14:paraId="6C19FF1C" w14:textId="6AE0CDF8" w:rsidR="002948D3" w:rsidRDefault="003A65CB" w:rsidP="008A382D">
      <w:pPr>
        <w:spacing w:line="360" w:lineRule="auto"/>
        <w:ind w:firstLine="567"/>
        <w:jc w:val="both"/>
        <w:rPr>
          <w:sz w:val="24"/>
          <w:szCs w:val="24"/>
        </w:rPr>
      </w:pPr>
      <w:r w:rsidRPr="003A65CB">
        <w:rPr>
          <w:b/>
          <w:bCs/>
          <w:sz w:val="24"/>
          <w:szCs w:val="24"/>
          <w:lang w:val="es-MX"/>
        </w:rPr>
        <w:t>Fuente</w:t>
      </w:r>
      <w:r>
        <w:rPr>
          <w:sz w:val="24"/>
          <w:szCs w:val="24"/>
          <w:lang w:val="es-MX"/>
        </w:rPr>
        <w:t xml:space="preserve">: </w:t>
      </w:r>
      <w:r w:rsidRPr="003A65CB">
        <w:rPr>
          <w:sz w:val="24"/>
          <w:szCs w:val="24"/>
        </w:rPr>
        <w:t>Ejemplo de distribución de frecuencias en calificaciones (elaboración propia con base en Triola, 2014).</w:t>
      </w:r>
    </w:p>
    <w:p w14:paraId="05FF2EE8" w14:textId="77777777" w:rsidR="003A65CB" w:rsidRDefault="003A65CB" w:rsidP="008A382D">
      <w:pPr>
        <w:spacing w:line="360" w:lineRule="auto"/>
        <w:ind w:firstLine="567"/>
        <w:jc w:val="both"/>
        <w:rPr>
          <w:sz w:val="24"/>
          <w:szCs w:val="24"/>
          <w:lang w:val="es-MX"/>
        </w:rPr>
      </w:pPr>
    </w:p>
    <w:p w14:paraId="4CAD86D3" w14:textId="2D6B0364" w:rsidR="000670C0" w:rsidRPr="000670C0" w:rsidRDefault="000670C0" w:rsidP="008A382D">
      <w:pPr>
        <w:spacing w:line="360" w:lineRule="auto"/>
        <w:ind w:firstLine="567"/>
        <w:jc w:val="both"/>
        <w:rPr>
          <w:sz w:val="24"/>
          <w:szCs w:val="24"/>
          <w:lang w:val="es-MX"/>
        </w:rPr>
      </w:pPr>
      <w:r w:rsidRPr="000670C0">
        <w:rPr>
          <w:sz w:val="24"/>
          <w:szCs w:val="24"/>
          <w:lang w:val="es-MX"/>
        </w:rPr>
        <w:t>Una de las formas más comunes de representar esas distribuciones es el histograma</w:t>
      </w:r>
      <w:r w:rsidR="00C3080A">
        <w:rPr>
          <w:sz w:val="24"/>
          <w:szCs w:val="24"/>
          <w:lang w:val="es-MX"/>
        </w:rPr>
        <w:t xml:space="preserve"> (figura 4)</w:t>
      </w:r>
      <w:r w:rsidRPr="000670C0">
        <w:rPr>
          <w:sz w:val="24"/>
          <w:szCs w:val="24"/>
          <w:lang w:val="es-MX"/>
        </w:rPr>
        <w:t>, una gráfica de barras contiguas que muestra las frecuencias de los intervalos de clase de los datos cuantitativos continuos (Levine et al., 2016). Cada barra indica la frecuencia correspondiente a un rango de valores; la continuidad entre ellas refleja que los datos forman parte de una escala continua.</w:t>
      </w:r>
    </w:p>
    <w:p w14:paraId="3DB90D34" w14:textId="2F2EF293" w:rsidR="003A65CB" w:rsidRDefault="003A65CB" w:rsidP="008A382D">
      <w:pPr>
        <w:spacing w:line="360" w:lineRule="auto"/>
        <w:jc w:val="both"/>
        <w:rPr>
          <w:sz w:val="24"/>
          <w:szCs w:val="24"/>
        </w:rPr>
      </w:pPr>
      <w:r>
        <w:rPr>
          <w:sz w:val="24"/>
          <w:szCs w:val="24"/>
        </w:rPr>
        <w:t>Figura 4</w:t>
      </w:r>
    </w:p>
    <w:p w14:paraId="6720D605" w14:textId="721AF511" w:rsidR="003A65CB" w:rsidRDefault="003A65CB" w:rsidP="008A382D">
      <w:pPr>
        <w:spacing w:line="360" w:lineRule="auto"/>
        <w:jc w:val="both"/>
        <w:rPr>
          <w:sz w:val="24"/>
          <w:szCs w:val="24"/>
        </w:rPr>
      </w:pPr>
      <w:r w:rsidRPr="003A65CB">
        <w:rPr>
          <w:b/>
          <w:bCs/>
          <w:sz w:val="24"/>
          <w:szCs w:val="24"/>
        </w:rPr>
        <w:t>Histograma</w:t>
      </w:r>
    </w:p>
    <w:p w14:paraId="22F6A511" w14:textId="77777777" w:rsidR="003A65CB" w:rsidRDefault="003A65CB" w:rsidP="008A382D">
      <w:pPr>
        <w:spacing w:line="360" w:lineRule="auto"/>
        <w:ind w:firstLine="567"/>
        <w:jc w:val="both"/>
        <w:rPr>
          <w:sz w:val="24"/>
          <w:szCs w:val="24"/>
        </w:rPr>
      </w:pPr>
    </w:p>
    <w:p w14:paraId="5A3D1FEF" w14:textId="4FFBE3E9" w:rsidR="003A65CB" w:rsidRDefault="003A65CB" w:rsidP="008A382D">
      <w:pPr>
        <w:spacing w:line="360" w:lineRule="auto"/>
        <w:ind w:firstLine="567"/>
        <w:jc w:val="both"/>
        <w:rPr>
          <w:sz w:val="24"/>
          <w:szCs w:val="24"/>
        </w:rPr>
      </w:pPr>
      <w:r>
        <w:rPr>
          <w:noProof/>
          <w:sz w:val="24"/>
          <w:szCs w:val="24"/>
        </w:rPr>
        <w:lastRenderedPageBreak/>
        <mc:AlternateContent>
          <mc:Choice Requires="cx1">
            <w:drawing>
              <wp:inline distT="0" distB="0" distL="0" distR="0" wp14:anchorId="0D635111" wp14:editId="7863EDBE">
                <wp:extent cx="5486400" cy="3200400"/>
                <wp:effectExtent l="0" t="0" r="0" b="0"/>
                <wp:docPr id="1942122484" name="Gráfico 5"/>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6"/>
                  </a:graphicData>
                </a:graphic>
              </wp:inline>
            </w:drawing>
          </mc:Choice>
          <mc:Fallback>
            <w:drawing>
              <wp:inline distT="0" distB="0" distL="0" distR="0" wp14:anchorId="0D635111" wp14:editId="7863EDBE">
                <wp:extent cx="5486400" cy="3200400"/>
                <wp:effectExtent l="0" t="0" r="0" b="0"/>
                <wp:docPr id="1942122484" name="Gráfico 5"/>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2122484" name="Gráfico 5"/>
                        <pic:cNvPicPr>
                          <a:picLocks noGrp="1" noRot="1" noChangeAspect="1" noMove="1" noResize="1" noEditPoints="1" noAdjustHandles="1" noChangeArrowheads="1" noChangeShapeType="1"/>
                        </pic:cNvPicPr>
                      </pic:nvPicPr>
                      <pic:blipFill>
                        <a:blip r:embed="rId17"/>
                        <a:stretch>
                          <a:fillRect/>
                        </a:stretch>
                      </pic:blipFill>
                      <pic:spPr>
                        <a:xfrm>
                          <a:off x="0" y="0"/>
                          <a:ext cx="5486400" cy="3200400"/>
                        </a:xfrm>
                        <a:prstGeom prst="rect">
                          <a:avLst/>
                        </a:prstGeom>
                      </pic:spPr>
                    </pic:pic>
                  </a:graphicData>
                </a:graphic>
              </wp:inline>
            </w:drawing>
          </mc:Fallback>
        </mc:AlternateContent>
      </w:r>
    </w:p>
    <w:p w14:paraId="17BDC9F9" w14:textId="77777777" w:rsidR="003A65CB" w:rsidRDefault="003A65CB" w:rsidP="008A382D">
      <w:pPr>
        <w:spacing w:line="360" w:lineRule="auto"/>
        <w:ind w:firstLine="567"/>
        <w:jc w:val="both"/>
        <w:rPr>
          <w:sz w:val="24"/>
          <w:szCs w:val="24"/>
        </w:rPr>
      </w:pPr>
    </w:p>
    <w:p w14:paraId="471D566C" w14:textId="12C7EEE3" w:rsidR="00C3080A" w:rsidRDefault="00C3080A" w:rsidP="008A382D">
      <w:pPr>
        <w:spacing w:line="360" w:lineRule="auto"/>
        <w:ind w:firstLine="567"/>
        <w:jc w:val="both"/>
        <w:rPr>
          <w:sz w:val="24"/>
          <w:szCs w:val="24"/>
          <w:lang w:val="es-MX"/>
        </w:rPr>
      </w:pPr>
      <w:r w:rsidRPr="000670C0">
        <w:rPr>
          <w:sz w:val="24"/>
          <w:szCs w:val="24"/>
          <w:lang w:val="es-MX"/>
        </w:rPr>
        <w:t>En cambio, el diagrama de barras</w:t>
      </w:r>
      <w:r>
        <w:rPr>
          <w:sz w:val="24"/>
          <w:szCs w:val="24"/>
          <w:lang w:val="es-MX"/>
        </w:rPr>
        <w:t xml:space="preserve"> (figura 5)</w:t>
      </w:r>
      <w:r w:rsidRPr="000670C0">
        <w:rPr>
          <w:sz w:val="24"/>
          <w:szCs w:val="24"/>
          <w:lang w:val="es-MX"/>
        </w:rPr>
        <w:t xml:space="preserve"> se utiliza para variables categóricas o discretas, donde las barras permanecen separadas, ya que cada categoría es independiente. Por su parte, el polígono de frecuencias </w:t>
      </w:r>
      <w:r>
        <w:rPr>
          <w:sz w:val="24"/>
          <w:szCs w:val="24"/>
          <w:lang w:val="es-MX"/>
        </w:rPr>
        <w:t xml:space="preserve">(figura 6) </w:t>
      </w:r>
      <w:r w:rsidRPr="000670C0">
        <w:rPr>
          <w:sz w:val="24"/>
          <w:szCs w:val="24"/>
          <w:lang w:val="es-MX"/>
        </w:rPr>
        <w:t>conecta los puntos medios de los intervalos mediante una línea quebrada, ofreciendo una visión más fluida del comportamiento general de los datos (Spiegel &amp; Stephens, 2008). Estos gráficos, aunque sencillos, son esenciales para visualizar tendencias y comparar grupos de manera intuitiva.</w:t>
      </w:r>
    </w:p>
    <w:p w14:paraId="03B4E0AE" w14:textId="20632CE3" w:rsidR="003A65CB" w:rsidRPr="003A65CB" w:rsidRDefault="003A65CB" w:rsidP="008A382D">
      <w:pPr>
        <w:spacing w:line="360" w:lineRule="auto"/>
        <w:jc w:val="both"/>
        <w:rPr>
          <w:b/>
          <w:bCs/>
          <w:sz w:val="24"/>
          <w:szCs w:val="24"/>
        </w:rPr>
      </w:pPr>
      <w:r w:rsidRPr="003A65CB">
        <w:rPr>
          <w:b/>
          <w:bCs/>
          <w:sz w:val="24"/>
          <w:szCs w:val="24"/>
        </w:rPr>
        <w:t>Figura 5</w:t>
      </w:r>
    </w:p>
    <w:p w14:paraId="4E638452" w14:textId="2DB873C4" w:rsidR="003A65CB" w:rsidRPr="00D14FBE" w:rsidRDefault="00757E1D" w:rsidP="008A382D">
      <w:pPr>
        <w:spacing w:line="360" w:lineRule="auto"/>
        <w:jc w:val="both"/>
        <w:rPr>
          <w:i/>
          <w:iCs/>
          <w:sz w:val="24"/>
          <w:szCs w:val="24"/>
        </w:rPr>
      </w:pPr>
      <w:r w:rsidRPr="00D14FBE">
        <w:rPr>
          <w:i/>
          <w:iCs/>
          <w:sz w:val="24"/>
          <w:szCs w:val="24"/>
        </w:rPr>
        <w:t xml:space="preserve">Diagrama </w:t>
      </w:r>
      <w:r w:rsidR="003A65CB" w:rsidRPr="00D14FBE">
        <w:rPr>
          <w:i/>
          <w:iCs/>
          <w:sz w:val="24"/>
          <w:szCs w:val="24"/>
        </w:rPr>
        <w:t>de barras</w:t>
      </w:r>
    </w:p>
    <w:p w14:paraId="583371E5" w14:textId="0661C119" w:rsidR="003A65CB" w:rsidRDefault="003A65CB" w:rsidP="008A382D">
      <w:pPr>
        <w:spacing w:line="360" w:lineRule="auto"/>
        <w:jc w:val="both"/>
        <w:rPr>
          <w:sz w:val="24"/>
          <w:szCs w:val="24"/>
        </w:rPr>
      </w:pPr>
      <w:r>
        <w:rPr>
          <w:noProof/>
          <w:sz w:val="24"/>
          <w:szCs w:val="24"/>
        </w:rPr>
        <w:drawing>
          <wp:inline distT="0" distB="0" distL="0" distR="0" wp14:anchorId="6F399E8A" wp14:editId="2053DD41">
            <wp:extent cx="4821382" cy="2458192"/>
            <wp:effectExtent l="0" t="0" r="17780" b="18415"/>
            <wp:docPr id="1206390958"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F245C77" w14:textId="2AD2BD3C" w:rsidR="003A65CB" w:rsidRDefault="003A65CB" w:rsidP="008A382D">
      <w:pPr>
        <w:spacing w:line="360" w:lineRule="auto"/>
        <w:jc w:val="both"/>
        <w:rPr>
          <w:sz w:val="24"/>
          <w:szCs w:val="24"/>
        </w:rPr>
      </w:pPr>
    </w:p>
    <w:p w14:paraId="29463CEB" w14:textId="3B368E53" w:rsidR="00C3080A" w:rsidRPr="003A65CB" w:rsidRDefault="00C3080A" w:rsidP="008A382D">
      <w:pPr>
        <w:spacing w:line="360" w:lineRule="auto"/>
        <w:jc w:val="both"/>
        <w:rPr>
          <w:b/>
          <w:bCs/>
          <w:sz w:val="24"/>
          <w:szCs w:val="24"/>
        </w:rPr>
      </w:pPr>
      <w:r w:rsidRPr="003A65CB">
        <w:rPr>
          <w:b/>
          <w:bCs/>
          <w:sz w:val="24"/>
          <w:szCs w:val="24"/>
        </w:rPr>
        <w:lastRenderedPageBreak/>
        <w:t xml:space="preserve">Figura </w:t>
      </w:r>
      <w:r>
        <w:rPr>
          <w:b/>
          <w:bCs/>
          <w:sz w:val="24"/>
          <w:szCs w:val="24"/>
        </w:rPr>
        <w:t>6</w:t>
      </w:r>
    </w:p>
    <w:p w14:paraId="069BD44C" w14:textId="39D1A869" w:rsidR="00C3080A" w:rsidRPr="00C3080A" w:rsidRDefault="00C3080A" w:rsidP="008A382D">
      <w:pPr>
        <w:spacing w:line="360" w:lineRule="auto"/>
        <w:jc w:val="both"/>
        <w:rPr>
          <w:i/>
          <w:iCs/>
          <w:sz w:val="24"/>
          <w:szCs w:val="24"/>
        </w:rPr>
      </w:pPr>
      <w:r w:rsidRPr="00C3080A">
        <w:rPr>
          <w:i/>
          <w:iCs/>
          <w:sz w:val="24"/>
          <w:szCs w:val="24"/>
        </w:rPr>
        <w:t>Polígono de frecuencias</w:t>
      </w:r>
    </w:p>
    <w:p w14:paraId="6F14E148" w14:textId="5E47C855" w:rsidR="00C3080A" w:rsidRDefault="00C3080A" w:rsidP="008A382D">
      <w:pPr>
        <w:spacing w:line="360" w:lineRule="auto"/>
        <w:jc w:val="both"/>
        <w:rPr>
          <w:sz w:val="24"/>
          <w:szCs w:val="24"/>
        </w:rPr>
      </w:pPr>
      <w:r>
        <w:rPr>
          <w:noProof/>
          <w:sz w:val="24"/>
          <w:szCs w:val="24"/>
        </w:rPr>
        <w:drawing>
          <wp:inline distT="0" distB="0" distL="0" distR="0" wp14:anchorId="02DD5F51" wp14:editId="40CE1EB7">
            <wp:extent cx="5438899" cy="2517569"/>
            <wp:effectExtent l="0" t="0" r="9525" b="16510"/>
            <wp:docPr id="830651301"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B98FCCC" w14:textId="77777777" w:rsidR="00C3080A" w:rsidRDefault="00C3080A" w:rsidP="008A382D">
      <w:pPr>
        <w:spacing w:line="360" w:lineRule="auto"/>
        <w:ind w:firstLine="567"/>
        <w:jc w:val="both"/>
        <w:rPr>
          <w:sz w:val="24"/>
          <w:szCs w:val="24"/>
        </w:rPr>
      </w:pPr>
    </w:p>
    <w:p w14:paraId="688D9E58" w14:textId="232C21AE" w:rsidR="00C3080A" w:rsidRDefault="00C3080A" w:rsidP="008A382D">
      <w:pPr>
        <w:spacing w:line="360" w:lineRule="auto"/>
        <w:ind w:firstLine="567"/>
        <w:jc w:val="both"/>
        <w:rPr>
          <w:sz w:val="24"/>
          <w:szCs w:val="24"/>
        </w:rPr>
      </w:pPr>
      <w:r w:rsidRPr="003A65CB">
        <w:rPr>
          <w:sz w:val="24"/>
          <w:szCs w:val="24"/>
        </w:rPr>
        <w:t>Los gráficos estadísticos facilitan la interpretación visual de los datos. Mientras el histograma representa variables continuas mediante barras contiguas, el diagrama de barras se aplica a datos categóricos, con barras separadas.</w:t>
      </w:r>
    </w:p>
    <w:p w14:paraId="1897A499" w14:textId="77777777" w:rsidR="003A65CB" w:rsidRDefault="003A65CB" w:rsidP="008A382D">
      <w:pPr>
        <w:spacing w:line="360" w:lineRule="auto"/>
        <w:ind w:firstLine="567"/>
        <w:jc w:val="both"/>
        <w:rPr>
          <w:sz w:val="24"/>
          <w:szCs w:val="24"/>
        </w:rPr>
      </w:pPr>
    </w:p>
    <w:p w14:paraId="5FD02F99" w14:textId="77777777" w:rsidR="000670C0" w:rsidRPr="000670C0" w:rsidRDefault="000670C0" w:rsidP="008A382D">
      <w:pPr>
        <w:spacing w:line="360" w:lineRule="auto"/>
        <w:ind w:firstLine="567"/>
        <w:jc w:val="both"/>
        <w:rPr>
          <w:sz w:val="24"/>
          <w:szCs w:val="24"/>
          <w:lang w:val="es-MX"/>
        </w:rPr>
      </w:pPr>
      <w:r w:rsidRPr="000670C0">
        <w:rPr>
          <w:sz w:val="24"/>
          <w:szCs w:val="24"/>
          <w:lang w:val="es-MX"/>
        </w:rPr>
        <w:t>Por último, cuando el número de observaciones es elevado, una tabla de frecuencias se vuelve indispensable. Permite ordenar los datos de forma que se distingan rápidamente las repeticiones, los valores más comunes o los extremos inusuales. Además, constituye el punto de partida para otros análisis estadísticos más complejos, como el cálculo de medidas de tendencia central o de dispersión (Larson &amp; Farber, 2014). En investigaciones educativas, este tipo de organización resulta útil, por ejemplo, para analizar encuestas o evaluar el rendimiento de distintos grupos de estudiantes a lo largo del tiempo.</w:t>
      </w:r>
    </w:p>
    <w:p w14:paraId="52EB980E" w14:textId="77777777" w:rsidR="000670C0" w:rsidRDefault="000670C0" w:rsidP="008A382D">
      <w:pPr>
        <w:spacing w:line="360" w:lineRule="auto"/>
        <w:ind w:firstLine="567"/>
        <w:jc w:val="both"/>
        <w:rPr>
          <w:sz w:val="24"/>
          <w:szCs w:val="24"/>
          <w:lang w:val="es-MX"/>
        </w:rPr>
      </w:pPr>
    </w:p>
    <w:p w14:paraId="02980195" w14:textId="643214FD" w:rsidR="003C2F03" w:rsidRPr="003C2F03" w:rsidRDefault="006F546D" w:rsidP="008A382D">
      <w:pPr>
        <w:spacing w:line="360" w:lineRule="auto"/>
        <w:ind w:firstLine="567"/>
        <w:jc w:val="both"/>
        <w:rPr>
          <w:b/>
          <w:bCs/>
          <w:sz w:val="24"/>
          <w:szCs w:val="24"/>
          <w:lang w:val="es-MX"/>
        </w:rPr>
      </w:pPr>
      <w:r>
        <w:rPr>
          <w:b/>
          <w:bCs/>
          <w:sz w:val="24"/>
          <w:szCs w:val="24"/>
          <w:lang w:val="es-MX"/>
        </w:rPr>
        <w:t>1.3</w:t>
      </w:r>
      <w:r w:rsidR="003C2F03" w:rsidRPr="003C2F03">
        <w:rPr>
          <w:b/>
          <w:bCs/>
          <w:sz w:val="24"/>
          <w:szCs w:val="24"/>
          <w:lang w:val="es-MX"/>
        </w:rPr>
        <w:t>. Medidas de tendencia central</w:t>
      </w:r>
    </w:p>
    <w:p w14:paraId="1C81632F" w14:textId="77777777" w:rsidR="003C2F03" w:rsidRPr="003C2F03" w:rsidRDefault="003C2F03" w:rsidP="008A382D">
      <w:pPr>
        <w:spacing w:line="360" w:lineRule="auto"/>
        <w:ind w:firstLine="567"/>
        <w:jc w:val="both"/>
        <w:rPr>
          <w:sz w:val="24"/>
          <w:szCs w:val="24"/>
          <w:lang w:val="es-MX"/>
        </w:rPr>
      </w:pPr>
      <w:r w:rsidRPr="003C2F03">
        <w:rPr>
          <w:sz w:val="24"/>
          <w:szCs w:val="24"/>
          <w:lang w:val="es-MX"/>
        </w:rPr>
        <w:t xml:space="preserve">En el estudio estadístico, una de las primeras preguntas que suele surgir es cómo representar un conjunto amplio de datos mediante un solo valor que lo resuma. Las medidas de tendencia central responden precisamente a esa necesidad. Permiten identificar el punto en torno al cual los datos tienden a concentrarse, ofreciendo una idea del comportamiento promedio o típico del grupo. En la investigación educativa, estas medidas resultan esenciales para interpretar </w:t>
      </w:r>
      <w:r w:rsidRPr="003C2F03">
        <w:rPr>
          <w:sz w:val="24"/>
          <w:szCs w:val="24"/>
          <w:lang w:val="es-MX"/>
        </w:rPr>
        <w:lastRenderedPageBreak/>
        <w:t>calificaciones, comparar desempeños y descubrir patrones de rendimiento o aprendizaje (Muijs, 2011).</w:t>
      </w:r>
    </w:p>
    <w:p w14:paraId="032A2EE8" w14:textId="77777777" w:rsidR="001A0EBE" w:rsidRDefault="001A0EBE" w:rsidP="008A382D">
      <w:pPr>
        <w:spacing w:line="360" w:lineRule="auto"/>
        <w:ind w:firstLine="567"/>
        <w:jc w:val="both"/>
        <w:rPr>
          <w:i/>
          <w:iCs/>
          <w:sz w:val="24"/>
          <w:szCs w:val="24"/>
          <w:lang w:val="es-MX"/>
        </w:rPr>
      </w:pPr>
    </w:p>
    <w:p w14:paraId="2AC6C271" w14:textId="010CC106" w:rsidR="003C2F03" w:rsidRPr="003C2F03" w:rsidRDefault="006F546D" w:rsidP="008A382D">
      <w:pPr>
        <w:spacing w:line="360" w:lineRule="auto"/>
        <w:ind w:firstLine="567"/>
        <w:jc w:val="both"/>
        <w:rPr>
          <w:i/>
          <w:iCs/>
          <w:sz w:val="24"/>
          <w:szCs w:val="24"/>
          <w:lang w:val="es-MX"/>
        </w:rPr>
      </w:pPr>
      <w:r>
        <w:rPr>
          <w:i/>
          <w:iCs/>
          <w:sz w:val="24"/>
          <w:szCs w:val="24"/>
          <w:lang w:val="es-MX"/>
        </w:rPr>
        <w:t xml:space="preserve">1.3.1. </w:t>
      </w:r>
      <w:r w:rsidR="003C2F03" w:rsidRPr="003C2F03">
        <w:rPr>
          <w:i/>
          <w:iCs/>
          <w:sz w:val="24"/>
          <w:szCs w:val="24"/>
          <w:lang w:val="es-MX"/>
        </w:rPr>
        <w:t>La media aritmética: un resumen del grupo</w:t>
      </w:r>
    </w:p>
    <w:p w14:paraId="261E34A8" w14:textId="77777777" w:rsidR="003C2F03" w:rsidRDefault="003C2F03" w:rsidP="008A382D">
      <w:pPr>
        <w:spacing w:line="360" w:lineRule="auto"/>
        <w:ind w:firstLine="567"/>
        <w:jc w:val="both"/>
        <w:rPr>
          <w:sz w:val="24"/>
          <w:szCs w:val="24"/>
          <w:lang w:val="es-MX"/>
        </w:rPr>
      </w:pPr>
      <w:r w:rsidRPr="003C2F03">
        <w:rPr>
          <w:sz w:val="24"/>
          <w:szCs w:val="24"/>
          <w:lang w:val="es-MX"/>
        </w:rPr>
        <w:t>La media aritmética, o simplemente promedio, se obtiene sumando todos los valores de un conjunto de datos y dividiendo entre la cantidad total de observaciones. Es probablemente la medida más utilizada, ya que transforma una colección de números en un valor único y representativo (Triola, 2014). En un contexto educativo, la media puede servir para conocer el rendimiento promedio de un grupo de estudiantes en un examen o curso. Por ejemplo, si treinta alumnos alcanzan un promedio de 78 sobre 100 en matemáticas, ese valor refleja el nivel medio de desempeño del grupo, aunque no todos hayan obtenido la misma nota.</w:t>
      </w:r>
    </w:p>
    <w:p w14:paraId="40647441" w14:textId="03B1F448" w:rsidR="001A0EBE" w:rsidRPr="003C2F03" w:rsidRDefault="001A0EBE" w:rsidP="008A382D">
      <w:pPr>
        <w:spacing w:line="360" w:lineRule="auto"/>
        <w:ind w:firstLine="567"/>
        <w:jc w:val="both"/>
        <w:rPr>
          <w:sz w:val="24"/>
          <w:szCs w:val="24"/>
          <w:lang w:val="es-MX"/>
        </w:rPr>
      </w:pPr>
    </w:p>
    <w:p w14:paraId="6FD6CF12" w14:textId="77777777" w:rsidR="003C2F03" w:rsidRPr="003C2F03" w:rsidRDefault="003C2F03" w:rsidP="008A382D">
      <w:pPr>
        <w:spacing w:line="360" w:lineRule="auto"/>
        <w:ind w:firstLine="567"/>
        <w:jc w:val="both"/>
        <w:rPr>
          <w:sz w:val="24"/>
          <w:szCs w:val="24"/>
          <w:lang w:val="es-MX"/>
        </w:rPr>
      </w:pPr>
      <w:r w:rsidRPr="003C2F03">
        <w:rPr>
          <w:sz w:val="24"/>
          <w:szCs w:val="24"/>
          <w:lang w:val="es-MX"/>
        </w:rPr>
        <w:t>Sin embargo, no siempre la media describe con precisión la realidad. Según Triola (2014), “la media proporciona una forma útil de resumir los datos, pero puede verse influenciada por valores extremos (outliers)”. Esto ocurre cuando unos pocos valores demasiado altos o bajos distorsionan el promedio general. En educación, bastaría con que uno o dos estudiantes obtuvieran calificaciones muy por debajo del resto para que la media no refleje correctamente el nivel del grupo.</w:t>
      </w:r>
    </w:p>
    <w:p w14:paraId="2C2A7BD9" w14:textId="77777777" w:rsidR="001A0EBE" w:rsidRDefault="001A0EBE" w:rsidP="008A382D">
      <w:pPr>
        <w:spacing w:line="360" w:lineRule="auto"/>
        <w:ind w:firstLine="567"/>
        <w:jc w:val="both"/>
        <w:rPr>
          <w:i/>
          <w:iCs/>
          <w:sz w:val="24"/>
          <w:szCs w:val="24"/>
          <w:lang w:val="es-MX"/>
        </w:rPr>
      </w:pPr>
    </w:p>
    <w:p w14:paraId="1ED2CEAA" w14:textId="394854B8" w:rsidR="003C2F03" w:rsidRPr="003C2F03" w:rsidRDefault="006F546D" w:rsidP="008A382D">
      <w:pPr>
        <w:spacing w:line="360" w:lineRule="auto"/>
        <w:ind w:firstLine="567"/>
        <w:jc w:val="both"/>
        <w:rPr>
          <w:i/>
          <w:iCs/>
          <w:sz w:val="24"/>
          <w:szCs w:val="24"/>
          <w:lang w:val="es-MX"/>
        </w:rPr>
      </w:pPr>
      <w:r>
        <w:rPr>
          <w:i/>
          <w:iCs/>
          <w:sz w:val="24"/>
          <w:szCs w:val="24"/>
          <w:lang w:val="es-MX"/>
        </w:rPr>
        <w:t xml:space="preserve">1.3.2. </w:t>
      </w:r>
      <w:r w:rsidR="003C2F03" w:rsidRPr="003C2F03">
        <w:rPr>
          <w:i/>
          <w:iCs/>
          <w:sz w:val="24"/>
          <w:szCs w:val="24"/>
          <w:lang w:val="es-MX"/>
        </w:rPr>
        <w:t>La mediana: el punto medio de los datos</w:t>
      </w:r>
    </w:p>
    <w:p w14:paraId="184F239B" w14:textId="77777777" w:rsidR="003C2F03" w:rsidRPr="003C2F03" w:rsidRDefault="003C2F03" w:rsidP="008A382D">
      <w:pPr>
        <w:spacing w:line="360" w:lineRule="auto"/>
        <w:ind w:firstLine="567"/>
        <w:jc w:val="both"/>
        <w:rPr>
          <w:sz w:val="24"/>
          <w:szCs w:val="24"/>
          <w:lang w:val="es-MX"/>
        </w:rPr>
      </w:pPr>
      <w:r w:rsidRPr="003C2F03">
        <w:rPr>
          <w:sz w:val="24"/>
          <w:szCs w:val="24"/>
          <w:lang w:val="es-MX"/>
        </w:rPr>
        <w:t xml:space="preserve">Otra forma de describir el centro de una distribución es mediante la </w:t>
      </w:r>
      <w:r w:rsidRPr="003C2F03">
        <w:rPr>
          <w:b/>
          <w:bCs/>
          <w:sz w:val="24"/>
          <w:szCs w:val="24"/>
          <w:lang w:val="es-MX"/>
        </w:rPr>
        <w:t>mediana</w:t>
      </w:r>
      <w:r w:rsidRPr="003C2F03">
        <w:rPr>
          <w:sz w:val="24"/>
          <w:szCs w:val="24"/>
          <w:lang w:val="es-MX"/>
        </w:rPr>
        <w:t>, que representa el valor que ocupa la posición central una vez que los datos están ordenados. Si el número de observaciones es impar, la mediana es el valor del medio; si es par, se obtiene promediando los dos valores centrales. A diferencia de la media, la mediana no se ve afectada por valores extremos o atípicos, lo que la hace más estable en conjuntos de datos asimétricos o con dispersión marcada (Levine et al., 2016).</w:t>
      </w:r>
    </w:p>
    <w:p w14:paraId="2F15AE9A" w14:textId="77777777" w:rsidR="003C2F03" w:rsidRPr="003C2F03" w:rsidRDefault="003C2F03" w:rsidP="008A382D">
      <w:pPr>
        <w:spacing w:line="360" w:lineRule="auto"/>
        <w:ind w:firstLine="567"/>
        <w:jc w:val="both"/>
        <w:rPr>
          <w:sz w:val="24"/>
          <w:szCs w:val="24"/>
          <w:lang w:val="es-MX"/>
        </w:rPr>
      </w:pPr>
      <w:r w:rsidRPr="003C2F03">
        <w:rPr>
          <w:sz w:val="24"/>
          <w:szCs w:val="24"/>
          <w:lang w:val="es-MX"/>
        </w:rPr>
        <w:t xml:space="preserve">En la práctica educativa, la mediana puede ofrecer una visión más justa del rendimiento estudiantil. Supongamos que la mayoría de los alumnos obtiene calificaciones entre 60 y 80 puntos, pero hay uno con 10 y otro con 100. En ese caso, la media tenderá a distorsionarse, mientras que la mediana reflejará mejor el “centro real” del grupo. Esta característica la convierte en una herramienta especialmente </w:t>
      </w:r>
      <w:r w:rsidRPr="003C2F03">
        <w:rPr>
          <w:sz w:val="24"/>
          <w:szCs w:val="24"/>
          <w:lang w:val="es-MX"/>
        </w:rPr>
        <w:lastRenderedPageBreak/>
        <w:t>valiosa para análisis donde la equidad y la representación justa son importantes, como en evaluaciones institucionales o estudios comparativos entre escuelas.</w:t>
      </w:r>
    </w:p>
    <w:p w14:paraId="360B0E0D" w14:textId="77777777" w:rsidR="001A0EBE" w:rsidRDefault="001A0EBE" w:rsidP="008A382D">
      <w:pPr>
        <w:spacing w:line="360" w:lineRule="auto"/>
        <w:ind w:firstLine="567"/>
        <w:jc w:val="both"/>
        <w:rPr>
          <w:b/>
          <w:bCs/>
          <w:i/>
          <w:iCs/>
          <w:sz w:val="24"/>
          <w:szCs w:val="24"/>
          <w:lang w:val="es-MX"/>
        </w:rPr>
      </w:pPr>
    </w:p>
    <w:p w14:paraId="6DD813BF" w14:textId="5C6CD48D" w:rsidR="003C2F03" w:rsidRPr="003C2F03" w:rsidRDefault="006F546D" w:rsidP="008A382D">
      <w:pPr>
        <w:spacing w:line="360" w:lineRule="auto"/>
        <w:ind w:firstLine="567"/>
        <w:jc w:val="both"/>
        <w:rPr>
          <w:i/>
          <w:iCs/>
          <w:sz w:val="24"/>
          <w:szCs w:val="24"/>
          <w:lang w:val="es-MX"/>
        </w:rPr>
      </w:pPr>
      <w:r>
        <w:rPr>
          <w:i/>
          <w:iCs/>
          <w:sz w:val="24"/>
          <w:szCs w:val="24"/>
          <w:lang w:val="es-MX"/>
        </w:rPr>
        <w:t xml:space="preserve">1.3.3. </w:t>
      </w:r>
      <w:r w:rsidR="003C2F03" w:rsidRPr="003C2F03">
        <w:rPr>
          <w:i/>
          <w:iCs/>
          <w:sz w:val="24"/>
          <w:szCs w:val="24"/>
          <w:lang w:val="es-MX"/>
        </w:rPr>
        <w:t>La moda: la categoría más frecuente</w:t>
      </w:r>
    </w:p>
    <w:p w14:paraId="157A835F" w14:textId="77777777" w:rsidR="003C2F03" w:rsidRPr="003C2F03" w:rsidRDefault="003C2F03" w:rsidP="008A382D">
      <w:pPr>
        <w:spacing w:line="360" w:lineRule="auto"/>
        <w:ind w:firstLine="567"/>
        <w:jc w:val="both"/>
        <w:rPr>
          <w:sz w:val="24"/>
          <w:szCs w:val="24"/>
          <w:lang w:val="es-MX"/>
        </w:rPr>
      </w:pPr>
      <w:r w:rsidRPr="003C2F03">
        <w:rPr>
          <w:sz w:val="24"/>
          <w:szCs w:val="24"/>
          <w:lang w:val="es-MX"/>
        </w:rPr>
        <w:t>La moda es, en cambio, la medida que identifica el valor que más se repite dentro del conjunto de datos. Puede aplicarse tanto a datos numéricos como categóricos y es útil para reconocer tendencias o categorías predominantes. Spiegel y Stephens (2008) explican que la moda resulta especialmente apropiada cuando se trabaja con variables cualitativas o cuando se busca identificar patrones de frecuencia antes que promedios.</w:t>
      </w:r>
    </w:p>
    <w:p w14:paraId="180E8617" w14:textId="77777777" w:rsidR="003C2F03" w:rsidRPr="003C2F03" w:rsidRDefault="003C2F03" w:rsidP="008A382D">
      <w:pPr>
        <w:spacing w:line="360" w:lineRule="auto"/>
        <w:ind w:firstLine="567"/>
        <w:jc w:val="both"/>
        <w:rPr>
          <w:sz w:val="24"/>
          <w:szCs w:val="24"/>
          <w:lang w:val="es-MX"/>
        </w:rPr>
      </w:pPr>
      <w:r w:rsidRPr="003C2F03">
        <w:rPr>
          <w:sz w:val="24"/>
          <w:szCs w:val="24"/>
          <w:lang w:val="es-MX"/>
        </w:rPr>
        <w:t>En educación, la moda puede ayudar a responder preguntas simples pero reveladoras: ¿cuál es la calificación más común en una evaluación?, ¿qué carrera universitaria eligen con mayor frecuencia los estudiantes?, ¿qué tipo de respuesta se repite más en una encuesta de satisfacción docente? En todos estos casos, el valor modal resume la preferencia o la tendencia más habitual del grupo.</w:t>
      </w:r>
    </w:p>
    <w:p w14:paraId="2322DFA4" w14:textId="77777777" w:rsidR="001A0EBE" w:rsidRDefault="001A0EBE" w:rsidP="008A382D">
      <w:pPr>
        <w:spacing w:line="360" w:lineRule="auto"/>
        <w:ind w:firstLine="567"/>
        <w:jc w:val="both"/>
        <w:rPr>
          <w:i/>
          <w:iCs/>
          <w:sz w:val="24"/>
          <w:szCs w:val="24"/>
          <w:lang w:val="es-MX"/>
        </w:rPr>
      </w:pPr>
    </w:p>
    <w:p w14:paraId="003AEB23" w14:textId="1C831616" w:rsidR="003C2F03" w:rsidRPr="003C2F03" w:rsidRDefault="006F546D" w:rsidP="008A382D">
      <w:pPr>
        <w:spacing w:line="360" w:lineRule="auto"/>
        <w:ind w:firstLine="567"/>
        <w:jc w:val="both"/>
        <w:rPr>
          <w:i/>
          <w:iCs/>
          <w:sz w:val="24"/>
          <w:szCs w:val="24"/>
          <w:lang w:val="es-MX"/>
        </w:rPr>
      </w:pPr>
      <w:r>
        <w:rPr>
          <w:i/>
          <w:iCs/>
          <w:sz w:val="24"/>
          <w:szCs w:val="24"/>
          <w:lang w:val="es-MX"/>
        </w:rPr>
        <w:t xml:space="preserve">1.3.4. </w:t>
      </w:r>
      <w:r w:rsidR="003C2F03" w:rsidRPr="003C2F03">
        <w:rPr>
          <w:i/>
          <w:iCs/>
          <w:sz w:val="24"/>
          <w:szCs w:val="24"/>
          <w:lang w:val="es-MX"/>
        </w:rPr>
        <w:t>Comparación entre media, mediana y moda</w:t>
      </w:r>
    </w:p>
    <w:p w14:paraId="6313AA62" w14:textId="246EE7F0" w:rsidR="00F045AC" w:rsidRDefault="003C2F03" w:rsidP="008A382D">
      <w:pPr>
        <w:spacing w:line="360" w:lineRule="auto"/>
        <w:ind w:firstLine="567"/>
        <w:jc w:val="both"/>
        <w:rPr>
          <w:sz w:val="24"/>
          <w:szCs w:val="24"/>
          <w:lang w:val="es-MX"/>
        </w:rPr>
      </w:pPr>
      <w:r w:rsidRPr="003C2F03">
        <w:rPr>
          <w:sz w:val="24"/>
          <w:szCs w:val="24"/>
          <w:lang w:val="es-MX"/>
        </w:rPr>
        <w:t>Cada una de estas medidas ofrece una perspectiva diferente sobre los datos, y su elección dependerá de la forma en que estos se distribuyen. Cuando los valores son simétricos y no hay extremos inusuales, la media resulta adecuada. En cambio, si la distribución está sesgada o presenta valores atípicos, la mediana ofrece una descripción más fiel</w:t>
      </w:r>
      <w:r w:rsidR="00930753">
        <w:rPr>
          <w:sz w:val="24"/>
          <w:szCs w:val="24"/>
          <w:lang w:val="es-MX"/>
        </w:rPr>
        <w:t xml:space="preserve"> (ver figura 7)</w:t>
      </w:r>
      <w:r w:rsidRPr="003C2F03">
        <w:rPr>
          <w:sz w:val="24"/>
          <w:szCs w:val="24"/>
          <w:lang w:val="es-MX"/>
        </w:rPr>
        <w:t xml:space="preserve">. </w:t>
      </w:r>
    </w:p>
    <w:p w14:paraId="0BD37F3C" w14:textId="76B2B324" w:rsidR="00930753" w:rsidRPr="00930753" w:rsidRDefault="00930753" w:rsidP="008A382D">
      <w:pPr>
        <w:spacing w:line="360" w:lineRule="auto"/>
        <w:ind w:firstLine="567"/>
        <w:jc w:val="both"/>
        <w:rPr>
          <w:b/>
          <w:bCs/>
          <w:sz w:val="24"/>
          <w:szCs w:val="24"/>
          <w:lang w:val="es-MX"/>
        </w:rPr>
      </w:pPr>
      <w:r w:rsidRPr="00930753">
        <w:rPr>
          <w:b/>
          <w:bCs/>
          <w:sz w:val="24"/>
          <w:szCs w:val="24"/>
          <w:lang w:val="es-MX"/>
        </w:rPr>
        <w:t>Figura 7</w:t>
      </w:r>
    </w:p>
    <w:p w14:paraId="3277BC6B" w14:textId="48DA6707" w:rsidR="00F045AC" w:rsidRDefault="00930753" w:rsidP="008A382D">
      <w:pPr>
        <w:spacing w:line="360" w:lineRule="auto"/>
        <w:ind w:firstLine="567"/>
        <w:jc w:val="both"/>
        <w:rPr>
          <w:sz w:val="24"/>
          <w:szCs w:val="24"/>
          <w:lang w:val="es-MX"/>
        </w:rPr>
      </w:pPr>
      <w:r w:rsidRPr="00930753">
        <w:rPr>
          <w:sz w:val="24"/>
          <w:szCs w:val="24"/>
        </w:rPr>
        <w:t>Distribución simétrica y asimétrica</w:t>
      </w:r>
    </w:p>
    <w:p w14:paraId="060F842B" w14:textId="7F2B55D6" w:rsidR="00F045AC" w:rsidRDefault="00F045AC" w:rsidP="008A382D">
      <w:pPr>
        <w:spacing w:line="360" w:lineRule="auto"/>
        <w:jc w:val="both"/>
        <w:rPr>
          <w:sz w:val="24"/>
          <w:szCs w:val="24"/>
          <w:lang w:val="es-MX"/>
        </w:rPr>
      </w:pPr>
      <w:r>
        <w:rPr>
          <w:noProof/>
        </w:rPr>
        <w:drawing>
          <wp:inline distT="0" distB="0" distL="0" distR="0" wp14:anchorId="3C88F618" wp14:editId="0A2B0A1A">
            <wp:extent cx="5733415" cy="1068779"/>
            <wp:effectExtent l="0" t="0" r="635" b="0"/>
            <wp:docPr id="5466154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15443" name=""/>
                    <pic:cNvPicPr/>
                  </pic:nvPicPr>
                  <pic:blipFill rotWithShape="1">
                    <a:blip r:embed="rId20"/>
                    <a:srcRect b="19120"/>
                    <a:stretch>
                      <a:fillRect/>
                    </a:stretch>
                  </pic:blipFill>
                  <pic:spPr bwMode="auto">
                    <a:xfrm>
                      <a:off x="0" y="0"/>
                      <a:ext cx="5733415" cy="1068779"/>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aconcuadrcula"/>
        <w:tblW w:w="0" w:type="auto"/>
        <w:tblLook w:val="04A0" w:firstRow="1" w:lastRow="0" w:firstColumn="1" w:lastColumn="0" w:noHBand="0" w:noVBand="1"/>
      </w:tblPr>
      <w:tblGrid>
        <w:gridCol w:w="3256"/>
        <w:gridCol w:w="3118"/>
        <w:gridCol w:w="2645"/>
      </w:tblGrid>
      <w:tr w:rsidR="00F045AC" w14:paraId="5A7062D8" w14:textId="77777777" w:rsidTr="00F045AC">
        <w:tc>
          <w:tcPr>
            <w:tcW w:w="3256" w:type="dxa"/>
          </w:tcPr>
          <w:p w14:paraId="06E66466" w14:textId="2DD5DF90" w:rsidR="00F045AC" w:rsidRPr="00F045AC" w:rsidRDefault="00F045AC" w:rsidP="008A382D">
            <w:pPr>
              <w:spacing w:line="360" w:lineRule="auto"/>
              <w:jc w:val="both"/>
              <w:rPr>
                <w:sz w:val="20"/>
                <w:szCs w:val="20"/>
                <w:lang w:val="es-MX"/>
              </w:rPr>
            </w:pPr>
            <w:r w:rsidRPr="00F045AC">
              <w:rPr>
                <w:sz w:val="20"/>
                <w:szCs w:val="20"/>
                <w:lang w:val="es-MX"/>
              </w:rPr>
              <w:t>Distribución simétrica</w:t>
            </w:r>
          </w:p>
        </w:tc>
        <w:tc>
          <w:tcPr>
            <w:tcW w:w="3118" w:type="dxa"/>
          </w:tcPr>
          <w:p w14:paraId="4FA653D4" w14:textId="55209505" w:rsidR="00F045AC" w:rsidRPr="00F045AC" w:rsidRDefault="00F045AC" w:rsidP="008A382D">
            <w:pPr>
              <w:spacing w:line="360" w:lineRule="auto"/>
              <w:jc w:val="both"/>
              <w:rPr>
                <w:sz w:val="20"/>
                <w:szCs w:val="20"/>
                <w:lang w:val="es-MX"/>
              </w:rPr>
            </w:pPr>
            <w:r w:rsidRPr="00F045AC">
              <w:rPr>
                <w:sz w:val="20"/>
                <w:szCs w:val="20"/>
                <w:lang w:val="es-MX"/>
              </w:rPr>
              <w:t>Distribución sesgada a la derecha</w:t>
            </w:r>
          </w:p>
        </w:tc>
        <w:tc>
          <w:tcPr>
            <w:tcW w:w="2645" w:type="dxa"/>
          </w:tcPr>
          <w:p w14:paraId="3AEABD63" w14:textId="6B52384F" w:rsidR="00F045AC" w:rsidRPr="00F045AC" w:rsidRDefault="00F045AC" w:rsidP="008A382D">
            <w:pPr>
              <w:spacing w:line="360" w:lineRule="auto"/>
              <w:jc w:val="both"/>
              <w:rPr>
                <w:sz w:val="20"/>
                <w:szCs w:val="20"/>
                <w:lang w:val="es-MX"/>
              </w:rPr>
            </w:pPr>
            <w:r w:rsidRPr="00F045AC">
              <w:rPr>
                <w:sz w:val="20"/>
                <w:szCs w:val="20"/>
                <w:lang w:val="es-MX"/>
              </w:rPr>
              <w:t>Distribución sesgada a la izquierda</w:t>
            </w:r>
          </w:p>
        </w:tc>
      </w:tr>
    </w:tbl>
    <w:p w14:paraId="172D7312" w14:textId="77777777" w:rsidR="00F045AC" w:rsidRDefault="00F045AC" w:rsidP="008A382D">
      <w:pPr>
        <w:spacing w:line="360" w:lineRule="auto"/>
        <w:ind w:firstLine="567"/>
        <w:jc w:val="both"/>
        <w:rPr>
          <w:sz w:val="24"/>
          <w:szCs w:val="24"/>
          <w:lang w:val="es-MX"/>
        </w:rPr>
      </w:pPr>
    </w:p>
    <w:p w14:paraId="6F5B5BD4" w14:textId="00DC1C11" w:rsidR="003C2F03" w:rsidRDefault="003C2F03" w:rsidP="008A382D">
      <w:pPr>
        <w:spacing w:line="360" w:lineRule="auto"/>
        <w:ind w:firstLine="567"/>
        <w:jc w:val="both"/>
        <w:rPr>
          <w:sz w:val="24"/>
          <w:szCs w:val="24"/>
          <w:lang w:val="es-MX"/>
        </w:rPr>
      </w:pPr>
      <w:r w:rsidRPr="003C2F03">
        <w:rPr>
          <w:sz w:val="24"/>
          <w:szCs w:val="24"/>
          <w:lang w:val="es-MX"/>
        </w:rPr>
        <w:t xml:space="preserve">Por su parte, la moda destaca en contextos donde interesa conocer la frecuencia más alta o la categoría predominante. Triola (2014) y Johnson y Kuby (2011) </w:t>
      </w:r>
      <w:r w:rsidRPr="003C2F03">
        <w:rPr>
          <w:sz w:val="24"/>
          <w:szCs w:val="24"/>
          <w:lang w:val="es-MX"/>
        </w:rPr>
        <w:lastRenderedPageBreak/>
        <w:t>coinciden en que estas tres medidas deben entenderse como complementarias: cada una aporta una pieza distinta del retrato general del conjunto de datos.</w:t>
      </w:r>
    </w:p>
    <w:p w14:paraId="3E72F336" w14:textId="2C884937" w:rsidR="003C2F03" w:rsidRDefault="003C2F03" w:rsidP="008A382D">
      <w:pPr>
        <w:spacing w:line="360" w:lineRule="auto"/>
        <w:jc w:val="both"/>
        <w:rPr>
          <w:sz w:val="24"/>
          <w:szCs w:val="24"/>
          <w:lang w:val="es-MX"/>
        </w:rPr>
      </w:pPr>
      <w:r w:rsidRPr="003C2F03">
        <w:rPr>
          <w:b/>
          <w:bCs/>
          <w:sz w:val="24"/>
          <w:szCs w:val="24"/>
          <w:lang w:val="es-MX"/>
        </w:rPr>
        <w:t xml:space="preserve">Tabla </w:t>
      </w:r>
      <w:r w:rsidR="001A0EBE">
        <w:rPr>
          <w:b/>
          <w:bCs/>
          <w:sz w:val="24"/>
          <w:szCs w:val="24"/>
          <w:lang w:val="es-MX"/>
        </w:rPr>
        <w:t>2</w:t>
      </w:r>
      <w:r w:rsidRPr="003C2F03">
        <w:rPr>
          <w:b/>
          <w:bCs/>
          <w:sz w:val="24"/>
          <w:szCs w:val="24"/>
          <w:lang w:val="es-MX"/>
        </w:rPr>
        <w:t>.</w:t>
      </w:r>
      <w:r w:rsidRPr="003C2F03">
        <w:rPr>
          <w:sz w:val="24"/>
          <w:szCs w:val="24"/>
          <w:lang w:val="es-MX"/>
        </w:rPr>
        <w:t xml:space="preserve"> </w:t>
      </w:r>
    </w:p>
    <w:p w14:paraId="39DFE4BB" w14:textId="649EE2E2" w:rsidR="003C2F03" w:rsidRPr="003C2F03" w:rsidRDefault="003C2F03" w:rsidP="008A382D">
      <w:pPr>
        <w:spacing w:line="360" w:lineRule="auto"/>
        <w:jc w:val="both"/>
        <w:rPr>
          <w:i/>
          <w:iCs/>
          <w:sz w:val="24"/>
          <w:szCs w:val="24"/>
          <w:lang w:val="es-MX"/>
        </w:rPr>
      </w:pPr>
      <w:r w:rsidRPr="003C2F03">
        <w:rPr>
          <w:i/>
          <w:iCs/>
          <w:sz w:val="24"/>
          <w:szCs w:val="24"/>
          <w:lang w:val="es-MX"/>
        </w:rPr>
        <w:t>Diferencias entre media, mediana y moda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2507"/>
        <w:gridCol w:w="2495"/>
        <w:gridCol w:w="3031"/>
      </w:tblGrid>
      <w:tr w:rsidR="003C2F03" w:rsidRPr="003C2F03" w14:paraId="62462E07" w14:textId="77777777">
        <w:trPr>
          <w:tblHeader/>
          <w:tblCellSpacing w:w="15" w:type="dxa"/>
        </w:trPr>
        <w:tc>
          <w:tcPr>
            <w:tcW w:w="0" w:type="auto"/>
            <w:vAlign w:val="center"/>
            <w:hideMark/>
          </w:tcPr>
          <w:p w14:paraId="5D569ECB" w14:textId="77777777" w:rsidR="003C2F03" w:rsidRPr="003C2F03" w:rsidRDefault="003C2F03" w:rsidP="008A382D">
            <w:pPr>
              <w:spacing w:line="360" w:lineRule="auto"/>
              <w:jc w:val="both"/>
              <w:rPr>
                <w:sz w:val="24"/>
                <w:szCs w:val="24"/>
                <w:lang w:val="es-MX"/>
              </w:rPr>
            </w:pPr>
            <w:r w:rsidRPr="003C2F03">
              <w:rPr>
                <w:sz w:val="24"/>
                <w:szCs w:val="24"/>
                <w:lang w:val="es-MX"/>
              </w:rPr>
              <w:t>Medida</w:t>
            </w:r>
          </w:p>
        </w:tc>
        <w:tc>
          <w:tcPr>
            <w:tcW w:w="0" w:type="auto"/>
            <w:vAlign w:val="center"/>
            <w:hideMark/>
          </w:tcPr>
          <w:p w14:paraId="5F16A8D0" w14:textId="77777777" w:rsidR="003C2F03" w:rsidRPr="003C2F03" w:rsidRDefault="003C2F03" w:rsidP="008A382D">
            <w:pPr>
              <w:spacing w:line="360" w:lineRule="auto"/>
              <w:jc w:val="both"/>
              <w:rPr>
                <w:sz w:val="24"/>
                <w:szCs w:val="24"/>
                <w:lang w:val="es-MX"/>
              </w:rPr>
            </w:pPr>
            <w:r w:rsidRPr="003C2F03">
              <w:rPr>
                <w:sz w:val="24"/>
                <w:szCs w:val="24"/>
                <w:lang w:val="es-MX"/>
              </w:rPr>
              <w:t>Qué representa</w:t>
            </w:r>
          </w:p>
        </w:tc>
        <w:tc>
          <w:tcPr>
            <w:tcW w:w="0" w:type="auto"/>
            <w:vAlign w:val="center"/>
            <w:hideMark/>
          </w:tcPr>
          <w:p w14:paraId="03570FF4" w14:textId="77777777" w:rsidR="003C2F03" w:rsidRPr="003C2F03" w:rsidRDefault="003C2F03" w:rsidP="008A382D">
            <w:pPr>
              <w:spacing w:line="360" w:lineRule="auto"/>
              <w:jc w:val="both"/>
              <w:rPr>
                <w:sz w:val="24"/>
                <w:szCs w:val="24"/>
                <w:lang w:val="es-MX"/>
              </w:rPr>
            </w:pPr>
            <w:r w:rsidRPr="003C2F03">
              <w:rPr>
                <w:sz w:val="24"/>
                <w:szCs w:val="24"/>
                <w:lang w:val="es-MX"/>
              </w:rPr>
              <w:t>Sensibilidad a valores extremos</w:t>
            </w:r>
          </w:p>
        </w:tc>
        <w:tc>
          <w:tcPr>
            <w:tcW w:w="0" w:type="auto"/>
            <w:vAlign w:val="center"/>
            <w:hideMark/>
          </w:tcPr>
          <w:p w14:paraId="3E0BB5B1" w14:textId="3CE8F78D" w:rsidR="003C2F03" w:rsidRPr="003C2F03" w:rsidRDefault="003C2F03" w:rsidP="008A382D">
            <w:pPr>
              <w:spacing w:line="360" w:lineRule="auto"/>
              <w:jc w:val="both"/>
              <w:rPr>
                <w:sz w:val="24"/>
                <w:szCs w:val="24"/>
                <w:lang w:val="es-MX"/>
              </w:rPr>
            </w:pPr>
            <w:r w:rsidRPr="003C2F03">
              <w:rPr>
                <w:sz w:val="24"/>
                <w:szCs w:val="24"/>
                <w:lang w:val="es-MX"/>
              </w:rPr>
              <w:t>Cuando usarla</w:t>
            </w:r>
          </w:p>
        </w:tc>
      </w:tr>
      <w:tr w:rsidR="003C2F03" w:rsidRPr="003C2F03" w14:paraId="27CC073E" w14:textId="77777777">
        <w:trPr>
          <w:tblCellSpacing w:w="15" w:type="dxa"/>
        </w:trPr>
        <w:tc>
          <w:tcPr>
            <w:tcW w:w="0" w:type="auto"/>
            <w:vAlign w:val="center"/>
            <w:hideMark/>
          </w:tcPr>
          <w:p w14:paraId="39609D82" w14:textId="77777777" w:rsidR="003C2F03" w:rsidRPr="003C2F03" w:rsidRDefault="003C2F03" w:rsidP="008A382D">
            <w:pPr>
              <w:spacing w:line="360" w:lineRule="auto"/>
              <w:jc w:val="both"/>
              <w:rPr>
                <w:sz w:val="24"/>
                <w:szCs w:val="24"/>
                <w:lang w:val="es-MX"/>
              </w:rPr>
            </w:pPr>
            <w:r w:rsidRPr="003C2F03">
              <w:rPr>
                <w:sz w:val="24"/>
                <w:szCs w:val="24"/>
                <w:lang w:val="es-MX"/>
              </w:rPr>
              <w:t>Media</w:t>
            </w:r>
          </w:p>
        </w:tc>
        <w:tc>
          <w:tcPr>
            <w:tcW w:w="0" w:type="auto"/>
            <w:vAlign w:val="center"/>
            <w:hideMark/>
          </w:tcPr>
          <w:p w14:paraId="4A874B55" w14:textId="77777777" w:rsidR="003C2F03" w:rsidRPr="003C2F03" w:rsidRDefault="003C2F03" w:rsidP="008A382D">
            <w:pPr>
              <w:spacing w:line="360" w:lineRule="auto"/>
              <w:jc w:val="both"/>
              <w:rPr>
                <w:sz w:val="24"/>
                <w:szCs w:val="24"/>
                <w:lang w:val="es-MX"/>
              </w:rPr>
            </w:pPr>
            <w:r w:rsidRPr="003C2F03">
              <w:rPr>
                <w:sz w:val="24"/>
                <w:szCs w:val="24"/>
                <w:lang w:val="es-MX"/>
              </w:rPr>
              <w:t>Promedio general de los datos</w:t>
            </w:r>
          </w:p>
        </w:tc>
        <w:tc>
          <w:tcPr>
            <w:tcW w:w="0" w:type="auto"/>
            <w:vAlign w:val="center"/>
            <w:hideMark/>
          </w:tcPr>
          <w:p w14:paraId="4361E42E" w14:textId="77777777" w:rsidR="003C2F03" w:rsidRPr="003C2F03" w:rsidRDefault="003C2F03" w:rsidP="008A382D">
            <w:pPr>
              <w:spacing w:line="360" w:lineRule="auto"/>
              <w:jc w:val="both"/>
              <w:rPr>
                <w:sz w:val="24"/>
                <w:szCs w:val="24"/>
                <w:lang w:val="es-MX"/>
              </w:rPr>
            </w:pPr>
            <w:r w:rsidRPr="003C2F03">
              <w:rPr>
                <w:sz w:val="24"/>
                <w:szCs w:val="24"/>
                <w:lang w:val="es-MX"/>
              </w:rPr>
              <w:t>Alta</w:t>
            </w:r>
          </w:p>
        </w:tc>
        <w:tc>
          <w:tcPr>
            <w:tcW w:w="0" w:type="auto"/>
            <w:vAlign w:val="center"/>
            <w:hideMark/>
          </w:tcPr>
          <w:p w14:paraId="1D7B8C8F" w14:textId="77777777" w:rsidR="003C2F03" w:rsidRPr="003C2F03" w:rsidRDefault="003C2F03" w:rsidP="008A382D">
            <w:pPr>
              <w:spacing w:line="360" w:lineRule="auto"/>
              <w:jc w:val="both"/>
              <w:rPr>
                <w:sz w:val="24"/>
                <w:szCs w:val="24"/>
                <w:lang w:val="es-MX"/>
              </w:rPr>
            </w:pPr>
            <w:r w:rsidRPr="003C2F03">
              <w:rPr>
                <w:sz w:val="24"/>
                <w:szCs w:val="24"/>
                <w:lang w:val="es-MX"/>
              </w:rPr>
              <w:t>Datos simétricos sin valores extremos</w:t>
            </w:r>
          </w:p>
        </w:tc>
      </w:tr>
      <w:tr w:rsidR="003C2F03" w:rsidRPr="003C2F03" w14:paraId="7CBBDBA8" w14:textId="77777777">
        <w:trPr>
          <w:tblCellSpacing w:w="15" w:type="dxa"/>
        </w:trPr>
        <w:tc>
          <w:tcPr>
            <w:tcW w:w="0" w:type="auto"/>
            <w:vAlign w:val="center"/>
            <w:hideMark/>
          </w:tcPr>
          <w:p w14:paraId="593E9F54" w14:textId="77777777" w:rsidR="003C2F03" w:rsidRPr="003C2F03" w:rsidRDefault="003C2F03" w:rsidP="008A382D">
            <w:pPr>
              <w:spacing w:line="360" w:lineRule="auto"/>
              <w:jc w:val="both"/>
              <w:rPr>
                <w:sz w:val="24"/>
                <w:szCs w:val="24"/>
                <w:lang w:val="es-MX"/>
              </w:rPr>
            </w:pPr>
            <w:r w:rsidRPr="003C2F03">
              <w:rPr>
                <w:sz w:val="24"/>
                <w:szCs w:val="24"/>
                <w:lang w:val="es-MX"/>
              </w:rPr>
              <w:t>Mediana</w:t>
            </w:r>
          </w:p>
        </w:tc>
        <w:tc>
          <w:tcPr>
            <w:tcW w:w="0" w:type="auto"/>
            <w:vAlign w:val="center"/>
            <w:hideMark/>
          </w:tcPr>
          <w:p w14:paraId="52733022" w14:textId="77777777" w:rsidR="003C2F03" w:rsidRPr="003C2F03" w:rsidRDefault="003C2F03" w:rsidP="008A382D">
            <w:pPr>
              <w:spacing w:line="360" w:lineRule="auto"/>
              <w:jc w:val="both"/>
              <w:rPr>
                <w:sz w:val="24"/>
                <w:szCs w:val="24"/>
                <w:lang w:val="es-MX"/>
              </w:rPr>
            </w:pPr>
            <w:r w:rsidRPr="003C2F03">
              <w:rPr>
                <w:sz w:val="24"/>
                <w:szCs w:val="24"/>
                <w:lang w:val="es-MX"/>
              </w:rPr>
              <w:t>Valor central en datos ordenados</w:t>
            </w:r>
          </w:p>
        </w:tc>
        <w:tc>
          <w:tcPr>
            <w:tcW w:w="0" w:type="auto"/>
            <w:vAlign w:val="center"/>
            <w:hideMark/>
          </w:tcPr>
          <w:p w14:paraId="280A614B" w14:textId="77777777" w:rsidR="003C2F03" w:rsidRPr="003C2F03" w:rsidRDefault="003C2F03" w:rsidP="008A382D">
            <w:pPr>
              <w:spacing w:line="360" w:lineRule="auto"/>
              <w:jc w:val="both"/>
              <w:rPr>
                <w:sz w:val="24"/>
                <w:szCs w:val="24"/>
                <w:lang w:val="es-MX"/>
              </w:rPr>
            </w:pPr>
            <w:r w:rsidRPr="003C2F03">
              <w:rPr>
                <w:sz w:val="24"/>
                <w:szCs w:val="24"/>
                <w:lang w:val="es-MX"/>
              </w:rPr>
              <w:t>Baja</w:t>
            </w:r>
          </w:p>
        </w:tc>
        <w:tc>
          <w:tcPr>
            <w:tcW w:w="0" w:type="auto"/>
            <w:vAlign w:val="center"/>
            <w:hideMark/>
          </w:tcPr>
          <w:p w14:paraId="31434507" w14:textId="77777777" w:rsidR="003C2F03" w:rsidRPr="003C2F03" w:rsidRDefault="003C2F03" w:rsidP="008A382D">
            <w:pPr>
              <w:spacing w:line="360" w:lineRule="auto"/>
              <w:jc w:val="both"/>
              <w:rPr>
                <w:sz w:val="24"/>
                <w:szCs w:val="24"/>
                <w:lang w:val="es-MX"/>
              </w:rPr>
            </w:pPr>
            <w:r w:rsidRPr="003C2F03">
              <w:rPr>
                <w:sz w:val="24"/>
                <w:szCs w:val="24"/>
                <w:lang w:val="es-MX"/>
              </w:rPr>
              <w:t>Datos con outliers o distribución sesgada</w:t>
            </w:r>
          </w:p>
        </w:tc>
      </w:tr>
      <w:tr w:rsidR="003C2F03" w:rsidRPr="003C2F03" w14:paraId="43DB3F59" w14:textId="77777777">
        <w:trPr>
          <w:tblCellSpacing w:w="15" w:type="dxa"/>
        </w:trPr>
        <w:tc>
          <w:tcPr>
            <w:tcW w:w="0" w:type="auto"/>
            <w:vAlign w:val="center"/>
            <w:hideMark/>
          </w:tcPr>
          <w:p w14:paraId="4DE6AC20" w14:textId="77777777" w:rsidR="003C2F03" w:rsidRPr="003C2F03" w:rsidRDefault="003C2F03" w:rsidP="008A382D">
            <w:pPr>
              <w:spacing w:line="360" w:lineRule="auto"/>
              <w:jc w:val="both"/>
              <w:rPr>
                <w:sz w:val="24"/>
                <w:szCs w:val="24"/>
                <w:lang w:val="es-MX"/>
              </w:rPr>
            </w:pPr>
            <w:r w:rsidRPr="003C2F03">
              <w:rPr>
                <w:sz w:val="24"/>
                <w:szCs w:val="24"/>
                <w:lang w:val="es-MX"/>
              </w:rPr>
              <w:t>Moda</w:t>
            </w:r>
          </w:p>
        </w:tc>
        <w:tc>
          <w:tcPr>
            <w:tcW w:w="0" w:type="auto"/>
            <w:vAlign w:val="center"/>
            <w:hideMark/>
          </w:tcPr>
          <w:p w14:paraId="25661747" w14:textId="77777777" w:rsidR="003C2F03" w:rsidRPr="003C2F03" w:rsidRDefault="003C2F03" w:rsidP="008A382D">
            <w:pPr>
              <w:spacing w:line="360" w:lineRule="auto"/>
              <w:jc w:val="both"/>
              <w:rPr>
                <w:sz w:val="24"/>
                <w:szCs w:val="24"/>
                <w:lang w:val="es-MX"/>
              </w:rPr>
            </w:pPr>
            <w:r w:rsidRPr="003C2F03">
              <w:rPr>
                <w:sz w:val="24"/>
                <w:szCs w:val="24"/>
                <w:lang w:val="es-MX"/>
              </w:rPr>
              <w:t>Valor o categoría más frecuente</w:t>
            </w:r>
          </w:p>
        </w:tc>
        <w:tc>
          <w:tcPr>
            <w:tcW w:w="0" w:type="auto"/>
            <w:vAlign w:val="center"/>
            <w:hideMark/>
          </w:tcPr>
          <w:p w14:paraId="5897B57D" w14:textId="77777777" w:rsidR="003C2F03" w:rsidRPr="003C2F03" w:rsidRDefault="003C2F03" w:rsidP="008A382D">
            <w:pPr>
              <w:spacing w:line="360" w:lineRule="auto"/>
              <w:jc w:val="both"/>
              <w:rPr>
                <w:sz w:val="24"/>
                <w:szCs w:val="24"/>
                <w:lang w:val="es-MX"/>
              </w:rPr>
            </w:pPr>
            <w:r w:rsidRPr="003C2F03">
              <w:rPr>
                <w:sz w:val="24"/>
                <w:szCs w:val="24"/>
                <w:lang w:val="es-MX"/>
              </w:rPr>
              <w:t>Nula</w:t>
            </w:r>
          </w:p>
        </w:tc>
        <w:tc>
          <w:tcPr>
            <w:tcW w:w="0" w:type="auto"/>
            <w:vAlign w:val="center"/>
            <w:hideMark/>
          </w:tcPr>
          <w:p w14:paraId="4F1A6D2D" w14:textId="77777777" w:rsidR="003C2F03" w:rsidRPr="003C2F03" w:rsidRDefault="003C2F03" w:rsidP="008A382D">
            <w:pPr>
              <w:spacing w:line="360" w:lineRule="auto"/>
              <w:jc w:val="both"/>
              <w:rPr>
                <w:sz w:val="24"/>
                <w:szCs w:val="24"/>
                <w:lang w:val="es-MX"/>
              </w:rPr>
            </w:pPr>
            <w:r w:rsidRPr="003C2F03">
              <w:rPr>
                <w:sz w:val="24"/>
                <w:szCs w:val="24"/>
                <w:lang w:val="es-MX"/>
              </w:rPr>
              <w:t>Datos cualitativos o con frecuencias altas</w:t>
            </w:r>
          </w:p>
        </w:tc>
      </w:tr>
    </w:tbl>
    <w:p w14:paraId="73C424BC" w14:textId="77777777" w:rsidR="003C2F03" w:rsidRPr="003C2F03" w:rsidRDefault="003C2F03" w:rsidP="008A382D">
      <w:pPr>
        <w:spacing w:line="360" w:lineRule="auto"/>
        <w:jc w:val="both"/>
        <w:rPr>
          <w:sz w:val="24"/>
          <w:szCs w:val="24"/>
          <w:lang w:val="es-MX"/>
        </w:rPr>
      </w:pPr>
    </w:p>
    <w:p w14:paraId="0D0A8CB8" w14:textId="77777777" w:rsidR="001A0EBE" w:rsidRPr="001A0EBE" w:rsidRDefault="001A0EBE" w:rsidP="008A382D">
      <w:pPr>
        <w:spacing w:line="360" w:lineRule="auto"/>
        <w:ind w:firstLine="567"/>
        <w:jc w:val="both"/>
        <w:rPr>
          <w:sz w:val="24"/>
          <w:szCs w:val="24"/>
          <w:lang w:val="es-MX"/>
        </w:rPr>
      </w:pPr>
      <w:r w:rsidRPr="001A0EBE">
        <w:rPr>
          <w:sz w:val="24"/>
          <w:szCs w:val="24"/>
          <w:lang w:val="es-MX"/>
        </w:rPr>
        <w:t>Las medidas de tendencia central cumplen una función clave en el análisis de datos educativos. Permiten resumir grandes volúmenes de información en un solo valor representativo, comparar grupos o instituciones, identificar patrones de aprendizaje y detectar desigualdades. Por ejemplo, si en una escuela la media y la mediana de calificaciones difieren notablemente, esto puede indicar una distribución desigual del rendimiento, con grupos de alumnos que concentran las calificaciones más bajas.</w:t>
      </w:r>
    </w:p>
    <w:p w14:paraId="68C52A2F" w14:textId="77777777" w:rsidR="001A0EBE" w:rsidRPr="001A0EBE" w:rsidRDefault="001A0EBE" w:rsidP="008A382D">
      <w:pPr>
        <w:spacing w:line="360" w:lineRule="auto"/>
        <w:ind w:firstLine="567"/>
        <w:jc w:val="both"/>
        <w:rPr>
          <w:sz w:val="24"/>
          <w:szCs w:val="24"/>
          <w:lang w:val="es-MX"/>
        </w:rPr>
      </w:pPr>
      <w:r w:rsidRPr="001A0EBE">
        <w:rPr>
          <w:sz w:val="24"/>
          <w:szCs w:val="24"/>
          <w:lang w:val="es-MX"/>
        </w:rPr>
        <w:t>Muijs (2011) destaca que estas medidas son herramientas esenciales para que los educadores comprendan el rendimiento del alumnado, evalúen intervenciones pedagógicas y formulen políticas basadas en evidencia. En definitiva, conocer y aplicar correctamente la media, la mediana y la moda no solo mejora la interpretación de los resultados, sino que fortalece el carácter científico de la investigación educativa.</w:t>
      </w:r>
    </w:p>
    <w:p w14:paraId="272EA324" w14:textId="77777777" w:rsidR="003C2F03" w:rsidRDefault="003C2F03" w:rsidP="008A382D">
      <w:pPr>
        <w:spacing w:line="360" w:lineRule="auto"/>
        <w:ind w:firstLine="567"/>
        <w:jc w:val="both"/>
        <w:rPr>
          <w:sz w:val="24"/>
          <w:szCs w:val="24"/>
          <w:lang w:val="es-MX"/>
        </w:rPr>
      </w:pPr>
    </w:p>
    <w:p w14:paraId="61DD9319" w14:textId="7D950BE3" w:rsidR="00E26FA7" w:rsidRPr="00E26FA7" w:rsidRDefault="006F546D" w:rsidP="008A382D">
      <w:pPr>
        <w:spacing w:line="360" w:lineRule="auto"/>
        <w:ind w:firstLine="567"/>
        <w:jc w:val="both"/>
        <w:rPr>
          <w:b/>
          <w:bCs/>
          <w:sz w:val="24"/>
          <w:szCs w:val="24"/>
          <w:lang w:val="es-MX"/>
        </w:rPr>
      </w:pPr>
      <w:r>
        <w:rPr>
          <w:b/>
          <w:bCs/>
          <w:sz w:val="24"/>
          <w:szCs w:val="24"/>
          <w:lang w:val="es-MX"/>
        </w:rPr>
        <w:t>1.4</w:t>
      </w:r>
      <w:r w:rsidR="00E26FA7">
        <w:rPr>
          <w:b/>
          <w:bCs/>
          <w:sz w:val="24"/>
          <w:szCs w:val="24"/>
          <w:lang w:val="es-MX"/>
        </w:rPr>
        <w:t xml:space="preserve">. </w:t>
      </w:r>
      <w:r w:rsidR="00E26FA7" w:rsidRPr="00E26FA7">
        <w:rPr>
          <w:b/>
          <w:bCs/>
          <w:sz w:val="24"/>
          <w:szCs w:val="24"/>
          <w:lang w:val="es-MX"/>
        </w:rPr>
        <w:t>Aplicación práctica de las medidas de tendencia central</w:t>
      </w:r>
    </w:p>
    <w:p w14:paraId="0C6104CB" w14:textId="77777777" w:rsidR="00E26FA7" w:rsidRPr="00E26FA7" w:rsidRDefault="00E26FA7" w:rsidP="008A382D">
      <w:pPr>
        <w:spacing w:line="360" w:lineRule="auto"/>
        <w:ind w:firstLine="567"/>
        <w:jc w:val="both"/>
        <w:rPr>
          <w:sz w:val="24"/>
          <w:szCs w:val="24"/>
          <w:lang w:val="es-MX"/>
        </w:rPr>
      </w:pPr>
      <w:r w:rsidRPr="00E26FA7">
        <w:rPr>
          <w:sz w:val="24"/>
          <w:szCs w:val="24"/>
          <w:lang w:val="es-MX"/>
        </w:rPr>
        <w:t xml:space="preserve">Comprender el significado de la media, la mediana y la moda resulta útil, pero aplicarlas en contextos reales es lo que realmente permite captar su valor. En educación, estas medidas ayudan a analizar calificaciones, tiempos de estudio, niveles de satisfacción o cualquier variable que describa el comportamiento de un </w:t>
      </w:r>
      <w:r w:rsidRPr="00E26FA7">
        <w:rPr>
          <w:sz w:val="24"/>
          <w:szCs w:val="24"/>
          <w:lang w:val="es-MX"/>
        </w:rPr>
        <w:lastRenderedPageBreak/>
        <w:t>grupo. A continuación, se presentan algunos ejemplos que muestran cómo interpretar y utilizar estos indicadores en situaciones cotidianas del ámbito escolar.</w:t>
      </w:r>
    </w:p>
    <w:p w14:paraId="0101AA01" w14:textId="77777777" w:rsidR="00E26FA7" w:rsidRPr="00E26FA7" w:rsidRDefault="00E26FA7" w:rsidP="008A382D">
      <w:pPr>
        <w:spacing w:line="360" w:lineRule="auto"/>
        <w:ind w:firstLine="567"/>
        <w:jc w:val="both"/>
        <w:rPr>
          <w:sz w:val="24"/>
          <w:szCs w:val="24"/>
          <w:lang w:val="es-MX"/>
        </w:rPr>
      </w:pPr>
      <w:r w:rsidRPr="00E26FA7">
        <w:rPr>
          <w:sz w:val="24"/>
          <w:szCs w:val="24"/>
          <w:lang w:val="es-MX"/>
        </w:rPr>
        <w:t>Supongamos el siguiente conjunto de calificaciones:</w:t>
      </w:r>
      <w:r w:rsidRPr="00E26FA7">
        <w:rPr>
          <w:sz w:val="24"/>
          <w:szCs w:val="24"/>
          <w:lang w:val="es-MX"/>
        </w:rPr>
        <w:br/>
        <w:t>7, 9, 6, 8, 7, 10, 6, 7.</w:t>
      </w:r>
      <w:r w:rsidRPr="00E26FA7">
        <w:rPr>
          <w:sz w:val="24"/>
          <w:szCs w:val="24"/>
          <w:lang w:val="es-MX"/>
        </w:rPr>
        <w:br/>
        <w:t>Para calcular la media aritmética, se suman todos los valores y se dividen entre el número total de observaciones:</w:t>
      </w:r>
      <w:r w:rsidRPr="00E26FA7">
        <w:rPr>
          <w:sz w:val="24"/>
          <w:szCs w:val="24"/>
          <w:lang w:val="es-MX"/>
        </w:rPr>
        <w:br/>
        <w:t>(7 + 9 + 6 + 8 + 7 + 10 + 6 + 7) / 8 = 7.5.</w:t>
      </w:r>
      <w:r w:rsidRPr="00E26FA7">
        <w:rPr>
          <w:sz w:val="24"/>
          <w:szCs w:val="24"/>
          <w:lang w:val="es-MX"/>
        </w:rPr>
        <w:br/>
        <w:t>Esto significa que el rendimiento promedio del grupo fue de 7.5 puntos.</w:t>
      </w:r>
    </w:p>
    <w:p w14:paraId="37E39C11" w14:textId="08ADA8D4" w:rsidR="00E26FA7" w:rsidRDefault="00E26FA7" w:rsidP="008A382D">
      <w:pPr>
        <w:spacing w:line="360" w:lineRule="auto"/>
        <w:ind w:firstLine="567"/>
        <w:jc w:val="both"/>
        <w:rPr>
          <w:sz w:val="24"/>
          <w:szCs w:val="24"/>
          <w:lang w:val="es-MX"/>
        </w:rPr>
      </w:pPr>
      <w:r w:rsidRPr="00E26FA7">
        <w:rPr>
          <w:sz w:val="24"/>
          <w:szCs w:val="24"/>
          <w:lang w:val="es-MX"/>
        </w:rPr>
        <w:t>Para la mediana, los datos deben ordenarse de menor a mayor: 6, 6, 7, 7, 7, 8, 9, 10. Como hay ocho valores (un número par), la mediana será el promedio de los dos valores centrales (el cuarto y el quinto): (7 + 7) / 2 = 7.</w:t>
      </w:r>
      <w:r w:rsidRPr="00E26FA7">
        <w:rPr>
          <w:sz w:val="24"/>
          <w:szCs w:val="24"/>
          <w:lang w:val="es-MX"/>
        </w:rPr>
        <w:br/>
        <w:t>Finalmente, la moda es el valor que más se repite, en este caso, también 7.</w:t>
      </w:r>
      <w:r w:rsidRPr="00E26FA7">
        <w:rPr>
          <w:sz w:val="24"/>
          <w:szCs w:val="24"/>
          <w:lang w:val="es-MX"/>
        </w:rPr>
        <w:br/>
        <w:t>El conjunto muestra un grupo bastante homogéneo, sin grandes diferencias entre los estudiantes</w:t>
      </w:r>
      <w:r w:rsidR="00476ADD">
        <w:rPr>
          <w:sz w:val="24"/>
          <w:szCs w:val="24"/>
          <w:lang w:val="es-MX"/>
        </w:rPr>
        <w:t xml:space="preserve"> (ver figura 8)</w:t>
      </w:r>
      <w:r w:rsidRPr="00E26FA7">
        <w:rPr>
          <w:sz w:val="24"/>
          <w:szCs w:val="24"/>
          <w:lang w:val="es-MX"/>
        </w:rPr>
        <w:t>.</w:t>
      </w:r>
    </w:p>
    <w:p w14:paraId="1B358859" w14:textId="41E93D08" w:rsidR="00476ADD" w:rsidRPr="00476ADD" w:rsidRDefault="00476ADD" w:rsidP="008A382D">
      <w:pPr>
        <w:spacing w:line="360" w:lineRule="auto"/>
        <w:ind w:firstLine="567"/>
        <w:jc w:val="both"/>
        <w:rPr>
          <w:b/>
          <w:bCs/>
          <w:sz w:val="24"/>
          <w:szCs w:val="24"/>
          <w:lang w:val="es-MX"/>
        </w:rPr>
      </w:pPr>
      <w:r w:rsidRPr="00476ADD">
        <w:rPr>
          <w:b/>
          <w:bCs/>
          <w:sz w:val="24"/>
          <w:szCs w:val="24"/>
          <w:lang w:val="es-MX"/>
        </w:rPr>
        <w:t>Figura 8</w:t>
      </w:r>
    </w:p>
    <w:p w14:paraId="79D11695" w14:textId="60841575" w:rsidR="00476ADD" w:rsidRPr="00476ADD" w:rsidRDefault="00476ADD" w:rsidP="008A382D">
      <w:pPr>
        <w:spacing w:line="360" w:lineRule="auto"/>
        <w:ind w:firstLine="567"/>
        <w:jc w:val="both"/>
        <w:rPr>
          <w:i/>
          <w:iCs/>
          <w:sz w:val="24"/>
          <w:szCs w:val="24"/>
          <w:lang w:val="es-MX"/>
        </w:rPr>
      </w:pPr>
      <w:r w:rsidRPr="00476ADD">
        <w:rPr>
          <w:i/>
          <w:iCs/>
          <w:sz w:val="24"/>
          <w:szCs w:val="24"/>
        </w:rPr>
        <w:t>Ejemplo de cálculo e interpretación de medidas de tendencia central</w:t>
      </w:r>
    </w:p>
    <w:p w14:paraId="3B910BDA" w14:textId="6245B2C2" w:rsidR="005238B4" w:rsidRDefault="00D84FB0" w:rsidP="008A382D">
      <w:pPr>
        <w:spacing w:line="360" w:lineRule="auto"/>
        <w:ind w:firstLine="567"/>
        <w:jc w:val="both"/>
        <w:rPr>
          <w:sz w:val="24"/>
          <w:szCs w:val="24"/>
          <w:lang w:val="es-MX"/>
        </w:rPr>
      </w:pPr>
      <w:r>
        <w:rPr>
          <w:noProof/>
          <w:sz w:val="24"/>
          <w:szCs w:val="24"/>
          <w:lang w:val="es-MX"/>
        </w:rPr>
        <w:drawing>
          <wp:inline distT="0" distB="0" distL="0" distR="0" wp14:anchorId="26E7A89A" wp14:editId="5A38623B">
            <wp:extent cx="5486400" cy="3200400"/>
            <wp:effectExtent l="0" t="0" r="0" b="0"/>
            <wp:docPr id="3443727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5B1BF7F" w14:textId="77777777" w:rsidR="00D84FB0" w:rsidRDefault="00D84FB0" w:rsidP="008A382D">
      <w:pPr>
        <w:spacing w:line="360" w:lineRule="auto"/>
        <w:ind w:firstLine="567"/>
        <w:jc w:val="both"/>
        <w:rPr>
          <w:sz w:val="24"/>
          <w:szCs w:val="24"/>
          <w:lang w:val="es-MX"/>
        </w:rPr>
      </w:pPr>
    </w:p>
    <w:p w14:paraId="31E6F864" w14:textId="64D8A152" w:rsidR="00E26FA7" w:rsidRPr="00E26FA7" w:rsidRDefault="00E26FA7" w:rsidP="008A382D">
      <w:pPr>
        <w:spacing w:line="360" w:lineRule="auto"/>
        <w:ind w:firstLine="567"/>
        <w:jc w:val="both"/>
        <w:rPr>
          <w:sz w:val="24"/>
          <w:szCs w:val="24"/>
          <w:lang w:val="es-MX"/>
        </w:rPr>
      </w:pPr>
      <w:r w:rsidRPr="00E26FA7">
        <w:rPr>
          <w:sz w:val="24"/>
          <w:szCs w:val="24"/>
          <w:lang w:val="es-MX"/>
        </w:rPr>
        <w:t xml:space="preserve">En una encuesta docente, si la mayoría de los profesores responde que dedica 3 horas diarias a planificar clases, la medida de tendencia central más representativa sería la moda, ya que describe la categoría o valor más frecuente dentro del conjunto de respuestas. Según Spiegel y Stephens (2008), la moda es especialmente útil para </w:t>
      </w:r>
      <w:r w:rsidRPr="00E26FA7">
        <w:rPr>
          <w:sz w:val="24"/>
          <w:szCs w:val="24"/>
          <w:lang w:val="es-MX"/>
        </w:rPr>
        <w:lastRenderedPageBreak/>
        <w:t>resumir datos cualitativos o cuantitativos discretos donde interesa conocer la frecuencia más alta, no el promedio.</w:t>
      </w:r>
    </w:p>
    <w:p w14:paraId="04D3ECD3" w14:textId="77777777" w:rsidR="00E26FA7" w:rsidRPr="00E26FA7" w:rsidRDefault="00E26FA7" w:rsidP="008A382D">
      <w:pPr>
        <w:spacing w:line="360" w:lineRule="auto"/>
        <w:ind w:firstLine="567"/>
        <w:jc w:val="both"/>
        <w:rPr>
          <w:sz w:val="24"/>
          <w:szCs w:val="24"/>
          <w:lang w:val="es-MX"/>
        </w:rPr>
      </w:pPr>
      <w:r w:rsidRPr="00E26FA7">
        <w:rPr>
          <w:sz w:val="24"/>
          <w:szCs w:val="24"/>
          <w:lang w:val="es-MX"/>
        </w:rPr>
        <w:t>Cuando los datos presentan valores extremos, como un estudiante con una calificación muy baja o muy alta en comparación con el resto, la medida más confiable es la mediana. Levine et al. (2016) señalan que la mediana ofrece una mejor representación del “centro real” cuando la distribución está sesgada, porque no se ve afectada por esos valores atípicos. En otras palabras, la mediana mantiene el equilibrio en escenarios donde la media podría dar una impresión equivocada del grupo.</w:t>
      </w:r>
    </w:p>
    <w:p w14:paraId="5130FB9F" w14:textId="77777777" w:rsidR="00E26FA7" w:rsidRPr="00E26FA7" w:rsidRDefault="00E26FA7" w:rsidP="008A382D">
      <w:pPr>
        <w:spacing w:line="360" w:lineRule="auto"/>
        <w:ind w:firstLine="567"/>
        <w:jc w:val="both"/>
        <w:rPr>
          <w:sz w:val="24"/>
          <w:szCs w:val="24"/>
          <w:lang w:val="es-MX"/>
        </w:rPr>
      </w:pPr>
      <w:r w:rsidRPr="00E26FA7">
        <w:rPr>
          <w:sz w:val="24"/>
          <w:szCs w:val="24"/>
          <w:lang w:val="es-MX"/>
        </w:rPr>
        <w:t>Ahora bien, si en una evaluación la media es 7.5, la mediana 8 y la moda 9, puede inferirse que la distribución está sesgada hacia la izquierda. Esto significa que la mayoría de los estudiantes obtuvo calificaciones altas, aunque algunos valores bajos redujeron el promedio. En términos prácticos, el grupo tuvo un buen desempeño general, pero con unos pocos alumnos que probablemente requieran refuerzo o acompañamiento adicional.</w:t>
      </w:r>
    </w:p>
    <w:p w14:paraId="5F31D99A" w14:textId="77777777" w:rsidR="00E26FA7" w:rsidRPr="00E26FA7" w:rsidRDefault="00E26FA7" w:rsidP="008A382D">
      <w:pPr>
        <w:spacing w:line="360" w:lineRule="auto"/>
        <w:ind w:firstLine="567"/>
        <w:jc w:val="both"/>
        <w:rPr>
          <w:sz w:val="24"/>
          <w:szCs w:val="24"/>
          <w:lang w:val="es-MX"/>
        </w:rPr>
      </w:pPr>
      <w:r w:rsidRPr="00E26FA7">
        <w:rPr>
          <w:sz w:val="24"/>
          <w:szCs w:val="24"/>
          <w:lang w:val="es-MX"/>
        </w:rPr>
        <w:t>Las medidas de tendencia central también tienen un papel estratégico en la toma de decisiones educativas. Triola (2014) y Muijs (2011) destacan que estas medidas permiten identificar patrones de aprendizaje, evaluar la eficacia de programas y establecer políticas basadas en evidencia. Por ejemplo, si la media de calificaciones de un curso es consistentemente baja, la institución puede revisar los contenidos, métodos o tiempos de enseñanza. Si la mediana mejora tras una intervención pedagógica, eso podría indicar que el cambio tuvo un efecto positivo en la mayoría de los estudiantes.</w:t>
      </w:r>
    </w:p>
    <w:p w14:paraId="1675D6CB" w14:textId="567D15E3" w:rsidR="00E26FA7" w:rsidRDefault="009D5230" w:rsidP="008A382D">
      <w:pPr>
        <w:spacing w:line="360" w:lineRule="auto"/>
        <w:ind w:firstLine="567"/>
        <w:jc w:val="both"/>
        <w:rPr>
          <w:sz w:val="24"/>
          <w:szCs w:val="24"/>
          <w:lang w:val="es-MX"/>
        </w:rPr>
      </w:pPr>
      <w:r>
        <w:rPr>
          <w:sz w:val="24"/>
          <w:szCs w:val="24"/>
          <w:lang w:val="es-MX"/>
        </w:rPr>
        <w:t>L</w:t>
      </w:r>
      <w:r w:rsidR="00E26FA7" w:rsidRPr="00E26FA7">
        <w:rPr>
          <w:sz w:val="24"/>
          <w:szCs w:val="24"/>
          <w:lang w:val="es-MX"/>
        </w:rPr>
        <w:t>as medidas de tendencia central no solo resumen datos; ayudan a comprender la historia que esos datos cuentan. Permiten traducir la información numérica en decisiones pedagógicas más informadas, equitativas y coherentes con las necesidades reales de los estudiantes.</w:t>
      </w:r>
    </w:p>
    <w:p w14:paraId="225CB7B2" w14:textId="77777777" w:rsidR="006F546D" w:rsidRDefault="006F546D" w:rsidP="008A382D">
      <w:pPr>
        <w:spacing w:line="360" w:lineRule="auto"/>
        <w:ind w:firstLine="567"/>
        <w:jc w:val="both"/>
        <w:rPr>
          <w:sz w:val="24"/>
          <w:szCs w:val="24"/>
          <w:lang w:val="es-MX"/>
        </w:rPr>
      </w:pPr>
    </w:p>
    <w:p w14:paraId="4A643BAF" w14:textId="77777777" w:rsidR="00432FB8" w:rsidRPr="00432FB8" w:rsidRDefault="006F546D" w:rsidP="008A382D">
      <w:pPr>
        <w:spacing w:line="360" w:lineRule="auto"/>
        <w:ind w:firstLine="567"/>
        <w:jc w:val="both"/>
        <w:rPr>
          <w:b/>
          <w:bCs/>
          <w:sz w:val="24"/>
          <w:szCs w:val="24"/>
          <w:lang w:val="es-MX"/>
        </w:rPr>
      </w:pPr>
      <w:r>
        <w:rPr>
          <w:sz w:val="24"/>
          <w:szCs w:val="24"/>
          <w:lang w:val="es-MX"/>
        </w:rPr>
        <w:t xml:space="preserve">1.5. </w:t>
      </w:r>
      <w:r w:rsidR="00432FB8" w:rsidRPr="00432FB8">
        <w:rPr>
          <w:b/>
          <w:bCs/>
          <w:sz w:val="24"/>
          <w:szCs w:val="24"/>
          <w:lang w:val="es-MX"/>
        </w:rPr>
        <w:t>Medidas de dispersión</w:t>
      </w:r>
    </w:p>
    <w:p w14:paraId="025275C1" w14:textId="77777777" w:rsidR="00432FB8" w:rsidRDefault="00432FB8" w:rsidP="008A382D">
      <w:pPr>
        <w:spacing w:line="360" w:lineRule="auto"/>
        <w:ind w:firstLine="567"/>
        <w:jc w:val="both"/>
        <w:rPr>
          <w:sz w:val="24"/>
          <w:szCs w:val="24"/>
          <w:lang w:val="es-MX"/>
        </w:rPr>
      </w:pPr>
      <w:r w:rsidRPr="00432FB8">
        <w:rPr>
          <w:sz w:val="24"/>
          <w:szCs w:val="24"/>
          <w:lang w:val="es-MX"/>
        </w:rPr>
        <w:t xml:space="preserve">Las medidas de dispersión complementan a las de tendencia central. Si estas últimas nos dicen “dónde está el centro” de los datos, las de dispersión explican “qué tan lejos” están los valores de ese centro. En otras palabras, permiten conocer el grado de variabilidad o homogeneidad de un conjunto. En el ámbito educativo, son esenciales para interpretar si el rendimiento de un grupo es equilibrado o desigual, si </w:t>
      </w:r>
      <w:r w:rsidRPr="00432FB8">
        <w:rPr>
          <w:sz w:val="24"/>
          <w:szCs w:val="24"/>
          <w:lang w:val="es-MX"/>
        </w:rPr>
        <w:lastRenderedPageBreak/>
        <w:t>existen brechas entre estudiantes o si las intervenciones pedagógicas logran reducir esas diferencias (Muijs, 2011).</w:t>
      </w:r>
    </w:p>
    <w:p w14:paraId="4A9384D6" w14:textId="77777777" w:rsidR="00432FB8" w:rsidRPr="00432FB8" w:rsidRDefault="00432FB8" w:rsidP="008A382D">
      <w:pPr>
        <w:spacing w:line="360" w:lineRule="auto"/>
        <w:ind w:firstLine="567"/>
        <w:jc w:val="both"/>
        <w:rPr>
          <w:sz w:val="24"/>
          <w:szCs w:val="24"/>
          <w:lang w:val="es-MX"/>
        </w:rPr>
      </w:pPr>
    </w:p>
    <w:p w14:paraId="307C2409" w14:textId="3DA6F88C" w:rsidR="00432FB8" w:rsidRPr="00432FB8" w:rsidRDefault="00432FB8" w:rsidP="008A382D">
      <w:pPr>
        <w:spacing w:line="360" w:lineRule="auto"/>
        <w:ind w:firstLine="567"/>
        <w:jc w:val="both"/>
        <w:rPr>
          <w:i/>
          <w:iCs/>
          <w:sz w:val="24"/>
          <w:szCs w:val="24"/>
          <w:lang w:val="es-MX"/>
        </w:rPr>
      </w:pPr>
      <w:r w:rsidRPr="00432FB8">
        <w:rPr>
          <w:i/>
          <w:iCs/>
          <w:sz w:val="24"/>
          <w:szCs w:val="24"/>
          <w:lang w:val="es-MX"/>
        </w:rPr>
        <w:t>1.5.1. El rango: la medida más simple de variabilidad</w:t>
      </w:r>
    </w:p>
    <w:p w14:paraId="257F4C95"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El rango es la diferencia entre el valor máximo y el valor mínimo de un conjunto de datos. Es la forma más sencilla de estimar la amplitud total, aunque también la menos precisa. Indica la distancia que separa los extremos del grupo, pero no considera la distribución intermedia. Según Bluman (2014), el rango “proporciona una medida rápida de variabilidad, pero puede ser engañoso si los datos son muy dispersos o contienen valores atípicos”.</w:t>
      </w:r>
    </w:p>
    <w:p w14:paraId="1FA9BC69"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 xml:space="preserve">En un contexto educativo, si los estudiantes obtienen notas entre 45 y 95, el rango sería 95 − 45 = </w:t>
      </w:r>
      <w:r w:rsidRPr="00432FB8">
        <w:rPr>
          <w:b/>
          <w:bCs/>
          <w:sz w:val="24"/>
          <w:szCs w:val="24"/>
          <w:lang w:val="es-MX"/>
        </w:rPr>
        <w:t>50 puntos</w:t>
      </w:r>
      <w:r w:rsidRPr="00432FB8">
        <w:rPr>
          <w:sz w:val="24"/>
          <w:szCs w:val="24"/>
          <w:lang w:val="es-MX"/>
        </w:rPr>
        <w:t>, lo que refleja una gran amplitud en los resultados. Esto podría interpretarse como una señal de desigualdad en el rendimiento: algunos estudiantes logran dominar los contenidos, mientras que otros presentan dificultades significativas.</w:t>
      </w:r>
    </w:p>
    <w:p w14:paraId="4DADB82C" w14:textId="7623AE70" w:rsidR="00432FB8" w:rsidRPr="00432FB8" w:rsidRDefault="00432FB8" w:rsidP="008A382D">
      <w:pPr>
        <w:spacing w:line="360" w:lineRule="auto"/>
        <w:ind w:firstLine="567"/>
        <w:jc w:val="both"/>
        <w:rPr>
          <w:i/>
          <w:iCs/>
          <w:sz w:val="24"/>
          <w:szCs w:val="24"/>
          <w:lang w:val="es-MX"/>
        </w:rPr>
      </w:pPr>
      <w:r w:rsidRPr="00432FB8">
        <w:rPr>
          <w:i/>
          <w:iCs/>
          <w:sz w:val="24"/>
          <w:szCs w:val="24"/>
          <w:lang w:val="es-MX"/>
        </w:rPr>
        <w:t>1.5.2. La varianza: cuánto se alejan los datos de la media</w:t>
      </w:r>
    </w:p>
    <w:p w14:paraId="1C7F5A63"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La varianza representa la dispersión promedio de los datos respecto a la media. Se calcula elevando al cuadrado la diferencia de cada valor con respecto al promedio y luego promediando esos resultados. En términos simples, indica cuánto varían los datos en promedio. Si la varianza es alta, significa que los valores están muy separados entre sí; si es baja, los datos se concentran cerca de la media (Johnson &amp; Kuby, 2011).</w:t>
      </w:r>
    </w:p>
    <w:p w14:paraId="5CBB38BE"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En educación, una varianza elevada en las calificaciones de una clase puede reflejar desigualdad en los aprendizajes, mientras que una varianza pequeña sugiere un grupo con rendimientos más parecidos. Johnson y Kuby (2011) destacan que la varianza es esencial no solo por sí misma, sino también porque sirve como base para otras medidas estadísticas, como la desviación estándar o el análisis de la varianza (ANOVA), ampliamente utilizados en investigaciones educativas.</w:t>
      </w:r>
    </w:p>
    <w:p w14:paraId="1938364F" w14:textId="77777777" w:rsidR="00432FB8" w:rsidRDefault="00432FB8" w:rsidP="008A382D">
      <w:pPr>
        <w:spacing w:line="360" w:lineRule="auto"/>
        <w:ind w:firstLine="567"/>
        <w:jc w:val="both"/>
        <w:rPr>
          <w:b/>
          <w:bCs/>
          <w:sz w:val="24"/>
          <w:szCs w:val="24"/>
          <w:lang w:val="es-MX"/>
        </w:rPr>
      </w:pPr>
    </w:p>
    <w:p w14:paraId="157CB462" w14:textId="26297639" w:rsidR="00432FB8" w:rsidRPr="00432FB8" w:rsidRDefault="00432FB8" w:rsidP="008A382D">
      <w:pPr>
        <w:spacing w:line="360" w:lineRule="auto"/>
        <w:ind w:firstLine="567"/>
        <w:jc w:val="both"/>
        <w:rPr>
          <w:i/>
          <w:iCs/>
          <w:sz w:val="24"/>
          <w:szCs w:val="24"/>
          <w:lang w:val="es-MX"/>
        </w:rPr>
      </w:pPr>
      <w:r w:rsidRPr="00432FB8">
        <w:rPr>
          <w:i/>
          <w:iCs/>
          <w:sz w:val="24"/>
          <w:szCs w:val="24"/>
          <w:lang w:val="es-MX"/>
        </w:rPr>
        <w:t>1.5.3. La desviación estándar: una medida más interpretable</w:t>
      </w:r>
    </w:p>
    <w:p w14:paraId="6C20C188"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 xml:space="preserve">La desviación estándar es la raíz cuadrada de la varianza, lo que la convierte en una medida expresada en las mismas unidades que los datos originales. Es, por tanto, más intuitiva y directa. Triola (2014) explica que la desviación estándar “es una </w:t>
      </w:r>
      <w:r w:rsidRPr="00432FB8">
        <w:rPr>
          <w:sz w:val="24"/>
          <w:szCs w:val="24"/>
          <w:lang w:val="es-MX"/>
        </w:rPr>
        <w:lastRenderedPageBreak/>
        <w:t>medida fundamental para entender cuán representativa es la media y para comparar grupos”.</w:t>
      </w:r>
    </w:p>
    <w:p w14:paraId="3FAD6582"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Por ejemplo, si la media de un examen es 80 y la desviación estándar es 5, esto significa que, en promedio, las calificaciones se desvían 5 puntos arriba o abajo del promedio. En educación, una desviación estándar baja indica que la mayoría de los estudiantes tiene un rendimiento similar; una alta, que existen diferencias significativas dentro del grupo. Es una medida ampliamente utilizada en informes institucionales, evaluaciones nacionales y estudios comparativos.</w:t>
      </w:r>
    </w:p>
    <w:p w14:paraId="38B325D4" w14:textId="77777777" w:rsidR="00432FB8" w:rsidRDefault="00432FB8" w:rsidP="008A382D">
      <w:pPr>
        <w:spacing w:line="360" w:lineRule="auto"/>
        <w:ind w:firstLine="567"/>
        <w:jc w:val="both"/>
        <w:rPr>
          <w:b/>
          <w:bCs/>
          <w:sz w:val="24"/>
          <w:szCs w:val="24"/>
          <w:lang w:val="es-MX"/>
        </w:rPr>
      </w:pPr>
    </w:p>
    <w:p w14:paraId="7A1C03AA" w14:textId="39CAD39A" w:rsidR="00432FB8" w:rsidRPr="00432FB8" w:rsidRDefault="00432FB8" w:rsidP="008A382D">
      <w:pPr>
        <w:spacing w:line="360" w:lineRule="auto"/>
        <w:ind w:firstLine="567"/>
        <w:jc w:val="both"/>
        <w:rPr>
          <w:i/>
          <w:iCs/>
          <w:sz w:val="24"/>
          <w:szCs w:val="24"/>
          <w:lang w:val="es-MX"/>
        </w:rPr>
      </w:pPr>
      <w:r w:rsidRPr="00432FB8">
        <w:rPr>
          <w:i/>
          <w:iCs/>
          <w:sz w:val="24"/>
          <w:szCs w:val="24"/>
          <w:lang w:val="es-MX"/>
        </w:rPr>
        <w:t>1.5.4. El coeficiente de variación: una comparación proporcional</w:t>
      </w:r>
    </w:p>
    <w:p w14:paraId="1FC58FFD"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El coeficiente de variación (CV) mide la dispersión relativa, expresada como porcentaje. Se calcula dividiendo la desviación estándar entre la media y multiplicando por 100. Este valor permite comparar la variabilidad entre grupos que usan escalas o unidades diferentes (Spiegel &amp; Stephens, 2008).</w:t>
      </w:r>
    </w:p>
    <w:p w14:paraId="7931A0DE"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Por ejemplo, si dos grupos de estudiantes tienen medias parecidas pero distintas desviaciones estándar, el CV permitirá determinar cuál es más homogéneo en relación con su media. En contextos educativos, esto resulta muy útil para comparar rendimientos en distintas áreas: un grupo puede tener más estabilidad en matemáticas y otro mayor dispersión en lectura, aunque ambos tengan promedios similares.</w:t>
      </w:r>
    </w:p>
    <w:p w14:paraId="02B801B4"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En el análisis de datos educativos, las medidas de dispersión son tan importantes como las de tendencia central. Permiten comprender cuán representativa es la media y si refleja verdaderamente la realidad del grupo. Una desviación estándar baja sugiere homogeneidad; una alta, heterogeneidad o desigualdad. Estos indicadores ayudan a detectar brechas entre estudiantes, evaluar la eficacia de las estrategias pedagógicas y orientar decisiones fundamentadas.</w:t>
      </w:r>
    </w:p>
    <w:p w14:paraId="682611F5" w14:textId="77777777" w:rsidR="00432FB8" w:rsidRPr="00432FB8" w:rsidRDefault="00432FB8" w:rsidP="008A382D">
      <w:pPr>
        <w:spacing w:line="360" w:lineRule="auto"/>
        <w:ind w:firstLine="567"/>
        <w:jc w:val="both"/>
        <w:rPr>
          <w:sz w:val="24"/>
          <w:szCs w:val="24"/>
          <w:lang w:val="es-MX"/>
        </w:rPr>
      </w:pPr>
      <w:r w:rsidRPr="00432FB8">
        <w:rPr>
          <w:sz w:val="24"/>
          <w:szCs w:val="24"/>
          <w:lang w:val="es-MX"/>
        </w:rPr>
        <w:t>Por ejemplo, dos escuelas pueden tener la misma media de rendimiento en una prueba estandarizada, pero si una presenta una desviación estándar mayor, eso indica mayor desigualdad interna. Esa diferencia puede ser clave para diseñar políticas que atiendan las necesidades específicas de los alumnos. Muijs (2011) subraya que comprender la dispersión es esencial porque “la media por sí sola puede ocultar importantes desigualdades en los datos”.</w:t>
      </w:r>
    </w:p>
    <w:p w14:paraId="178BCD5C" w14:textId="528A9189" w:rsidR="00432FB8" w:rsidRPr="00432FB8" w:rsidRDefault="00432FB8" w:rsidP="008A382D">
      <w:pPr>
        <w:spacing w:line="360" w:lineRule="auto"/>
        <w:ind w:firstLine="567"/>
        <w:jc w:val="both"/>
        <w:rPr>
          <w:sz w:val="24"/>
          <w:szCs w:val="24"/>
          <w:lang w:val="es-MX"/>
        </w:rPr>
      </w:pPr>
      <w:r>
        <w:rPr>
          <w:sz w:val="24"/>
          <w:szCs w:val="24"/>
          <w:lang w:val="es-MX"/>
        </w:rPr>
        <w:t>E</w:t>
      </w:r>
      <w:r w:rsidRPr="00432FB8">
        <w:rPr>
          <w:sz w:val="24"/>
          <w:szCs w:val="24"/>
          <w:lang w:val="es-MX"/>
        </w:rPr>
        <w:t xml:space="preserve">l análisis de la dispersión no solo muestra cuánto varían los datos, sino que también ofrece una visión más justa y completa de la realidad educativa. Al combinarla </w:t>
      </w:r>
      <w:r w:rsidRPr="00432FB8">
        <w:rPr>
          <w:sz w:val="24"/>
          <w:szCs w:val="24"/>
          <w:lang w:val="es-MX"/>
        </w:rPr>
        <w:lastRenderedPageBreak/>
        <w:t>con las medidas de tendencia central, se obtiene un panorama integral que permite interpretar los resultados con precisión y tomar decisiones basadas en evidencia.</w:t>
      </w:r>
    </w:p>
    <w:p w14:paraId="4D900D86" w14:textId="6951F55F" w:rsidR="006F546D" w:rsidRDefault="006F546D" w:rsidP="008A382D">
      <w:pPr>
        <w:spacing w:line="360" w:lineRule="auto"/>
        <w:ind w:firstLine="567"/>
        <w:jc w:val="both"/>
        <w:rPr>
          <w:sz w:val="24"/>
          <w:szCs w:val="24"/>
          <w:lang w:val="es-MX"/>
        </w:rPr>
      </w:pPr>
    </w:p>
    <w:p w14:paraId="38E13CDD" w14:textId="74424D30" w:rsidR="008D4301" w:rsidRPr="008D4301" w:rsidRDefault="008D4301" w:rsidP="008A382D">
      <w:pPr>
        <w:spacing w:line="360" w:lineRule="auto"/>
        <w:ind w:firstLine="567"/>
        <w:jc w:val="both"/>
        <w:rPr>
          <w:i/>
          <w:iCs/>
          <w:sz w:val="24"/>
          <w:szCs w:val="24"/>
          <w:lang w:val="es-MX"/>
        </w:rPr>
      </w:pPr>
      <w:r w:rsidRPr="008D4301">
        <w:rPr>
          <w:i/>
          <w:iCs/>
          <w:sz w:val="24"/>
          <w:szCs w:val="24"/>
          <w:lang w:val="es-MX"/>
        </w:rPr>
        <w:t>1.5.5 Interpretación aplicada de las medidas de dispersión</w:t>
      </w:r>
    </w:p>
    <w:p w14:paraId="00ED1181" w14:textId="77777777" w:rsidR="008D4301" w:rsidRPr="008D4301" w:rsidRDefault="008D4301" w:rsidP="008A382D">
      <w:pPr>
        <w:spacing w:line="360" w:lineRule="auto"/>
        <w:ind w:firstLine="567"/>
        <w:jc w:val="both"/>
        <w:rPr>
          <w:sz w:val="24"/>
          <w:szCs w:val="24"/>
          <w:lang w:val="es-MX"/>
        </w:rPr>
      </w:pPr>
      <w:r w:rsidRPr="008D4301">
        <w:rPr>
          <w:sz w:val="24"/>
          <w:szCs w:val="24"/>
          <w:lang w:val="es-MX"/>
        </w:rPr>
        <w:t>Las medidas de dispersión no solo se calculan: se interpretan. Y en esa interpretación radica su valor real dentro de la investigación educativa. A menudo, dos grupos pueden tener la misma media, pero una desviación estándar distinta, lo que cambia por completo el sentido de los resultados.</w:t>
      </w:r>
    </w:p>
    <w:p w14:paraId="24180DBD" w14:textId="77777777" w:rsidR="008D4301" w:rsidRPr="008D4301" w:rsidRDefault="008D4301" w:rsidP="008A382D">
      <w:pPr>
        <w:spacing w:line="360" w:lineRule="auto"/>
        <w:ind w:firstLine="567"/>
        <w:jc w:val="both"/>
        <w:rPr>
          <w:sz w:val="24"/>
          <w:szCs w:val="24"/>
          <w:lang w:val="es-MX"/>
        </w:rPr>
      </w:pPr>
      <w:r w:rsidRPr="008D4301">
        <w:rPr>
          <w:sz w:val="24"/>
          <w:szCs w:val="24"/>
          <w:lang w:val="es-MX"/>
        </w:rPr>
        <w:t>Cuando dos grupos presentan la misma media pero diferente desviación estándar, significa que, aunque el rendimiento promedio es igual, la dispersión de los resultados no lo es. El grupo con una desviación estándar más alta tiene calificaciones más dispersas, es decir, algunos estudiantes obtuvieron puntajes muy altos y otros muy bajos. En cambio, un grupo con desviación estándar baja refleja un rendimiento más uniforme. En el contexto educativo, esto puede indicar que el primer grupo es más heterogéneo, mientras que el segundo es más cohesionado en sus aprendizajes. Como señala Triola (2014), la desviación estándar “permite entender cuán representativa es la media”, ya que un promedio puede ocultar diferencias importantes dentro de un grupo.</w:t>
      </w:r>
    </w:p>
    <w:p w14:paraId="5FE32F13" w14:textId="77777777" w:rsidR="008D4301" w:rsidRPr="008D4301" w:rsidRDefault="008D4301" w:rsidP="008A382D">
      <w:pPr>
        <w:spacing w:line="360" w:lineRule="auto"/>
        <w:ind w:firstLine="567"/>
        <w:jc w:val="both"/>
        <w:rPr>
          <w:sz w:val="24"/>
          <w:szCs w:val="24"/>
          <w:lang w:val="es-MX"/>
        </w:rPr>
      </w:pPr>
      <w:r w:rsidRPr="008D4301">
        <w:rPr>
          <w:sz w:val="24"/>
          <w:szCs w:val="24"/>
          <w:lang w:val="es-MX"/>
        </w:rPr>
        <w:t>Para comparar la variabilidad entre dos grupos con unidades diferentes, la medida más adecuada es el coeficiente de variación (CV). Esta medida expresa la dispersión relativa como un porcentaje y se obtiene dividiendo la desviación estándar entre la media y multiplicando por cien (Spiegel &amp; Stephens, 2008). Su utilidad radica en que elimina las unidades de medida, lo que permite comparar, por ejemplo, la variabilidad entre puntajes en matemáticas (de 0 a 100) y tiempos de lectura (en minutos). En educación, este tipo de comparación es muy valiosa cuando se analizan distintos indicadores de rendimiento o distintos instrumentos de evaluación.</w:t>
      </w:r>
    </w:p>
    <w:p w14:paraId="5892793D" w14:textId="77777777" w:rsidR="008D4301" w:rsidRPr="008D4301" w:rsidRDefault="008D4301" w:rsidP="008A382D">
      <w:pPr>
        <w:spacing w:line="360" w:lineRule="auto"/>
        <w:ind w:firstLine="567"/>
        <w:jc w:val="both"/>
        <w:rPr>
          <w:sz w:val="24"/>
          <w:szCs w:val="24"/>
          <w:lang w:val="es-MX"/>
        </w:rPr>
      </w:pPr>
      <w:r w:rsidRPr="008D4301">
        <w:rPr>
          <w:sz w:val="24"/>
          <w:szCs w:val="24"/>
          <w:lang w:val="es-MX"/>
        </w:rPr>
        <w:t xml:space="preserve">Un coeficiente de variación alto indica que la variabilidad relativa es grande, es decir, que los datos fluctúan mucho en relación con su media. En términos prácticos, un grupo con un CV alto tiene resultados menos consistentes o más irregulares. En cambio, un CV bajo sugiere homogeneidad y estabilidad dentro del grupo. Johnson y Kuby (2011) destacan que este coeficiente es una medida clave para evaluar la consistencia entre grupos o instituciones, especialmente cuando los datos no están en la misma escala. En el ámbito educativo, un CV alto podría alertar sobre </w:t>
      </w:r>
      <w:r w:rsidRPr="008D4301">
        <w:rPr>
          <w:sz w:val="24"/>
          <w:szCs w:val="24"/>
          <w:lang w:val="es-MX"/>
        </w:rPr>
        <w:lastRenderedPageBreak/>
        <w:t>desigualdades en el aprendizaje o diferencias en la efectividad de la enseñanza entre subgrupos de estudiantes.</w:t>
      </w:r>
    </w:p>
    <w:p w14:paraId="2C5A642D" w14:textId="33437DC6" w:rsidR="008D4301" w:rsidRDefault="008D4301" w:rsidP="008A382D">
      <w:pPr>
        <w:spacing w:line="360" w:lineRule="auto"/>
        <w:ind w:firstLine="567"/>
        <w:jc w:val="both"/>
        <w:rPr>
          <w:sz w:val="24"/>
          <w:szCs w:val="24"/>
          <w:lang w:val="es-MX"/>
        </w:rPr>
      </w:pPr>
      <w:r>
        <w:rPr>
          <w:sz w:val="24"/>
          <w:szCs w:val="24"/>
          <w:lang w:val="es-MX"/>
        </w:rPr>
        <w:t>Por lo anterior</w:t>
      </w:r>
      <w:r w:rsidRPr="008D4301">
        <w:rPr>
          <w:sz w:val="24"/>
          <w:szCs w:val="24"/>
          <w:lang w:val="es-MX"/>
        </w:rPr>
        <w:t>, las medidas de dispersión —desviación estándar y coeficiente de variación— no solo complementan la media, sino que le otorgan sentido. Permiten descubrir lo que los promedios esconden y ayudan a construir una visión más justa del aprendizaje, mostrando tanto la diversidad como la equidad dentro de los grupos educativos.</w:t>
      </w:r>
    </w:p>
    <w:p w14:paraId="0E6B168B" w14:textId="77777777" w:rsidR="00981739" w:rsidRDefault="00981739" w:rsidP="008A382D">
      <w:pPr>
        <w:spacing w:line="360" w:lineRule="auto"/>
        <w:ind w:firstLine="567"/>
        <w:jc w:val="both"/>
        <w:rPr>
          <w:sz w:val="24"/>
          <w:szCs w:val="24"/>
          <w:lang w:val="es-MX"/>
        </w:rPr>
      </w:pPr>
    </w:p>
    <w:p w14:paraId="3C23EE79" w14:textId="38E4FFE5" w:rsidR="00981739" w:rsidRDefault="00981739" w:rsidP="008A382D">
      <w:pPr>
        <w:spacing w:line="360" w:lineRule="auto"/>
        <w:ind w:firstLine="567"/>
        <w:jc w:val="both"/>
        <w:rPr>
          <w:sz w:val="24"/>
          <w:szCs w:val="24"/>
        </w:rPr>
      </w:pPr>
      <w:r>
        <w:rPr>
          <w:sz w:val="24"/>
          <w:szCs w:val="24"/>
          <w:lang w:val="es-MX"/>
        </w:rPr>
        <w:t xml:space="preserve">1.6. </w:t>
      </w:r>
      <w:r w:rsidRPr="00981739">
        <w:rPr>
          <w:sz w:val="24"/>
          <w:szCs w:val="24"/>
        </w:rPr>
        <w:t>Introducción a la probabilidad</w:t>
      </w:r>
    </w:p>
    <w:p w14:paraId="0F776293" w14:textId="77777777" w:rsidR="00981739" w:rsidRPr="00981739" w:rsidRDefault="00981739" w:rsidP="008A382D">
      <w:pPr>
        <w:spacing w:line="360" w:lineRule="auto"/>
        <w:ind w:firstLine="567"/>
        <w:jc w:val="both"/>
        <w:rPr>
          <w:sz w:val="24"/>
          <w:szCs w:val="24"/>
          <w:lang w:val="es-MX"/>
        </w:rPr>
      </w:pPr>
      <w:r w:rsidRPr="00981739">
        <w:rPr>
          <w:sz w:val="24"/>
          <w:szCs w:val="24"/>
          <w:lang w:val="es-MX"/>
        </w:rPr>
        <w:t>La probabilidad es uno de los conceptos más poderosos de la estadística moderna. Permite describir y anticipar fenómenos inciertos, ofreciendo una forma cuantitativa de expresar el grado de certeza sobre la ocurrencia de un evento. En términos simples, la probabilidad mide qué tan posible es que algo ocurra, utilizando una escala que va de 0 a 1: donde 0 indica imposibilidad y 1 representa certeza absoluta. Valores intermedios expresan distintos niveles de posibilidad (Triola, 2014).</w:t>
      </w:r>
    </w:p>
    <w:p w14:paraId="74E497C6" w14:textId="079A4997" w:rsidR="00981739" w:rsidRDefault="00981739" w:rsidP="008A382D">
      <w:pPr>
        <w:spacing w:line="360" w:lineRule="auto"/>
        <w:ind w:firstLine="567"/>
        <w:jc w:val="both"/>
        <w:rPr>
          <w:sz w:val="24"/>
          <w:szCs w:val="24"/>
          <w:lang w:val="es-MX"/>
        </w:rPr>
      </w:pPr>
      <w:r w:rsidRPr="00981739">
        <w:rPr>
          <w:sz w:val="24"/>
          <w:szCs w:val="24"/>
          <w:lang w:val="es-MX"/>
        </w:rPr>
        <w:t>En el contexto educativo, esta herramienta es fundamental para estimar tendencias o comportamientos a partir de datos observados. Por ejemplo, si históricamente el 80% de los estudiantes aprueban un examen de matemáticas, se puede afirmar que la probabilidad de que un estudiante elegido al azar apruebe es 0.8. De esta manera, la probabilidad ayuda a transformar la experiencia empírica en una estimación cuantitativa. Triola (2014) sostiene que “la probabilidad permite hacer inferencias sobre una población con base en el comportamiento de muestras aleatorias”, lo que la convierte en la base de toda inferencia estadística.</w:t>
      </w:r>
    </w:p>
    <w:p w14:paraId="1E6D05BA" w14:textId="77777777" w:rsidR="00981739" w:rsidRPr="00981739" w:rsidRDefault="00981739" w:rsidP="008A382D">
      <w:pPr>
        <w:spacing w:line="360" w:lineRule="auto"/>
        <w:ind w:firstLine="567"/>
        <w:jc w:val="both"/>
        <w:rPr>
          <w:i/>
          <w:iCs/>
          <w:sz w:val="24"/>
          <w:szCs w:val="24"/>
          <w:lang w:val="es-MX"/>
        </w:rPr>
      </w:pPr>
    </w:p>
    <w:p w14:paraId="3A1175ED" w14:textId="7AE781D7" w:rsidR="00981739" w:rsidRPr="00981739" w:rsidRDefault="00981739" w:rsidP="008A382D">
      <w:pPr>
        <w:spacing w:line="360" w:lineRule="auto"/>
        <w:ind w:firstLine="567"/>
        <w:jc w:val="both"/>
        <w:rPr>
          <w:i/>
          <w:iCs/>
          <w:sz w:val="24"/>
          <w:szCs w:val="24"/>
          <w:lang w:val="es-MX"/>
        </w:rPr>
      </w:pPr>
      <w:r w:rsidRPr="00981739">
        <w:rPr>
          <w:i/>
          <w:iCs/>
          <w:sz w:val="24"/>
          <w:szCs w:val="24"/>
          <w:lang w:val="es-MX"/>
        </w:rPr>
        <w:t>1.6.1. Enfoques de la probabilidad</w:t>
      </w:r>
    </w:p>
    <w:p w14:paraId="6FC8ED4E" w14:textId="77777777" w:rsidR="00981739" w:rsidRPr="00981739" w:rsidRDefault="00981739" w:rsidP="008A382D">
      <w:pPr>
        <w:spacing w:line="360" w:lineRule="auto"/>
        <w:ind w:firstLine="567"/>
        <w:jc w:val="both"/>
        <w:rPr>
          <w:sz w:val="24"/>
          <w:szCs w:val="24"/>
          <w:lang w:val="es-MX"/>
        </w:rPr>
      </w:pPr>
      <w:r w:rsidRPr="00981739">
        <w:rPr>
          <w:sz w:val="24"/>
          <w:szCs w:val="24"/>
          <w:lang w:val="es-MX"/>
        </w:rPr>
        <w:t>Existen tres formas principales de entender la probabilidad: clásica, frecuentista y subjetiva, cada una con fundamentos distintos pero complementarios.</w:t>
      </w:r>
    </w:p>
    <w:p w14:paraId="0A39D8CD" w14:textId="77777777" w:rsidR="00981739" w:rsidRPr="00981739" w:rsidRDefault="00981739" w:rsidP="008A382D">
      <w:pPr>
        <w:spacing w:line="360" w:lineRule="auto"/>
        <w:ind w:firstLine="567"/>
        <w:jc w:val="both"/>
        <w:rPr>
          <w:sz w:val="24"/>
          <w:szCs w:val="24"/>
          <w:lang w:val="es-MX"/>
        </w:rPr>
      </w:pPr>
      <w:r w:rsidRPr="00981739">
        <w:rPr>
          <w:sz w:val="24"/>
          <w:szCs w:val="24"/>
          <w:lang w:val="es-MX"/>
        </w:rPr>
        <w:t>El enfoque clásico se basa en el conteo de resultados igualmente probables. Es el modelo más teórico y suele aplicarse en situaciones ideales, como lanzar un dado o una moneda. Por ejemplo, la probabilidad de obtener un 4 al lanzar un dado justo es 1/6.</w:t>
      </w:r>
    </w:p>
    <w:p w14:paraId="4E1525F6" w14:textId="77777777" w:rsidR="00981739" w:rsidRPr="00981739" w:rsidRDefault="00981739" w:rsidP="008A382D">
      <w:pPr>
        <w:spacing w:line="360" w:lineRule="auto"/>
        <w:ind w:firstLine="567"/>
        <w:jc w:val="both"/>
        <w:rPr>
          <w:sz w:val="24"/>
          <w:szCs w:val="24"/>
          <w:lang w:val="es-MX"/>
        </w:rPr>
      </w:pPr>
      <w:r w:rsidRPr="00981739">
        <w:rPr>
          <w:sz w:val="24"/>
          <w:szCs w:val="24"/>
          <w:lang w:val="es-MX"/>
        </w:rPr>
        <w:t xml:space="preserve">El enfoque frecuentista, en cambio, se apoya en la observación repetida de un evento. La probabilidad se define como la frecuencia relativa con que ocurre un </w:t>
      </w:r>
      <w:r w:rsidRPr="00981739">
        <w:rPr>
          <w:sz w:val="24"/>
          <w:szCs w:val="24"/>
          <w:lang w:val="es-MX"/>
        </w:rPr>
        <w:lastRenderedPageBreak/>
        <w:t>resultado en un número elevado de repeticiones. Si de 100 estudiantes, 70 aprueban un examen, la probabilidad empírica de aprobar sería 0.7.</w:t>
      </w:r>
    </w:p>
    <w:p w14:paraId="4B4C9A4C" w14:textId="61F4798A" w:rsidR="006F546D" w:rsidRDefault="00981739" w:rsidP="008A382D">
      <w:pPr>
        <w:spacing w:line="360" w:lineRule="auto"/>
        <w:ind w:firstLine="567"/>
        <w:jc w:val="both"/>
        <w:rPr>
          <w:sz w:val="24"/>
          <w:szCs w:val="24"/>
          <w:lang w:val="es-MX"/>
        </w:rPr>
      </w:pPr>
      <w:r w:rsidRPr="00981739">
        <w:rPr>
          <w:sz w:val="24"/>
          <w:szCs w:val="24"/>
          <w:lang w:val="es-MX"/>
        </w:rPr>
        <w:t>Por último, el enfoque subjetivo depende del juicio o la creencia de una persona informada. Se utiliza cuando no existen suficientes datos para aplicar los enfoques anteriores. Un docente, por ejemplo, puede estimar en un 90% la probabilidad de que un alumno apruebe por su esfuerzo y progreso observado. Bluman (2014) y Levine et al. (2016) destacan que los tres enfoques pueden considerarse válidos, dependiendo del contexto: el clásico en entornos teóricos, el frecuentista en experimentos repetibles y el subjetivo cuando prevalece la experiencia o el criterio experto.</w:t>
      </w:r>
    </w:p>
    <w:p w14:paraId="19F37184" w14:textId="35FAA572" w:rsidR="00981739" w:rsidRPr="00515D3D" w:rsidRDefault="00981739" w:rsidP="008A382D">
      <w:pPr>
        <w:spacing w:line="360" w:lineRule="auto"/>
        <w:ind w:firstLine="567"/>
        <w:jc w:val="both"/>
        <w:rPr>
          <w:b/>
          <w:bCs/>
          <w:sz w:val="24"/>
          <w:szCs w:val="24"/>
          <w:lang w:val="es-MX"/>
        </w:rPr>
      </w:pPr>
      <w:r w:rsidRPr="00515D3D">
        <w:rPr>
          <w:b/>
          <w:bCs/>
          <w:sz w:val="24"/>
          <w:szCs w:val="24"/>
          <w:lang w:val="es-MX"/>
        </w:rPr>
        <w:t xml:space="preserve">Tabla </w:t>
      </w:r>
      <w:r w:rsidR="00515D3D" w:rsidRPr="00515D3D">
        <w:rPr>
          <w:b/>
          <w:bCs/>
          <w:sz w:val="24"/>
          <w:szCs w:val="24"/>
          <w:lang w:val="es-MX"/>
        </w:rPr>
        <w:t>3</w:t>
      </w:r>
    </w:p>
    <w:p w14:paraId="4CA68070" w14:textId="5FF63A15" w:rsidR="00981739" w:rsidRPr="00515D3D" w:rsidRDefault="00981739" w:rsidP="008A382D">
      <w:pPr>
        <w:spacing w:line="360" w:lineRule="auto"/>
        <w:ind w:firstLine="567"/>
        <w:jc w:val="both"/>
        <w:rPr>
          <w:i/>
          <w:iCs/>
          <w:sz w:val="24"/>
          <w:szCs w:val="24"/>
          <w:lang w:val="es-MX"/>
        </w:rPr>
      </w:pPr>
      <w:r w:rsidRPr="00515D3D">
        <w:rPr>
          <w:i/>
          <w:iCs/>
          <w:sz w:val="24"/>
          <w:szCs w:val="24"/>
          <w:lang w:val="es-MX"/>
        </w:rPr>
        <w:t xml:space="preserve">Enfoque de la probabilidad </w:t>
      </w:r>
    </w:p>
    <w:p w14:paraId="3A9CCFD9" w14:textId="77777777" w:rsidR="00981739" w:rsidRDefault="00981739" w:rsidP="008A382D">
      <w:pPr>
        <w:spacing w:line="360" w:lineRule="auto"/>
        <w:jc w:val="both"/>
        <w:rPr>
          <w:sz w:val="24"/>
          <w:szCs w:val="24"/>
          <w:lang w:val="es-MX"/>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3804"/>
        <w:gridCol w:w="3326"/>
      </w:tblGrid>
      <w:tr w:rsidR="00981739" w:rsidRPr="00981739" w14:paraId="0CA795A1" w14:textId="77777777">
        <w:trPr>
          <w:tblHeader/>
          <w:tblCellSpacing w:w="15" w:type="dxa"/>
        </w:trPr>
        <w:tc>
          <w:tcPr>
            <w:tcW w:w="0" w:type="auto"/>
            <w:vAlign w:val="center"/>
            <w:hideMark/>
          </w:tcPr>
          <w:p w14:paraId="512E693F" w14:textId="77777777" w:rsidR="00981739" w:rsidRPr="00981739" w:rsidRDefault="00981739" w:rsidP="008A382D">
            <w:pPr>
              <w:spacing w:line="360" w:lineRule="auto"/>
              <w:jc w:val="both"/>
              <w:rPr>
                <w:b/>
                <w:bCs/>
                <w:sz w:val="24"/>
                <w:szCs w:val="24"/>
                <w:lang w:val="es-MX"/>
              </w:rPr>
            </w:pPr>
            <w:r w:rsidRPr="00981739">
              <w:rPr>
                <w:b/>
                <w:bCs/>
                <w:sz w:val="24"/>
                <w:szCs w:val="24"/>
                <w:lang w:val="es-MX"/>
              </w:rPr>
              <w:t>Enfoque</w:t>
            </w:r>
          </w:p>
        </w:tc>
        <w:tc>
          <w:tcPr>
            <w:tcW w:w="0" w:type="auto"/>
            <w:vAlign w:val="center"/>
            <w:hideMark/>
          </w:tcPr>
          <w:p w14:paraId="7C886396" w14:textId="77777777" w:rsidR="00981739" w:rsidRPr="00981739" w:rsidRDefault="00981739" w:rsidP="008A382D">
            <w:pPr>
              <w:spacing w:line="360" w:lineRule="auto"/>
              <w:jc w:val="both"/>
              <w:rPr>
                <w:b/>
                <w:bCs/>
                <w:sz w:val="24"/>
                <w:szCs w:val="24"/>
                <w:lang w:val="es-MX"/>
              </w:rPr>
            </w:pPr>
            <w:r w:rsidRPr="00981739">
              <w:rPr>
                <w:b/>
                <w:bCs/>
                <w:sz w:val="24"/>
                <w:szCs w:val="24"/>
                <w:lang w:val="es-MX"/>
              </w:rPr>
              <w:t>Descripción</w:t>
            </w:r>
          </w:p>
        </w:tc>
        <w:tc>
          <w:tcPr>
            <w:tcW w:w="0" w:type="auto"/>
            <w:vAlign w:val="center"/>
            <w:hideMark/>
          </w:tcPr>
          <w:p w14:paraId="17615932" w14:textId="77777777" w:rsidR="00981739" w:rsidRPr="00981739" w:rsidRDefault="00981739" w:rsidP="008A382D">
            <w:pPr>
              <w:spacing w:line="360" w:lineRule="auto"/>
              <w:jc w:val="both"/>
              <w:rPr>
                <w:b/>
                <w:bCs/>
                <w:sz w:val="24"/>
                <w:szCs w:val="24"/>
                <w:lang w:val="es-MX"/>
              </w:rPr>
            </w:pPr>
            <w:r w:rsidRPr="00981739">
              <w:rPr>
                <w:b/>
                <w:bCs/>
                <w:sz w:val="24"/>
                <w:szCs w:val="24"/>
                <w:lang w:val="es-MX"/>
              </w:rPr>
              <w:t>Ejemplo</w:t>
            </w:r>
          </w:p>
        </w:tc>
      </w:tr>
      <w:tr w:rsidR="00981739" w:rsidRPr="00981739" w14:paraId="106D7864" w14:textId="77777777">
        <w:trPr>
          <w:tblCellSpacing w:w="15" w:type="dxa"/>
        </w:trPr>
        <w:tc>
          <w:tcPr>
            <w:tcW w:w="0" w:type="auto"/>
            <w:vAlign w:val="center"/>
            <w:hideMark/>
          </w:tcPr>
          <w:p w14:paraId="1423F963" w14:textId="77777777" w:rsidR="00981739" w:rsidRPr="00981739" w:rsidRDefault="00981739" w:rsidP="008A382D">
            <w:pPr>
              <w:spacing w:line="360" w:lineRule="auto"/>
              <w:jc w:val="both"/>
              <w:rPr>
                <w:sz w:val="24"/>
                <w:szCs w:val="24"/>
                <w:lang w:val="es-MX"/>
              </w:rPr>
            </w:pPr>
            <w:r w:rsidRPr="00981739">
              <w:rPr>
                <w:b/>
                <w:bCs/>
                <w:sz w:val="24"/>
                <w:szCs w:val="24"/>
                <w:lang w:val="es-MX"/>
              </w:rPr>
              <w:t>Clásica (teórica)</w:t>
            </w:r>
          </w:p>
        </w:tc>
        <w:tc>
          <w:tcPr>
            <w:tcW w:w="0" w:type="auto"/>
            <w:vAlign w:val="center"/>
            <w:hideMark/>
          </w:tcPr>
          <w:p w14:paraId="432311C6" w14:textId="77777777" w:rsidR="00981739" w:rsidRPr="00981739" w:rsidRDefault="00981739" w:rsidP="008A382D">
            <w:pPr>
              <w:spacing w:line="360" w:lineRule="auto"/>
              <w:jc w:val="both"/>
              <w:rPr>
                <w:sz w:val="24"/>
                <w:szCs w:val="24"/>
                <w:lang w:val="es-MX"/>
              </w:rPr>
            </w:pPr>
            <w:r w:rsidRPr="00981739">
              <w:rPr>
                <w:sz w:val="24"/>
                <w:szCs w:val="24"/>
                <w:lang w:val="es-MX"/>
              </w:rPr>
              <w:t>Se basa en principios matemáticos y conteo de resultados igualmente probables.</w:t>
            </w:r>
          </w:p>
        </w:tc>
        <w:tc>
          <w:tcPr>
            <w:tcW w:w="0" w:type="auto"/>
            <w:vAlign w:val="center"/>
            <w:hideMark/>
          </w:tcPr>
          <w:p w14:paraId="336DA55C" w14:textId="77777777" w:rsidR="00981739" w:rsidRPr="00981739" w:rsidRDefault="00981739" w:rsidP="008A382D">
            <w:pPr>
              <w:spacing w:line="360" w:lineRule="auto"/>
              <w:jc w:val="both"/>
              <w:rPr>
                <w:sz w:val="24"/>
                <w:szCs w:val="24"/>
                <w:lang w:val="es-MX"/>
              </w:rPr>
            </w:pPr>
            <w:r w:rsidRPr="00981739">
              <w:rPr>
                <w:sz w:val="24"/>
                <w:szCs w:val="24"/>
                <w:lang w:val="es-MX"/>
              </w:rPr>
              <w:t>Lanzar un dado: probabilidad de obtener un 4 es 1/6.</w:t>
            </w:r>
          </w:p>
        </w:tc>
      </w:tr>
      <w:tr w:rsidR="00981739" w:rsidRPr="00981739" w14:paraId="70985921" w14:textId="77777777">
        <w:trPr>
          <w:tblCellSpacing w:w="15" w:type="dxa"/>
        </w:trPr>
        <w:tc>
          <w:tcPr>
            <w:tcW w:w="0" w:type="auto"/>
            <w:vAlign w:val="center"/>
            <w:hideMark/>
          </w:tcPr>
          <w:p w14:paraId="52B0501F" w14:textId="77777777" w:rsidR="00981739" w:rsidRPr="00981739" w:rsidRDefault="00981739" w:rsidP="008A382D">
            <w:pPr>
              <w:spacing w:line="360" w:lineRule="auto"/>
              <w:jc w:val="both"/>
              <w:rPr>
                <w:sz w:val="24"/>
                <w:szCs w:val="24"/>
                <w:lang w:val="es-MX"/>
              </w:rPr>
            </w:pPr>
            <w:r w:rsidRPr="00981739">
              <w:rPr>
                <w:b/>
                <w:bCs/>
                <w:sz w:val="24"/>
                <w:szCs w:val="24"/>
                <w:lang w:val="es-MX"/>
              </w:rPr>
              <w:t>Frecuentista (empírica)</w:t>
            </w:r>
          </w:p>
        </w:tc>
        <w:tc>
          <w:tcPr>
            <w:tcW w:w="0" w:type="auto"/>
            <w:vAlign w:val="center"/>
            <w:hideMark/>
          </w:tcPr>
          <w:p w14:paraId="50FE8D27" w14:textId="77777777" w:rsidR="00981739" w:rsidRPr="00981739" w:rsidRDefault="00981739" w:rsidP="008A382D">
            <w:pPr>
              <w:spacing w:line="360" w:lineRule="auto"/>
              <w:jc w:val="both"/>
              <w:rPr>
                <w:sz w:val="24"/>
                <w:szCs w:val="24"/>
                <w:lang w:val="es-MX"/>
              </w:rPr>
            </w:pPr>
            <w:r w:rsidRPr="00981739">
              <w:rPr>
                <w:sz w:val="24"/>
                <w:szCs w:val="24"/>
                <w:lang w:val="es-MX"/>
              </w:rPr>
              <w:t>Se basa en la observación repetida de un evento.</w:t>
            </w:r>
          </w:p>
        </w:tc>
        <w:tc>
          <w:tcPr>
            <w:tcW w:w="0" w:type="auto"/>
            <w:vAlign w:val="center"/>
            <w:hideMark/>
          </w:tcPr>
          <w:p w14:paraId="5079ED7B" w14:textId="77777777" w:rsidR="00981739" w:rsidRPr="00981739" w:rsidRDefault="00981739" w:rsidP="008A382D">
            <w:pPr>
              <w:spacing w:line="360" w:lineRule="auto"/>
              <w:jc w:val="both"/>
              <w:rPr>
                <w:sz w:val="24"/>
                <w:szCs w:val="24"/>
                <w:lang w:val="es-MX"/>
              </w:rPr>
            </w:pPr>
            <w:r w:rsidRPr="00981739">
              <w:rPr>
                <w:sz w:val="24"/>
                <w:szCs w:val="24"/>
                <w:lang w:val="es-MX"/>
              </w:rPr>
              <w:t>Si 70 de 100 estudiantes aprobaron, P(aprobar) = 0.7.</w:t>
            </w:r>
          </w:p>
        </w:tc>
      </w:tr>
      <w:tr w:rsidR="00981739" w:rsidRPr="00981739" w14:paraId="55E7718D" w14:textId="77777777">
        <w:trPr>
          <w:tblCellSpacing w:w="15" w:type="dxa"/>
        </w:trPr>
        <w:tc>
          <w:tcPr>
            <w:tcW w:w="0" w:type="auto"/>
            <w:vAlign w:val="center"/>
            <w:hideMark/>
          </w:tcPr>
          <w:p w14:paraId="1FA031D7" w14:textId="77777777" w:rsidR="00981739" w:rsidRPr="00981739" w:rsidRDefault="00981739" w:rsidP="008A382D">
            <w:pPr>
              <w:spacing w:line="360" w:lineRule="auto"/>
              <w:jc w:val="both"/>
              <w:rPr>
                <w:sz w:val="24"/>
                <w:szCs w:val="24"/>
                <w:lang w:val="es-MX"/>
              </w:rPr>
            </w:pPr>
            <w:r w:rsidRPr="00981739">
              <w:rPr>
                <w:b/>
                <w:bCs/>
                <w:sz w:val="24"/>
                <w:szCs w:val="24"/>
                <w:lang w:val="es-MX"/>
              </w:rPr>
              <w:t>Subjetiva</w:t>
            </w:r>
          </w:p>
        </w:tc>
        <w:tc>
          <w:tcPr>
            <w:tcW w:w="0" w:type="auto"/>
            <w:vAlign w:val="center"/>
            <w:hideMark/>
          </w:tcPr>
          <w:p w14:paraId="5FA4B97B" w14:textId="77777777" w:rsidR="00981739" w:rsidRPr="00981739" w:rsidRDefault="00981739" w:rsidP="008A382D">
            <w:pPr>
              <w:spacing w:line="360" w:lineRule="auto"/>
              <w:jc w:val="both"/>
              <w:rPr>
                <w:sz w:val="24"/>
                <w:szCs w:val="24"/>
                <w:lang w:val="es-MX"/>
              </w:rPr>
            </w:pPr>
            <w:r w:rsidRPr="00981739">
              <w:rPr>
                <w:sz w:val="24"/>
                <w:szCs w:val="24"/>
                <w:lang w:val="es-MX"/>
              </w:rPr>
              <w:t>Depende de la creencia o juicio personal informado.</w:t>
            </w:r>
          </w:p>
        </w:tc>
        <w:tc>
          <w:tcPr>
            <w:tcW w:w="0" w:type="auto"/>
            <w:vAlign w:val="center"/>
            <w:hideMark/>
          </w:tcPr>
          <w:p w14:paraId="4D6C7C40" w14:textId="77777777" w:rsidR="00981739" w:rsidRPr="00981739" w:rsidRDefault="00981739" w:rsidP="008A382D">
            <w:pPr>
              <w:spacing w:line="360" w:lineRule="auto"/>
              <w:jc w:val="both"/>
              <w:rPr>
                <w:sz w:val="24"/>
                <w:szCs w:val="24"/>
                <w:lang w:val="es-MX"/>
              </w:rPr>
            </w:pPr>
            <w:r w:rsidRPr="00981739">
              <w:rPr>
                <w:sz w:val="24"/>
                <w:szCs w:val="24"/>
                <w:lang w:val="es-MX"/>
              </w:rPr>
              <w:t>Un docente estima 90% de probabilidad de que un alumno apruebe.</w:t>
            </w:r>
          </w:p>
        </w:tc>
      </w:tr>
    </w:tbl>
    <w:p w14:paraId="1AA1BAAF" w14:textId="77777777" w:rsidR="00981739" w:rsidRDefault="00981739" w:rsidP="008A382D">
      <w:pPr>
        <w:spacing w:line="360" w:lineRule="auto"/>
        <w:jc w:val="both"/>
        <w:rPr>
          <w:sz w:val="24"/>
          <w:szCs w:val="24"/>
          <w:lang w:val="es-MX"/>
        </w:rPr>
      </w:pPr>
    </w:p>
    <w:p w14:paraId="59DA0310" w14:textId="249B0FBB" w:rsidR="00981739" w:rsidRPr="00981739" w:rsidRDefault="00981739" w:rsidP="008A382D">
      <w:pPr>
        <w:spacing w:line="360" w:lineRule="auto"/>
        <w:ind w:firstLine="567"/>
        <w:jc w:val="both"/>
        <w:rPr>
          <w:i/>
          <w:iCs/>
          <w:sz w:val="24"/>
          <w:szCs w:val="24"/>
          <w:lang w:val="es-MX"/>
        </w:rPr>
      </w:pPr>
      <w:r w:rsidRPr="00981739">
        <w:rPr>
          <w:i/>
          <w:iCs/>
          <w:sz w:val="24"/>
          <w:szCs w:val="24"/>
          <w:lang w:val="es-MX"/>
        </w:rPr>
        <w:t>1.6.2. La regla de Laplace: el fundamento clásico</w:t>
      </w:r>
    </w:p>
    <w:p w14:paraId="1BB4512F" w14:textId="77777777" w:rsidR="00981739" w:rsidRPr="00981739" w:rsidRDefault="00981739" w:rsidP="008A382D">
      <w:pPr>
        <w:spacing w:line="360" w:lineRule="auto"/>
        <w:ind w:firstLine="567"/>
        <w:jc w:val="both"/>
        <w:rPr>
          <w:sz w:val="24"/>
          <w:szCs w:val="24"/>
          <w:lang w:val="es-MX"/>
        </w:rPr>
      </w:pPr>
      <w:r w:rsidRPr="00981739">
        <w:rPr>
          <w:sz w:val="24"/>
          <w:szCs w:val="24"/>
          <w:lang w:val="es-MX"/>
        </w:rPr>
        <w:t>En el enfoque clásico, la regla de Laplace permite calcular la probabilidad de un evento cuando todos los resultados posibles son igualmente probables. Se expresa mediante la fórmula:</w:t>
      </w:r>
    </w:p>
    <w:p w14:paraId="15AD5CF9" w14:textId="77777777" w:rsidR="00981739" w:rsidRDefault="00981739" w:rsidP="008A382D">
      <w:pPr>
        <w:spacing w:line="360" w:lineRule="auto"/>
        <w:ind w:firstLine="567"/>
        <w:jc w:val="both"/>
        <w:rPr>
          <w:sz w:val="24"/>
          <w:szCs w:val="24"/>
          <w:lang w:val="es-MX"/>
        </w:rPr>
      </w:pPr>
      <m:oMathPara>
        <m:oMath>
          <m:r>
            <w:rPr>
              <w:rFonts w:ascii="Cambria Math" w:hAnsi="Cambria Math"/>
              <w:sz w:val="24"/>
              <w:szCs w:val="24"/>
              <w:lang w:val="es-MX"/>
            </w:rPr>
            <m:t>P(A)=</m:t>
          </m:r>
          <m:f>
            <m:fPr>
              <m:ctrlPr>
                <w:rPr>
                  <w:rFonts w:ascii="Cambria Math" w:hAnsi="Cambria Math"/>
                  <w:sz w:val="24"/>
                  <w:szCs w:val="24"/>
                  <w:lang w:val="es-MX"/>
                </w:rPr>
              </m:ctrlPr>
            </m:fPr>
            <m:num>
              <m:r>
                <m:rPr>
                  <m:nor/>
                </m:rPr>
                <w:rPr>
                  <w:sz w:val="24"/>
                  <w:szCs w:val="24"/>
                  <w:lang w:val="es-MX"/>
                </w:rPr>
                <m:t>N</m:t>
              </m:r>
              <m:acc>
                <m:accPr>
                  <m:chr m:val="ˊ"/>
                  <m:ctrlPr>
                    <w:rPr>
                      <w:rFonts w:ascii="Cambria Math" w:hAnsi="Cambria Math"/>
                      <w:sz w:val="24"/>
                      <w:szCs w:val="24"/>
                      <w:lang w:val="es-MX"/>
                    </w:rPr>
                  </m:ctrlPr>
                </m:accPr>
                <m:e>
                  <m:r>
                    <m:rPr>
                      <m:nor/>
                    </m:rPr>
                    <w:rPr>
                      <w:sz w:val="24"/>
                      <w:szCs w:val="24"/>
                      <w:lang w:val="es-MX"/>
                    </w:rPr>
                    <m:t>u</m:t>
                  </m:r>
                </m:e>
              </m:acc>
              <m:r>
                <m:rPr>
                  <m:nor/>
                </m:rPr>
                <w:rPr>
                  <w:sz w:val="24"/>
                  <w:szCs w:val="24"/>
                  <w:lang w:val="es-MX"/>
                </w:rPr>
                <m:t>mero de casos favorables</m:t>
              </m:r>
            </m:num>
            <m:den>
              <m:r>
                <m:rPr>
                  <m:nor/>
                </m:rPr>
                <w:rPr>
                  <w:sz w:val="24"/>
                  <w:szCs w:val="24"/>
                  <w:lang w:val="es-MX"/>
                </w:rPr>
                <m:t>N</m:t>
              </m:r>
              <m:acc>
                <m:accPr>
                  <m:chr m:val="ˊ"/>
                  <m:ctrlPr>
                    <w:rPr>
                      <w:rFonts w:ascii="Cambria Math" w:hAnsi="Cambria Math"/>
                      <w:sz w:val="24"/>
                      <w:szCs w:val="24"/>
                      <w:lang w:val="es-MX"/>
                    </w:rPr>
                  </m:ctrlPr>
                </m:accPr>
                <m:e>
                  <m:r>
                    <m:rPr>
                      <m:nor/>
                    </m:rPr>
                    <w:rPr>
                      <w:sz w:val="24"/>
                      <w:szCs w:val="24"/>
                      <w:lang w:val="es-MX"/>
                    </w:rPr>
                    <m:t>u</m:t>
                  </m:r>
                </m:e>
              </m:acc>
              <m:r>
                <m:rPr>
                  <m:nor/>
                </m:rPr>
                <w:rPr>
                  <w:sz w:val="24"/>
                  <w:szCs w:val="24"/>
                  <w:lang w:val="es-MX"/>
                </w:rPr>
                <m:t>mero total de casos posibles</m:t>
              </m:r>
            </m:den>
          </m:f>
          <m:r>
            <m:rPr>
              <m:sty m:val="p"/>
            </m:rPr>
            <w:rPr>
              <w:sz w:val="24"/>
              <w:szCs w:val="24"/>
              <w:lang w:val="es-MX"/>
            </w:rPr>
            <w:br/>
          </m:r>
        </m:oMath>
      </m:oMathPara>
    </w:p>
    <w:p w14:paraId="31EAAEFA" w14:textId="4AAACDFE" w:rsidR="00981739" w:rsidRDefault="00981739" w:rsidP="008A382D">
      <w:pPr>
        <w:spacing w:line="360" w:lineRule="auto"/>
        <w:ind w:firstLine="567"/>
        <w:jc w:val="both"/>
        <w:rPr>
          <w:sz w:val="24"/>
          <w:szCs w:val="24"/>
          <w:lang w:val="es-MX"/>
        </w:rPr>
      </w:pPr>
      <w:r w:rsidRPr="00981739">
        <w:rPr>
          <w:sz w:val="24"/>
          <w:szCs w:val="24"/>
          <w:lang w:val="es-MX"/>
        </w:rPr>
        <w:t xml:space="preserve">Por ejemplo, si un examen contiene cinco preguntas y se selecciona una al azar, la probabilidad de elegir la pregunta 3 es 1/5, asumiendo que todas las preguntas tienen la misma posibilidad de ser elegidas. Según Spiegel y Stephens (2008), esta </w:t>
      </w:r>
      <w:r w:rsidRPr="00981739">
        <w:rPr>
          <w:sz w:val="24"/>
          <w:szCs w:val="24"/>
          <w:lang w:val="es-MX"/>
        </w:rPr>
        <w:lastRenderedPageBreak/>
        <w:t>regla es la base del razonamiento probabilístico clásico y solo es válida cuando los resultados son equiprobables.</w:t>
      </w:r>
    </w:p>
    <w:p w14:paraId="426AF98B" w14:textId="532F5FFC" w:rsidR="00981739" w:rsidRPr="00981739" w:rsidRDefault="00981739" w:rsidP="008A382D">
      <w:pPr>
        <w:spacing w:line="360" w:lineRule="auto"/>
        <w:ind w:firstLine="567"/>
        <w:jc w:val="both"/>
        <w:rPr>
          <w:sz w:val="24"/>
          <w:szCs w:val="24"/>
          <w:lang w:val="es-MX"/>
        </w:rPr>
      </w:pPr>
      <w:r w:rsidRPr="00981739">
        <w:rPr>
          <w:sz w:val="24"/>
          <w:szCs w:val="24"/>
          <w:lang w:val="es-MX"/>
        </w:rPr>
        <w:t xml:space="preserve">Dos eventos se consideran complementarios cuando la ocurrencia de uno excluye totalmente al otro, y entre ambos abarcan todos los resultados posibles. Si A representa un evento, su complemento </w:t>
      </w:r>
      <m:oMath>
        <m:sSup>
          <m:sSupPr>
            <m:ctrlPr>
              <w:rPr>
                <w:rFonts w:ascii="Cambria Math" w:hAnsi="Cambria Math"/>
                <w:sz w:val="24"/>
                <w:szCs w:val="24"/>
                <w:lang w:val="es-MX"/>
              </w:rPr>
            </m:ctrlPr>
          </m:sSupPr>
          <m:e>
            <m:r>
              <w:rPr>
                <w:rFonts w:ascii="Cambria Math" w:hAnsi="Cambria Math"/>
                <w:sz w:val="24"/>
                <w:szCs w:val="24"/>
                <w:lang w:val="es-MX"/>
              </w:rPr>
              <m:t>A</m:t>
            </m:r>
          </m:e>
          <m:sup>
            <m:r>
              <m:rPr>
                <m:sty m:val="p"/>
              </m:rPr>
              <w:rPr>
                <w:rFonts w:ascii="Cambria Math" w:hAnsi="Cambria Math"/>
                <w:sz w:val="24"/>
                <w:szCs w:val="24"/>
                <w:lang w:val="es-MX"/>
              </w:rPr>
              <m:t>'</m:t>
            </m:r>
          </m:sup>
        </m:sSup>
      </m:oMath>
      <w:r w:rsidRPr="00981739">
        <w:rPr>
          <w:sz w:val="24"/>
          <w:szCs w:val="24"/>
          <w:lang w:val="es-MX"/>
        </w:rPr>
        <w:t>significa que A no ocurre. En consecuencia, la suma de sus probabilidades siempre es igual a 1:</w:t>
      </w:r>
    </w:p>
    <w:p w14:paraId="1CF4230A" w14:textId="68EC146A" w:rsidR="00981739" w:rsidRPr="00981739" w:rsidRDefault="00981739" w:rsidP="008A382D">
      <w:pPr>
        <w:spacing w:line="360" w:lineRule="auto"/>
        <w:ind w:firstLine="567"/>
        <w:jc w:val="both"/>
        <w:rPr>
          <w:sz w:val="24"/>
          <w:szCs w:val="24"/>
          <w:lang w:val="es-MX"/>
        </w:rPr>
      </w:pPr>
      <m:oMathPara>
        <m:oMath>
          <m:r>
            <w:rPr>
              <w:rFonts w:ascii="Cambria Math" w:hAnsi="Cambria Math"/>
              <w:sz w:val="24"/>
              <w:szCs w:val="24"/>
              <w:lang w:val="es-MX"/>
            </w:rPr>
            <m:t>P(A)+P(</m:t>
          </m:r>
          <m:sSup>
            <m:sSupPr>
              <m:ctrlPr>
                <w:rPr>
                  <w:rFonts w:ascii="Cambria Math" w:hAnsi="Cambria Math"/>
                  <w:sz w:val="24"/>
                  <w:szCs w:val="24"/>
                  <w:lang w:val="es-MX"/>
                </w:rPr>
              </m:ctrlPr>
            </m:sSupPr>
            <m:e>
              <m:r>
                <w:rPr>
                  <w:rFonts w:ascii="Cambria Math" w:hAnsi="Cambria Math"/>
                  <w:sz w:val="24"/>
                  <w:szCs w:val="24"/>
                  <w:lang w:val="es-MX"/>
                </w:rPr>
                <m:t>A</m:t>
              </m:r>
            </m:e>
            <m:sup>
              <m:r>
                <m:rPr>
                  <m:sty m:val="p"/>
                </m:rPr>
                <w:rPr>
                  <w:rFonts w:ascii="Cambria Math" w:hAnsi="Cambria Math"/>
                  <w:sz w:val="24"/>
                  <w:szCs w:val="24"/>
                  <w:lang w:val="es-MX"/>
                </w:rPr>
                <m:t>'</m:t>
              </m:r>
            </m:sup>
          </m:sSup>
          <m:r>
            <w:rPr>
              <w:rFonts w:ascii="Cambria Math" w:hAnsi="Cambria Math"/>
              <w:sz w:val="24"/>
              <w:szCs w:val="24"/>
              <w:lang w:val="es-MX"/>
            </w:rPr>
            <m:t>)=1</m:t>
          </m:r>
          <m:r>
            <m:rPr>
              <m:sty m:val="p"/>
            </m:rPr>
            <w:rPr>
              <w:sz w:val="24"/>
              <w:szCs w:val="24"/>
              <w:lang w:val="es-MX"/>
            </w:rPr>
            <w:br/>
          </m:r>
        </m:oMath>
      </m:oMathPara>
    </w:p>
    <w:p w14:paraId="5CF0EC6E" w14:textId="77777777" w:rsidR="00981739" w:rsidRPr="00981739" w:rsidRDefault="00981739" w:rsidP="008A382D">
      <w:pPr>
        <w:spacing w:line="360" w:lineRule="auto"/>
        <w:jc w:val="both"/>
        <w:rPr>
          <w:sz w:val="24"/>
          <w:szCs w:val="24"/>
          <w:lang w:val="es-MX"/>
        </w:rPr>
      </w:pPr>
      <w:r w:rsidRPr="00981739">
        <w:rPr>
          <w:sz w:val="24"/>
          <w:szCs w:val="24"/>
          <w:lang w:val="es-MX"/>
        </w:rPr>
        <w:t>Por ejemplo, si la probabilidad de que un estudiante apruebe un examen es 0.75, la probabilidad de que no apruebe será 0.25. Johnson y Kuby (2011) enfatizan que la noción de complementariedad es fundamental para validar cálculos y comprobar la consistencia de los resultados probabilísticos.</w:t>
      </w:r>
    </w:p>
    <w:p w14:paraId="550209A1" w14:textId="77777777" w:rsidR="00981739" w:rsidRPr="00981739" w:rsidRDefault="00981739" w:rsidP="008A382D">
      <w:pPr>
        <w:spacing w:line="360" w:lineRule="auto"/>
        <w:ind w:firstLine="567"/>
        <w:jc w:val="both"/>
        <w:rPr>
          <w:sz w:val="24"/>
          <w:szCs w:val="24"/>
          <w:lang w:val="es-MX"/>
        </w:rPr>
      </w:pPr>
      <w:r w:rsidRPr="00981739">
        <w:rPr>
          <w:sz w:val="24"/>
          <w:szCs w:val="24"/>
          <w:lang w:val="es-MX"/>
        </w:rPr>
        <w:t>La probabilidad no se limita al azar o al juego: constituye el fundamento teórico de la inferencia estadística, la rama que permite generalizar resultados de una muestra hacia una población. Gracias a la probabilidad, los investigadores pueden calcular intervalos de confianza, evaluar la significación de las pruebas de hipótesis y estimar el grado de incertidumbre de sus conclusiones.</w:t>
      </w:r>
    </w:p>
    <w:p w14:paraId="6EE47D04" w14:textId="5A901FC2" w:rsidR="00981739" w:rsidRPr="00981739" w:rsidRDefault="00981739" w:rsidP="008A382D">
      <w:pPr>
        <w:spacing w:line="360" w:lineRule="auto"/>
        <w:ind w:firstLine="567"/>
        <w:jc w:val="both"/>
        <w:rPr>
          <w:sz w:val="24"/>
          <w:szCs w:val="24"/>
          <w:lang w:val="es-MX"/>
        </w:rPr>
      </w:pPr>
      <w:r w:rsidRPr="00981739">
        <w:rPr>
          <w:sz w:val="24"/>
          <w:szCs w:val="24"/>
          <w:lang w:val="es-MX"/>
        </w:rPr>
        <w:t>En educación, esto adquiere una relevancia especial. Supongamos que se aplica una nueva metodología de enseñanza a un grupo de estudiantes y se observa una mejora en sus resultados. La probabilidad permite estimar si esa mejora pudiera deberse al azar o si refleja un efecto real. Muijs (2011) y Levine et al. (2016) coinciden en que, sin el uso de la probabilidad, sería imposible generalizar los hallazgos de un estudio a toda una población o tomar decisiones educativas con respaldo científico.</w:t>
      </w:r>
    </w:p>
    <w:p w14:paraId="7E9772B9" w14:textId="45845D6E" w:rsidR="00981739" w:rsidRPr="00981739" w:rsidRDefault="00981739" w:rsidP="008A382D">
      <w:pPr>
        <w:spacing w:line="360" w:lineRule="auto"/>
        <w:ind w:firstLine="567"/>
        <w:jc w:val="both"/>
        <w:rPr>
          <w:sz w:val="24"/>
          <w:szCs w:val="24"/>
          <w:lang w:val="es-MX"/>
        </w:rPr>
      </w:pPr>
      <w:r>
        <w:rPr>
          <w:sz w:val="24"/>
          <w:szCs w:val="24"/>
          <w:lang w:val="es-MX"/>
        </w:rPr>
        <w:t>Ahora bien</w:t>
      </w:r>
      <w:r w:rsidRPr="00981739">
        <w:rPr>
          <w:sz w:val="24"/>
          <w:szCs w:val="24"/>
          <w:lang w:val="es-MX"/>
        </w:rPr>
        <w:t>, la probabilidad ofrece un puente entre lo incierto y lo verificable. Ayuda a cuantificar el riesgo, estimar la confianza y transformar observaciones particulares en conocimiento generalizable. En la investigación educativa, su papel es esencial para garantizar que las decisiones se basen no solo en la intuición, sino en la evidencia.</w:t>
      </w:r>
    </w:p>
    <w:p w14:paraId="61E0BBAF" w14:textId="77777777" w:rsidR="00981739" w:rsidRPr="00E26FA7" w:rsidRDefault="00981739" w:rsidP="008A382D">
      <w:pPr>
        <w:spacing w:line="360" w:lineRule="auto"/>
        <w:ind w:firstLine="567"/>
        <w:jc w:val="both"/>
        <w:rPr>
          <w:sz w:val="24"/>
          <w:szCs w:val="24"/>
          <w:lang w:val="es-MX"/>
        </w:rPr>
      </w:pPr>
    </w:p>
    <w:p w14:paraId="0000000C" w14:textId="77777777" w:rsidR="00D07104" w:rsidRDefault="00D07104" w:rsidP="008A382D">
      <w:pPr>
        <w:spacing w:line="360" w:lineRule="auto"/>
        <w:jc w:val="both"/>
        <w:rPr>
          <w:sz w:val="24"/>
          <w:szCs w:val="24"/>
        </w:rPr>
      </w:pPr>
    </w:p>
    <w:p w14:paraId="0000000D" w14:textId="58BCC233" w:rsidR="00D07104" w:rsidRPr="0076173A" w:rsidRDefault="0076173A" w:rsidP="008A382D">
      <w:pPr>
        <w:spacing w:line="360" w:lineRule="auto"/>
        <w:jc w:val="both"/>
        <w:rPr>
          <w:b/>
          <w:bCs/>
          <w:sz w:val="24"/>
          <w:szCs w:val="24"/>
        </w:rPr>
      </w:pPr>
      <w:r w:rsidRPr="0076173A">
        <w:rPr>
          <w:b/>
          <w:bCs/>
          <w:sz w:val="24"/>
          <w:szCs w:val="24"/>
        </w:rPr>
        <w:t>3. Síntesis del capítulo</w:t>
      </w:r>
    </w:p>
    <w:p w14:paraId="36970D5A" w14:textId="3A1D2ADF" w:rsidR="0076173A" w:rsidRPr="0076173A" w:rsidRDefault="0076173A" w:rsidP="008A382D">
      <w:pPr>
        <w:spacing w:line="360" w:lineRule="auto"/>
        <w:jc w:val="both"/>
        <w:rPr>
          <w:sz w:val="24"/>
          <w:szCs w:val="24"/>
          <w:lang w:val="es-MX"/>
        </w:rPr>
      </w:pPr>
      <w:r w:rsidRPr="0076173A">
        <w:rPr>
          <w:sz w:val="24"/>
          <w:szCs w:val="24"/>
          <w:lang w:val="es-MX"/>
        </w:rPr>
        <w:t xml:space="preserve">Comprender los conceptos básicos de la estadística no es solo un ejercicio técnico. Es, en realidad, una forma de mirar el mundo con otros ojos, de encontrar orden en lo que parece caótico. La estadística, más allá de los números, funciona como un </w:t>
      </w:r>
      <w:r w:rsidRPr="0076173A">
        <w:rPr>
          <w:sz w:val="24"/>
          <w:szCs w:val="24"/>
          <w:lang w:val="es-MX"/>
        </w:rPr>
        <w:lastRenderedPageBreak/>
        <w:t>lenguaje que traduce los datos en conocimiento. Gracias a ella, los hechos dejan de ser simples registros para convertirse en evidencias, en señales que ayudan a interpretar los fenómenos que ocurren a nuestro alrededor. En el ámbito educativo, esto se traduce en la posibilidad de analizar los procesos de aprendizaje, la evaluación y la gestión institucional desde una perspectiva más objetiva y menos intuitiva.</w:t>
      </w:r>
    </w:p>
    <w:p w14:paraId="71CDFF3F" w14:textId="4D6F18F4" w:rsidR="0076173A" w:rsidRPr="0076173A" w:rsidRDefault="0076173A" w:rsidP="008A382D">
      <w:pPr>
        <w:spacing w:line="360" w:lineRule="auto"/>
        <w:jc w:val="both"/>
        <w:rPr>
          <w:sz w:val="24"/>
          <w:szCs w:val="24"/>
          <w:lang w:val="es-MX"/>
        </w:rPr>
      </w:pPr>
      <w:r w:rsidRPr="0076173A">
        <w:rPr>
          <w:sz w:val="24"/>
          <w:szCs w:val="24"/>
          <w:lang w:val="es-MX"/>
        </w:rPr>
        <w:t>A lo largo del capítulo se recorrió ese camino que va desde la definición más general de la estadística hasta sus aplicaciones concretas. Se explicó que la estadística puede dividirse en descriptiva e inferencial: la primera se ocupa de organizar y resumir los datos observados; la segunda permite ir más allá, haciendo inferencias o predicciones sobre una población a partir de una muestra. Se habló también de los conceptos esenciales que la sustentan —población, muestra, variable, parámetro y estadístico—, y de cómo cada uno de ellos participa en la construcción del conocimiento empírico. No son términos aislados, sino piezas que encajan dentro de una estructura que da sentido a la investigación científica.</w:t>
      </w:r>
    </w:p>
    <w:p w14:paraId="782B8608" w14:textId="7CE08C30" w:rsidR="0076173A" w:rsidRPr="0076173A" w:rsidRDefault="0076173A" w:rsidP="008A382D">
      <w:pPr>
        <w:spacing w:line="360" w:lineRule="auto"/>
        <w:jc w:val="both"/>
        <w:rPr>
          <w:sz w:val="24"/>
          <w:szCs w:val="24"/>
          <w:lang w:val="es-MX"/>
        </w:rPr>
      </w:pPr>
      <w:r w:rsidRPr="0076173A">
        <w:rPr>
          <w:sz w:val="24"/>
          <w:szCs w:val="24"/>
          <w:lang w:val="es-MX"/>
        </w:rPr>
        <w:t>Después se abordaron las medidas de tendencia central, como la media, la mediana y la moda, que ayudan a condensar un conjunto de datos en un solo valor representativo. Pero también se exploraron las medidas de dispersión, entre ellas el rango, la varianza, la desviación estándar y el coeficiente de variación, que sirven para evaluar la variabilidad o estabilidad de esos datos. Ambas dimensiones, la tendencia y la dispersión, se complementan: una indica el punto de equilibrio y la otra muestra cuánto se alejan los datos de él. En educación, esta lectura combinada resulta vital para interpretar si el rendimiento del alumnado es uniforme o si existen desigualdades que merecen atención.</w:t>
      </w:r>
    </w:p>
    <w:p w14:paraId="7DBE0555" w14:textId="267A4288" w:rsidR="0076173A" w:rsidRPr="0076173A" w:rsidRDefault="0076173A" w:rsidP="008A382D">
      <w:pPr>
        <w:spacing w:line="360" w:lineRule="auto"/>
        <w:jc w:val="both"/>
        <w:rPr>
          <w:sz w:val="24"/>
          <w:szCs w:val="24"/>
          <w:lang w:val="es-MX"/>
        </w:rPr>
      </w:pPr>
      <w:r w:rsidRPr="0076173A">
        <w:rPr>
          <w:sz w:val="24"/>
          <w:szCs w:val="24"/>
          <w:lang w:val="es-MX"/>
        </w:rPr>
        <w:t xml:space="preserve">El texto también introdujo el concepto de probabilidad, que actúa como un puente entre la estadística descriptiva y la inferencial. Gracias a ella es posible estimar la posibilidad de que ciertos resultados ocurran y medir el grado de confianza de nuestras conclusiones. La probabilidad, con sus distintos enfoques —clásico, frecuentista y subjetivo—, ofrece diferentes formas de entender el azar y de aplicar la lógica a la incertidumbre. Permite calcular intervalos de confianza, realizar pruebas de hipótesis y, en general, sostener con fundamento cualquier inferencia estadística. En el contexto educativo, esto se traduce en poder afirmar, con cierto grado de certeza, si una mejora observada en el rendimiento de los estudiantes se debe realmente a una intervención o si </w:t>
      </w:r>
      <w:r w:rsidR="000B222B" w:rsidRPr="0076173A">
        <w:rPr>
          <w:sz w:val="24"/>
          <w:szCs w:val="24"/>
          <w:lang w:val="es-MX"/>
        </w:rPr>
        <w:t>pudiera</w:t>
      </w:r>
      <w:r w:rsidRPr="0076173A">
        <w:rPr>
          <w:sz w:val="24"/>
          <w:szCs w:val="24"/>
          <w:lang w:val="es-MX"/>
        </w:rPr>
        <w:t xml:space="preserve"> explicarse por el azar.</w:t>
      </w:r>
    </w:p>
    <w:p w14:paraId="01B14C1B" w14:textId="6D197FAE" w:rsidR="0076173A" w:rsidRPr="0076173A" w:rsidRDefault="0076173A" w:rsidP="008A382D">
      <w:pPr>
        <w:spacing w:line="360" w:lineRule="auto"/>
        <w:jc w:val="both"/>
        <w:rPr>
          <w:sz w:val="24"/>
          <w:szCs w:val="24"/>
          <w:lang w:val="es-MX"/>
        </w:rPr>
      </w:pPr>
      <w:r w:rsidRPr="0076173A">
        <w:rPr>
          <w:sz w:val="24"/>
          <w:szCs w:val="24"/>
          <w:lang w:val="es-MX"/>
        </w:rPr>
        <w:lastRenderedPageBreak/>
        <w:t>Todas estas herramientas —las de centralización, las de dispersión y la probabilidad— comparten un mismo propósito: tomar decisiones informadas y basadas en evidencia. No se trata solo de calcular o describir, sino de comprender lo que los datos nos están diciendo. La estadística permite comparar grupos, medir progresos, identificar brechas y, sobre todo, actuar con mayor claridad frente a la complejidad educativa. Triola (2014) y Muijs (2011) coinciden en que dominar la estadística es aprender a transformar los datos en conocimiento, y ese conocimiento, a su vez, en acción pedagógica.</w:t>
      </w:r>
    </w:p>
    <w:p w14:paraId="40AA3B80" w14:textId="4BAA678E" w:rsidR="0084245D" w:rsidRPr="0084245D" w:rsidRDefault="0076173A" w:rsidP="008A382D">
      <w:pPr>
        <w:spacing w:line="360" w:lineRule="auto"/>
        <w:jc w:val="both"/>
        <w:rPr>
          <w:sz w:val="24"/>
          <w:szCs w:val="24"/>
          <w:lang w:val="es-MX"/>
        </w:rPr>
      </w:pPr>
      <w:r w:rsidRPr="0076173A">
        <w:rPr>
          <w:sz w:val="24"/>
          <w:szCs w:val="24"/>
          <w:lang w:val="es-MX"/>
        </w:rPr>
        <w:t>Así, la estadística no es únicamente un conjunto de técnicas, sino una forma de pensar. Enseña a observar con rigor, a reconocer patrones donde antes había confusión y a validar las intuiciones con pruebas. Permite construir una mirada más justa y precisa sobre los fenómenos educativos, entendiendo que detrás de cada número hay una historia, un estudiante, una experiencia de aprendizaje. En definitiva, quien comprende la lógica estadística no solo analiza datos: interpreta el mundo con sentido, y eso —en la educación y en la ciencia— siempre marca la diferencia</w:t>
      </w:r>
      <w:r w:rsidR="0084245D" w:rsidRPr="0084245D">
        <w:rPr>
          <w:sz w:val="24"/>
          <w:szCs w:val="24"/>
          <w:lang w:val="es-MX"/>
        </w:rPr>
        <w:t>.</w:t>
      </w:r>
    </w:p>
    <w:p w14:paraId="0000000E" w14:textId="77777777" w:rsidR="00D07104" w:rsidRDefault="00D07104" w:rsidP="008A382D">
      <w:pPr>
        <w:spacing w:line="360" w:lineRule="auto"/>
        <w:jc w:val="both"/>
        <w:rPr>
          <w:sz w:val="24"/>
          <w:szCs w:val="24"/>
        </w:rPr>
      </w:pPr>
    </w:p>
    <w:p w14:paraId="0000000F" w14:textId="463B2B71" w:rsidR="00D07104" w:rsidRPr="0076173A" w:rsidRDefault="0076173A" w:rsidP="008A382D">
      <w:pPr>
        <w:spacing w:line="360" w:lineRule="auto"/>
        <w:jc w:val="both"/>
        <w:rPr>
          <w:b/>
          <w:bCs/>
          <w:sz w:val="24"/>
          <w:szCs w:val="24"/>
        </w:rPr>
      </w:pPr>
      <w:r w:rsidRPr="0076173A">
        <w:rPr>
          <w:b/>
          <w:bCs/>
          <w:sz w:val="24"/>
          <w:szCs w:val="24"/>
        </w:rPr>
        <w:t>4. Lecturas recomendadas y recursos</w:t>
      </w:r>
    </w:p>
    <w:p w14:paraId="3F205819" w14:textId="77777777" w:rsidR="000F5461" w:rsidRPr="00F0780C" w:rsidRDefault="000F5461" w:rsidP="008A382D">
      <w:pPr>
        <w:spacing w:line="360" w:lineRule="auto"/>
        <w:ind w:left="720" w:hanging="720"/>
        <w:jc w:val="both"/>
        <w:rPr>
          <w:sz w:val="24"/>
          <w:szCs w:val="24"/>
          <w:lang w:val="en-US"/>
        </w:rPr>
      </w:pPr>
      <w:r w:rsidRPr="00D14FBE">
        <w:rPr>
          <w:sz w:val="24"/>
          <w:szCs w:val="24"/>
          <w:lang w:val="es-MX"/>
        </w:rPr>
        <w:t xml:space="preserve">Bluman, A. G. (2014). </w:t>
      </w:r>
      <w:r w:rsidRPr="00C27429">
        <w:rPr>
          <w:i/>
          <w:iCs/>
          <w:sz w:val="24"/>
          <w:szCs w:val="24"/>
          <w:lang w:val="en-US"/>
        </w:rPr>
        <w:t>Elementary statistics: A step by step approach</w:t>
      </w:r>
      <w:r w:rsidRPr="00C27429">
        <w:rPr>
          <w:sz w:val="24"/>
          <w:szCs w:val="24"/>
          <w:lang w:val="en-US"/>
        </w:rPr>
        <w:t xml:space="preserve"> (9th ed.). </w:t>
      </w:r>
      <w:r w:rsidRPr="00F0780C">
        <w:rPr>
          <w:sz w:val="24"/>
          <w:szCs w:val="24"/>
          <w:lang w:val="en-US"/>
        </w:rPr>
        <w:t>McGraw-Hill Education.</w:t>
      </w:r>
    </w:p>
    <w:p w14:paraId="56E08F1F" w14:textId="77777777" w:rsidR="000F5461" w:rsidRPr="00EA783C" w:rsidRDefault="000F5461" w:rsidP="008A382D">
      <w:pPr>
        <w:spacing w:line="360" w:lineRule="auto"/>
        <w:ind w:left="720" w:hanging="720"/>
        <w:jc w:val="both"/>
        <w:rPr>
          <w:sz w:val="24"/>
          <w:szCs w:val="24"/>
          <w:lang w:val="en-US"/>
        </w:rPr>
      </w:pPr>
      <w:r w:rsidRPr="00EA783C">
        <w:rPr>
          <w:sz w:val="24"/>
          <w:szCs w:val="24"/>
          <w:lang w:val="en-US"/>
        </w:rPr>
        <w:t xml:space="preserve">Borg, W. R., Gall, M. D., &amp; Gall, J. P. (2007). </w:t>
      </w:r>
      <w:r w:rsidRPr="00EA783C">
        <w:rPr>
          <w:i/>
          <w:iCs/>
          <w:sz w:val="24"/>
          <w:szCs w:val="24"/>
          <w:lang w:val="en-US"/>
        </w:rPr>
        <w:t>Educational research: An introduction</w:t>
      </w:r>
      <w:r w:rsidRPr="00EA783C">
        <w:rPr>
          <w:sz w:val="24"/>
          <w:szCs w:val="24"/>
          <w:lang w:val="en-US"/>
        </w:rPr>
        <w:t xml:space="preserve"> (8th ed.). Pearson Education.</w:t>
      </w:r>
    </w:p>
    <w:p w14:paraId="7FDF8282" w14:textId="77777777" w:rsidR="000F5461" w:rsidRPr="00F0780C" w:rsidRDefault="000F5461" w:rsidP="008A382D">
      <w:pPr>
        <w:spacing w:line="360" w:lineRule="auto"/>
        <w:ind w:left="720" w:hanging="720"/>
        <w:jc w:val="both"/>
        <w:rPr>
          <w:sz w:val="24"/>
          <w:szCs w:val="24"/>
          <w:lang w:val="es-MX"/>
        </w:rPr>
      </w:pPr>
      <w:r w:rsidRPr="00EA783C">
        <w:rPr>
          <w:sz w:val="24"/>
          <w:szCs w:val="24"/>
          <w:lang w:val="en-US"/>
        </w:rPr>
        <w:t xml:space="preserve">Hattie, J. (2009). </w:t>
      </w:r>
      <w:r w:rsidRPr="00EA783C">
        <w:rPr>
          <w:i/>
          <w:iCs/>
          <w:sz w:val="24"/>
          <w:szCs w:val="24"/>
          <w:lang w:val="en-US"/>
        </w:rPr>
        <w:t>Visible learning: A synthesis of over 800 meta-analyses relating to achievement</w:t>
      </w:r>
      <w:r w:rsidRPr="00EA783C">
        <w:rPr>
          <w:sz w:val="24"/>
          <w:szCs w:val="24"/>
          <w:lang w:val="en-US"/>
        </w:rPr>
        <w:t xml:space="preserve">. </w:t>
      </w:r>
      <w:r w:rsidRPr="00F0780C">
        <w:rPr>
          <w:sz w:val="24"/>
          <w:szCs w:val="24"/>
          <w:lang w:val="es-MX"/>
        </w:rPr>
        <w:t>Routledge.</w:t>
      </w:r>
    </w:p>
    <w:p w14:paraId="7C684262" w14:textId="77777777" w:rsidR="000F5461" w:rsidRPr="0001588A" w:rsidRDefault="000F5461" w:rsidP="008A382D">
      <w:pPr>
        <w:spacing w:line="360" w:lineRule="auto"/>
        <w:ind w:left="720" w:hanging="720"/>
        <w:jc w:val="both"/>
        <w:rPr>
          <w:sz w:val="24"/>
          <w:szCs w:val="24"/>
          <w:lang w:val="es-MX"/>
        </w:rPr>
      </w:pPr>
      <w:r w:rsidRPr="00F0780C">
        <w:rPr>
          <w:sz w:val="24"/>
          <w:szCs w:val="24"/>
          <w:lang w:val="es-MX"/>
        </w:rPr>
        <w:t xml:space="preserve">Johnson, R. A., &amp; Kuby, P. (2011). </w:t>
      </w:r>
      <w:r w:rsidRPr="0001588A">
        <w:rPr>
          <w:i/>
          <w:iCs/>
          <w:sz w:val="24"/>
          <w:szCs w:val="24"/>
          <w:lang w:val="es-MX"/>
        </w:rPr>
        <w:t>Estadística para las ciencias de la vida</w:t>
      </w:r>
      <w:r w:rsidRPr="0001588A">
        <w:rPr>
          <w:sz w:val="24"/>
          <w:szCs w:val="24"/>
          <w:lang w:val="es-MX"/>
        </w:rPr>
        <w:t xml:space="preserve"> (5.ª ed.). Cengage Learning.</w:t>
      </w:r>
    </w:p>
    <w:p w14:paraId="46C793A0" w14:textId="77777777" w:rsidR="000F5461" w:rsidRPr="0001588A" w:rsidRDefault="000F5461" w:rsidP="008A382D">
      <w:pPr>
        <w:spacing w:line="360" w:lineRule="auto"/>
        <w:ind w:left="720" w:hanging="720"/>
        <w:jc w:val="both"/>
        <w:rPr>
          <w:sz w:val="24"/>
          <w:szCs w:val="24"/>
          <w:lang w:val="es-MX"/>
        </w:rPr>
      </w:pPr>
      <w:r w:rsidRPr="0001588A">
        <w:rPr>
          <w:sz w:val="24"/>
          <w:szCs w:val="24"/>
          <w:lang w:val="es-MX"/>
        </w:rPr>
        <w:t xml:space="preserve">Larson, R., &amp; Farber, B. (2014). </w:t>
      </w:r>
      <w:r w:rsidRPr="0001588A">
        <w:rPr>
          <w:i/>
          <w:iCs/>
          <w:sz w:val="24"/>
          <w:szCs w:val="24"/>
          <w:lang w:val="es-MX"/>
        </w:rPr>
        <w:t>Estadística: Un enfoque práctico</w:t>
      </w:r>
      <w:r w:rsidRPr="0001588A">
        <w:rPr>
          <w:sz w:val="24"/>
          <w:szCs w:val="24"/>
          <w:lang w:val="es-MX"/>
        </w:rPr>
        <w:t xml:space="preserve"> (7.ª ed.). Pearson Educación.</w:t>
      </w:r>
    </w:p>
    <w:p w14:paraId="064065DB" w14:textId="77777777" w:rsidR="000F5461" w:rsidRPr="0001588A" w:rsidRDefault="000F5461" w:rsidP="008A382D">
      <w:pPr>
        <w:spacing w:line="360" w:lineRule="auto"/>
        <w:ind w:left="720" w:hanging="720"/>
        <w:jc w:val="both"/>
        <w:rPr>
          <w:sz w:val="24"/>
          <w:szCs w:val="24"/>
          <w:lang w:val="en-US"/>
        </w:rPr>
      </w:pPr>
      <w:r w:rsidRPr="00F0780C">
        <w:rPr>
          <w:sz w:val="24"/>
          <w:szCs w:val="24"/>
          <w:lang w:val="en-US"/>
        </w:rPr>
        <w:t xml:space="preserve">Levine, D. M., Stephan, D. F., Krehbiel, T. C., &amp; Berenson, M. L. (2016). </w:t>
      </w:r>
      <w:r w:rsidRPr="00F0780C">
        <w:rPr>
          <w:i/>
          <w:iCs/>
          <w:sz w:val="24"/>
          <w:szCs w:val="24"/>
          <w:lang w:val="en-US"/>
        </w:rPr>
        <w:t>Estadística: Teoría y aplicaciones</w:t>
      </w:r>
      <w:r w:rsidRPr="00F0780C">
        <w:rPr>
          <w:sz w:val="24"/>
          <w:szCs w:val="24"/>
          <w:lang w:val="en-US"/>
        </w:rPr>
        <w:t xml:space="preserve"> (6.ª ed.). </w:t>
      </w:r>
      <w:r w:rsidRPr="0001588A">
        <w:rPr>
          <w:sz w:val="24"/>
          <w:szCs w:val="24"/>
          <w:lang w:val="en-US"/>
        </w:rPr>
        <w:t>Pearson.</w:t>
      </w:r>
    </w:p>
    <w:p w14:paraId="69DBBFB5" w14:textId="77777777" w:rsidR="000F5461" w:rsidRPr="00EA783C" w:rsidRDefault="000F5461" w:rsidP="008A382D">
      <w:pPr>
        <w:spacing w:line="360" w:lineRule="auto"/>
        <w:ind w:left="720" w:hanging="720"/>
        <w:jc w:val="both"/>
        <w:rPr>
          <w:sz w:val="24"/>
          <w:szCs w:val="24"/>
          <w:lang w:val="en-US"/>
        </w:rPr>
      </w:pPr>
      <w:r w:rsidRPr="00EA783C">
        <w:rPr>
          <w:sz w:val="24"/>
          <w:szCs w:val="24"/>
          <w:lang w:val="en-US"/>
        </w:rPr>
        <w:t xml:space="preserve">Muijs, D. (2011). </w:t>
      </w:r>
      <w:r w:rsidRPr="00EA783C">
        <w:rPr>
          <w:i/>
          <w:iCs/>
          <w:sz w:val="24"/>
          <w:szCs w:val="24"/>
          <w:lang w:val="en-US"/>
        </w:rPr>
        <w:t>Doing quantitative research in education with SPSS</w:t>
      </w:r>
      <w:r w:rsidRPr="00EA783C">
        <w:rPr>
          <w:sz w:val="24"/>
          <w:szCs w:val="24"/>
          <w:lang w:val="en-US"/>
        </w:rPr>
        <w:t xml:space="preserve"> (2nd ed.). SAGE Publications.</w:t>
      </w:r>
    </w:p>
    <w:p w14:paraId="2E5672B3" w14:textId="77777777" w:rsidR="000F5461" w:rsidRPr="00EA783C" w:rsidRDefault="000F5461" w:rsidP="008A382D">
      <w:pPr>
        <w:spacing w:line="360" w:lineRule="auto"/>
        <w:ind w:left="720" w:hanging="720"/>
        <w:jc w:val="both"/>
        <w:rPr>
          <w:sz w:val="24"/>
          <w:szCs w:val="24"/>
          <w:lang w:val="en-US"/>
        </w:rPr>
      </w:pPr>
      <w:r w:rsidRPr="00EA783C">
        <w:rPr>
          <w:sz w:val="24"/>
          <w:szCs w:val="24"/>
          <w:lang w:val="en-US"/>
        </w:rPr>
        <w:t>Pearson, K. (1900). X. On the criterion that a given system of deviations from the probable in the case of a correlated system of variables is such that it can be reasonably supposed to have arisen from random sampling. </w:t>
      </w:r>
      <w:r w:rsidRPr="00EA783C">
        <w:rPr>
          <w:i/>
          <w:iCs/>
          <w:sz w:val="24"/>
          <w:szCs w:val="24"/>
          <w:lang w:val="en-US"/>
        </w:rPr>
        <w:t xml:space="preserve">The London, </w:t>
      </w:r>
      <w:r w:rsidRPr="00EA783C">
        <w:rPr>
          <w:i/>
          <w:iCs/>
          <w:sz w:val="24"/>
          <w:szCs w:val="24"/>
          <w:lang w:val="en-US"/>
        </w:rPr>
        <w:lastRenderedPageBreak/>
        <w:t>Edinburgh, and Dublin Philosophical Magazine and Journal of Science</w:t>
      </w:r>
      <w:r w:rsidRPr="00EA783C">
        <w:rPr>
          <w:sz w:val="24"/>
          <w:szCs w:val="24"/>
          <w:lang w:val="en-US"/>
        </w:rPr>
        <w:t>, </w:t>
      </w:r>
      <w:r w:rsidRPr="00EA783C">
        <w:rPr>
          <w:i/>
          <w:iCs/>
          <w:sz w:val="24"/>
          <w:szCs w:val="24"/>
          <w:lang w:val="en-US"/>
        </w:rPr>
        <w:t>50</w:t>
      </w:r>
      <w:r w:rsidRPr="00EA783C">
        <w:rPr>
          <w:sz w:val="24"/>
          <w:szCs w:val="24"/>
          <w:lang w:val="en-US"/>
        </w:rPr>
        <w:t>(302), 157-175.</w:t>
      </w:r>
      <w:r>
        <w:rPr>
          <w:sz w:val="24"/>
          <w:szCs w:val="24"/>
          <w:lang w:val="en-US"/>
        </w:rPr>
        <w:t xml:space="preserve"> </w:t>
      </w:r>
      <w:r w:rsidRPr="00EA783C">
        <w:rPr>
          <w:sz w:val="24"/>
          <w:szCs w:val="24"/>
          <w:lang w:val="en-US"/>
        </w:rPr>
        <w:t>https://doi.org/10.1080/14786440009463897</w:t>
      </w:r>
    </w:p>
    <w:p w14:paraId="457AFEBD" w14:textId="77777777" w:rsidR="000F5461" w:rsidRPr="00F0780C" w:rsidRDefault="000F5461" w:rsidP="008A382D">
      <w:pPr>
        <w:spacing w:line="360" w:lineRule="auto"/>
        <w:ind w:left="720" w:hanging="720"/>
        <w:jc w:val="both"/>
        <w:rPr>
          <w:sz w:val="24"/>
          <w:szCs w:val="24"/>
          <w:lang w:val="en-US"/>
        </w:rPr>
      </w:pPr>
      <w:r w:rsidRPr="00C27429">
        <w:rPr>
          <w:sz w:val="24"/>
          <w:szCs w:val="24"/>
          <w:lang w:val="en-US"/>
        </w:rPr>
        <w:t xml:space="preserve">Spiegel, M. R., &amp; Stephens, L. J. (2008). </w:t>
      </w:r>
      <w:r w:rsidRPr="00C27429">
        <w:rPr>
          <w:i/>
          <w:iCs/>
          <w:sz w:val="24"/>
          <w:szCs w:val="24"/>
          <w:lang w:val="en-US"/>
        </w:rPr>
        <w:t>Estadística</w:t>
      </w:r>
      <w:r w:rsidRPr="00C27429">
        <w:rPr>
          <w:sz w:val="24"/>
          <w:szCs w:val="24"/>
          <w:lang w:val="en-US"/>
        </w:rPr>
        <w:t xml:space="preserve"> (4.ª ed.). </w:t>
      </w:r>
      <w:r w:rsidRPr="00F0780C">
        <w:rPr>
          <w:sz w:val="24"/>
          <w:szCs w:val="24"/>
          <w:lang w:val="en-US"/>
        </w:rPr>
        <w:t>McGraw-Hill.</w:t>
      </w:r>
    </w:p>
    <w:p w14:paraId="766F3CA4" w14:textId="77777777" w:rsidR="000F5461" w:rsidRPr="00F0780C" w:rsidRDefault="000F5461" w:rsidP="008A382D">
      <w:pPr>
        <w:spacing w:line="360" w:lineRule="auto"/>
        <w:ind w:left="720" w:hanging="720"/>
        <w:jc w:val="both"/>
        <w:rPr>
          <w:sz w:val="24"/>
          <w:szCs w:val="24"/>
          <w:lang w:val="en-US"/>
        </w:rPr>
      </w:pPr>
      <w:r w:rsidRPr="00EA783C">
        <w:rPr>
          <w:sz w:val="24"/>
          <w:szCs w:val="24"/>
          <w:lang w:val="en-US"/>
        </w:rPr>
        <w:t xml:space="preserve">Spiegelhalter, D. (2019). </w:t>
      </w:r>
      <w:r w:rsidRPr="00EA783C">
        <w:rPr>
          <w:i/>
          <w:iCs/>
          <w:sz w:val="24"/>
          <w:szCs w:val="24"/>
          <w:lang w:val="en-US"/>
        </w:rPr>
        <w:t>The art of statistics: Learning from data</w:t>
      </w:r>
      <w:r w:rsidRPr="00EA783C">
        <w:rPr>
          <w:sz w:val="24"/>
          <w:szCs w:val="24"/>
          <w:lang w:val="en-US"/>
        </w:rPr>
        <w:t xml:space="preserve">. </w:t>
      </w:r>
      <w:r w:rsidRPr="00F0780C">
        <w:rPr>
          <w:sz w:val="24"/>
          <w:szCs w:val="24"/>
          <w:lang w:val="en-US"/>
        </w:rPr>
        <w:t>Pelican Books.</w:t>
      </w:r>
    </w:p>
    <w:p w14:paraId="24766746" w14:textId="489176AE" w:rsidR="000F5461" w:rsidRPr="0001588A" w:rsidRDefault="000F5461" w:rsidP="008A382D">
      <w:pPr>
        <w:spacing w:line="360" w:lineRule="auto"/>
        <w:ind w:left="720" w:hanging="720"/>
        <w:jc w:val="both"/>
        <w:rPr>
          <w:sz w:val="24"/>
          <w:szCs w:val="24"/>
          <w:lang w:val="en-US"/>
        </w:rPr>
      </w:pPr>
      <w:r w:rsidRPr="0001588A">
        <w:rPr>
          <w:sz w:val="24"/>
          <w:szCs w:val="24"/>
          <w:lang w:val="en-US"/>
        </w:rPr>
        <w:t xml:space="preserve">Stevens, S. S. (1946). On the theory of scales of measurement. </w:t>
      </w:r>
      <w:r w:rsidRPr="0001588A">
        <w:rPr>
          <w:i/>
          <w:iCs/>
          <w:sz w:val="24"/>
          <w:szCs w:val="24"/>
          <w:lang w:val="en-US"/>
        </w:rPr>
        <w:t>Science, 103</w:t>
      </w:r>
      <w:r w:rsidRPr="0001588A">
        <w:rPr>
          <w:sz w:val="24"/>
          <w:szCs w:val="24"/>
          <w:lang w:val="en-US"/>
        </w:rPr>
        <w:t xml:space="preserve">(2684), 677–680. </w:t>
      </w:r>
      <w:r w:rsidRPr="000F5461">
        <w:rPr>
          <w:sz w:val="24"/>
          <w:szCs w:val="24"/>
          <w:lang w:val="en-US"/>
        </w:rPr>
        <w:t>https://doi.org/10.1126/science.103.2684.677</w:t>
      </w:r>
    </w:p>
    <w:p w14:paraId="6D64C078" w14:textId="77777777" w:rsidR="000F5461" w:rsidRPr="00F0780C" w:rsidRDefault="000F5461" w:rsidP="008A382D">
      <w:pPr>
        <w:spacing w:line="360" w:lineRule="auto"/>
        <w:ind w:left="720" w:hanging="720"/>
        <w:jc w:val="both"/>
        <w:rPr>
          <w:sz w:val="24"/>
          <w:szCs w:val="24"/>
          <w:lang w:val="en-US"/>
        </w:rPr>
      </w:pPr>
      <w:r w:rsidRPr="00C27429">
        <w:rPr>
          <w:sz w:val="24"/>
          <w:szCs w:val="24"/>
          <w:lang w:val="es-MX"/>
        </w:rPr>
        <w:t xml:space="preserve">Triola, M. F. (2014). </w:t>
      </w:r>
      <w:r w:rsidRPr="00C27429">
        <w:rPr>
          <w:i/>
          <w:iCs/>
          <w:sz w:val="24"/>
          <w:szCs w:val="24"/>
          <w:lang w:val="es-MX"/>
        </w:rPr>
        <w:t>Estadística</w:t>
      </w:r>
      <w:r w:rsidRPr="00C27429">
        <w:rPr>
          <w:sz w:val="24"/>
          <w:szCs w:val="24"/>
          <w:lang w:val="es-MX"/>
        </w:rPr>
        <w:t xml:space="preserve"> (12.ª ed.). </w:t>
      </w:r>
      <w:r w:rsidRPr="00F0780C">
        <w:rPr>
          <w:sz w:val="24"/>
          <w:szCs w:val="24"/>
          <w:lang w:val="en-US"/>
        </w:rPr>
        <w:t>Pearson Educación.</w:t>
      </w:r>
    </w:p>
    <w:p w14:paraId="3CA829D3" w14:textId="77777777" w:rsidR="000F5461" w:rsidRDefault="000F5461" w:rsidP="008A382D">
      <w:pPr>
        <w:spacing w:line="360" w:lineRule="auto"/>
        <w:ind w:left="720" w:hanging="720"/>
        <w:jc w:val="both"/>
        <w:rPr>
          <w:sz w:val="24"/>
          <w:szCs w:val="24"/>
          <w:lang w:val="es-MX"/>
        </w:rPr>
      </w:pPr>
      <w:r w:rsidRPr="0001588A">
        <w:rPr>
          <w:sz w:val="24"/>
          <w:szCs w:val="24"/>
          <w:lang w:val="en-US"/>
        </w:rPr>
        <w:t xml:space="preserve">Wackerly, D. D., Mendenhall, W., &amp; Scheaffer, R. L. (2010). </w:t>
      </w:r>
      <w:r w:rsidRPr="0001588A">
        <w:rPr>
          <w:i/>
          <w:iCs/>
          <w:sz w:val="24"/>
          <w:szCs w:val="24"/>
          <w:lang w:val="en-US"/>
        </w:rPr>
        <w:t>Mathematical statistics with applications</w:t>
      </w:r>
      <w:r w:rsidRPr="0001588A">
        <w:rPr>
          <w:sz w:val="24"/>
          <w:szCs w:val="24"/>
          <w:lang w:val="en-US"/>
        </w:rPr>
        <w:t xml:space="preserve"> (7th ed.). </w:t>
      </w:r>
      <w:r w:rsidRPr="0001588A">
        <w:rPr>
          <w:sz w:val="24"/>
          <w:szCs w:val="24"/>
          <w:lang w:val="es-MX"/>
        </w:rPr>
        <w:t>Cengage Learning.</w:t>
      </w:r>
    </w:p>
    <w:p w14:paraId="1A594EF5" w14:textId="77777777" w:rsidR="000F5461" w:rsidRPr="0001588A" w:rsidRDefault="000F5461" w:rsidP="008A382D">
      <w:pPr>
        <w:spacing w:line="360" w:lineRule="auto"/>
        <w:ind w:left="720" w:hanging="720"/>
        <w:jc w:val="both"/>
        <w:rPr>
          <w:sz w:val="24"/>
          <w:szCs w:val="24"/>
          <w:lang w:val="es-MX"/>
        </w:rPr>
      </w:pPr>
      <w:r w:rsidRPr="00633FA9">
        <w:rPr>
          <w:sz w:val="24"/>
          <w:szCs w:val="24"/>
        </w:rPr>
        <w:t>Zaragoza Alvarado, G. A. (2025). </w:t>
      </w:r>
      <w:r w:rsidRPr="00633FA9">
        <w:rPr>
          <w:i/>
          <w:iCs/>
          <w:sz w:val="24"/>
          <w:szCs w:val="24"/>
        </w:rPr>
        <w:t>Manual de estadística descriptiva: Definición y ejercicios</w:t>
      </w:r>
      <w:r w:rsidRPr="00633FA9">
        <w:rPr>
          <w:sz w:val="24"/>
          <w:szCs w:val="24"/>
        </w:rPr>
        <w:t>. Editorial PLAGCIS.</w:t>
      </w:r>
      <w:r>
        <w:rPr>
          <w:sz w:val="24"/>
          <w:szCs w:val="24"/>
        </w:rPr>
        <w:t xml:space="preserve"> </w:t>
      </w:r>
      <w:r w:rsidRPr="00633FA9">
        <w:rPr>
          <w:sz w:val="24"/>
          <w:szCs w:val="24"/>
        </w:rPr>
        <w:t>https://plagcis.org/book/index.php/editorial/catalog/book/25</w:t>
      </w:r>
    </w:p>
    <w:p w14:paraId="0120A4F2" w14:textId="77777777" w:rsidR="0001588A" w:rsidRPr="00EA783C" w:rsidRDefault="0001588A" w:rsidP="00EA783C">
      <w:pPr>
        <w:spacing w:line="360" w:lineRule="auto"/>
        <w:ind w:left="720" w:hanging="720"/>
        <w:rPr>
          <w:sz w:val="24"/>
          <w:szCs w:val="24"/>
          <w:lang w:val="es-MX"/>
        </w:rPr>
      </w:pPr>
    </w:p>
    <w:p w14:paraId="00000017" w14:textId="77777777" w:rsidR="00D07104" w:rsidRDefault="00D07104"/>
    <w:sectPr w:rsidR="00D0710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171"/>
    <w:multiLevelType w:val="multilevel"/>
    <w:tmpl w:val="D24091A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F2F7D88"/>
    <w:multiLevelType w:val="hybridMultilevel"/>
    <w:tmpl w:val="6142908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5644143">
    <w:abstractNumId w:val="0"/>
  </w:num>
  <w:num w:numId="2" w16cid:durableId="1273243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104"/>
    <w:rsid w:val="0001588A"/>
    <w:rsid w:val="00054290"/>
    <w:rsid w:val="000670C0"/>
    <w:rsid w:val="000B222B"/>
    <w:rsid w:val="000D3FF5"/>
    <w:rsid w:val="000F5461"/>
    <w:rsid w:val="00166897"/>
    <w:rsid w:val="00173545"/>
    <w:rsid w:val="001A0EBE"/>
    <w:rsid w:val="001A5284"/>
    <w:rsid w:val="00257FE0"/>
    <w:rsid w:val="002948D3"/>
    <w:rsid w:val="002D060D"/>
    <w:rsid w:val="00336D1E"/>
    <w:rsid w:val="003643A5"/>
    <w:rsid w:val="003A65CB"/>
    <w:rsid w:val="003C2F03"/>
    <w:rsid w:val="00417951"/>
    <w:rsid w:val="00432FB8"/>
    <w:rsid w:val="00476ADD"/>
    <w:rsid w:val="004A1BC0"/>
    <w:rsid w:val="00515D3D"/>
    <w:rsid w:val="005238B4"/>
    <w:rsid w:val="005D5C25"/>
    <w:rsid w:val="00633FA9"/>
    <w:rsid w:val="00634B8E"/>
    <w:rsid w:val="006C4AFE"/>
    <w:rsid w:val="006F546D"/>
    <w:rsid w:val="00757E1D"/>
    <w:rsid w:val="0076173A"/>
    <w:rsid w:val="0084245D"/>
    <w:rsid w:val="00865736"/>
    <w:rsid w:val="008A382D"/>
    <w:rsid w:val="008D4301"/>
    <w:rsid w:val="00930753"/>
    <w:rsid w:val="00981739"/>
    <w:rsid w:val="009D5230"/>
    <w:rsid w:val="00A81101"/>
    <w:rsid w:val="00B4563A"/>
    <w:rsid w:val="00B6422D"/>
    <w:rsid w:val="00B9279F"/>
    <w:rsid w:val="00BA5B25"/>
    <w:rsid w:val="00BD748C"/>
    <w:rsid w:val="00BE2C1A"/>
    <w:rsid w:val="00C27429"/>
    <w:rsid w:val="00C3080A"/>
    <w:rsid w:val="00C53047"/>
    <w:rsid w:val="00C94BEC"/>
    <w:rsid w:val="00CE4618"/>
    <w:rsid w:val="00CF1962"/>
    <w:rsid w:val="00D07104"/>
    <w:rsid w:val="00D14FBE"/>
    <w:rsid w:val="00D2151C"/>
    <w:rsid w:val="00D84FB0"/>
    <w:rsid w:val="00E26FA7"/>
    <w:rsid w:val="00E43797"/>
    <w:rsid w:val="00E45754"/>
    <w:rsid w:val="00E6789A"/>
    <w:rsid w:val="00E8276D"/>
    <w:rsid w:val="00EA783C"/>
    <w:rsid w:val="00F00AF3"/>
    <w:rsid w:val="00F045AC"/>
    <w:rsid w:val="00F0780C"/>
    <w:rsid w:val="00F220E6"/>
    <w:rsid w:val="00F32842"/>
    <w:rsid w:val="00F62D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06677"/>
  <w15:docId w15:val="{7E22CAA4-953B-4DB6-85D6-41085C92B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EA783C"/>
    <w:pPr>
      <w:ind w:left="720"/>
      <w:contextualSpacing/>
    </w:pPr>
  </w:style>
  <w:style w:type="character" w:styleId="Hipervnculo">
    <w:name w:val="Hyperlink"/>
    <w:basedOn w:val="Fuentedeprrafopredeter"/>
    <w:uiPriority w:val="99"/>
    <w:unhideWhenUsed/>
    <w:rsid w:val="0001588A"/>
    <w:rPr>
      <w:color w:val="0000FF" w:themeColor="hyperlink"/>
      <w:u w:val="single"/>
    </w:rPr>
  </w:style>
  <w:style w:type="character" w:styleId="Mencinsinresolver">
    <w:name w:val="Unresolved Mention"/>
    <w:basedOn w:val="Fuentedeprrafopredeter"/>
    <w:uiPriority w:val="99"/>
    <w:semiHidden/>
    <w:unhideWhenUsed/>
    <w:rsid w:val="0001588A"/>
    <w:rPr>
      <w:color w:val="605E5C"/>
      <w:shd w:val="clear" w:color="auto" w:fill="E1DFDD"/>
    </w:rPr>
  </w:style>
  <w:style w:type="table" w:styleId="Tablaconcuadrcula">
    <w:name w:val="Table Grid"/>
    <w:basedOn w:val="Tablanormal"/>
    <w:uiPriority w:val="39"/>
    <w:rsid w:val="00F045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18"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chart" Target="charts/chart3.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17" Type="http://schemas.openxmlformats.org/officeDocument/2006/relationships/image" Target="media/image2.png"/><Relationship Id="rId2" Type="http://schemas.openxmlformats.org/officeDocument/2006/relationships/styles" Target="styles.xml"/><Relationship Id="rId16" Type="http://schemas.microsoft.com/office/2014/relationships/chartEx" Target="charts/chartEx1.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diagramData" Target="diagrams/data2.xml"/><Relationship Id="rId19" Type="http://schemas.openxmlformats.org/officeDocument/2006/relationships/chart" Target="charts/chart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Hoja1!$B$1</c:f>
              <c:strCache>
                <c:ptCount val="1"/>
                <c:pt idx="0">
                  <c:v>Serie 1</c:v>
                </c:pt>
              </c:strCache>
            </c:strRef>
          </c:tx>
          <c:spPr>
            <a:solidFill>
              <a:schemeClr val="accent1"/>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964E-4F51-BC5E-75502EF04FF1}"/>
            </c:ext>
          </c:extLst>
        </c:ser>
        <c:ser>
          <c:idx val="1"/>
          <c:order val="1"/>
          <c:tx>
            <c:strRef>
              <c:f>Hoja1!$C$1</c:f>
              <c:strCache>
                <c:ptCount val="1"/>
                <c:pt idx="0">
                  <c:v>Serie 2</c:v>
                </c:pt>
              </c:strCache>
            </c:strRef>
          </c:tx>
          <c:spPr>
            <a:solidFill>
              <a:schemeClr val="accent2"/>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964E-4F51-BC5E-75502EF04FF1}"/>
            </c:ext>
          </c:extLst>
        </c:ser>
        <c:ser>
          <c:idx val="2"/>
          <c:order val="2"/>
          <c:tx>
            <c:strRef>
              <c:f>Hoja1!$D$1</c:f>
              <c:strCache>
                <c:ptCount val="1"/>
                <c:pt idx="0">
                  <c:v>Serie 3</c:v>
                </c:pt>
              </c:strCache>
            </c:strRef>
          </c:tx>
          <c:spPr>
            <a:solidFill>
              <a:schemeClr val="accent3"/>
            </a:solidFill>
            <a:ln>
              <a:noFill/>
            </a:ln>
            <a:effectLst/>
          </c:spPr>
          <c:invertIfNegative val="0"/>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964E-4F51-BC5E-75502EF04FF1}"/>
            </c:ext>
          </c:extLst>
        </c:ser>
        <c:dLbls>
          <c:showLegendKey val="0"/>
          <c:showVal val="0"/>
          <c:showCatName val="0"/>
          <c:showSerName val="0"/>
          <c:showPercent val="0"/>
          <c:showBubbleSize val="0"/>
        </c:dLbls>
        <c:gapWidth val="219"/>
        <c:overlap val="-27"/>
        <c:axId val="1239977871"/>
        <c:axId val="1239980751"/>
      </c:barChart>
      <c:catAx>
        <c:axId val="12399778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39980751"/>
        <c:crosses val="autoZero"/>
        <c:auto val="1"/>
        <c:lblAlgn val="ctr"/>
        <c:lblOffset val="100"/>
        <c:noMultiLvlLbl val="0"/>
      </c:catAx>
      <c:valAx>
        <c:axId val="12399807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399778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Hoja1!$B$1</c:f>
              <c:strCache>
                <c:ptCount val="1"/>
                <c:pt idx="0">
                  <c:v>Serie 1</c:v>
                </c:pt>
              </c:strCache>
            </c:strRef>
          </c:tx>
          <c:spPr>
            <a:ln w="28575" cap="rnd">
              <a:solidFill>
                <a:schemeClr val="accent1"/>
              </a:solidFill>
              <a:round/>
            </a:ln>
            <a:effectLst/>
          </c:spPr>
          <c:marker>
            <c:symbol val="none"/>
          </c:marker>
          <c:cat>
            <c:strRef>
              <c:f>Hoja1!$A$2:$A$5</c:f>
              <c:strCache>
                <c:ptCount val="4"/>
                <c:pt idx="0">
                  <c:v>Categoría 1</c:v>
                </c:pt>
                <c:pt idx="1">
                  <c:v>Categoría 2</c:v>
                </c:pt>
                <c:pt idx="2">
                  <c:v>Categoría 3</c:v>
                </c:pt>
                <c:pt idx="3">
                  <c:v>Categoría 4</c:v>
                </c:pt>
              </c:strCache>
            </c:strRef>
          </c:cat>
          <c:val>
            <c:numRef>
              <c:f>Hoja1!$B$2:$B$5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93EF-43A8-8405-A308470A5C2B}"/>
            </c:ext>
          </c:extLst>
        </c:ser>
        <c:ser>
          <c:idx val="1"/>
          <c:order val="1"/>
          <c:tx>
            <c:strRef>
              <c:f>Hoja1!$C$1</c:f>
              <c:strCache>
                <c:ptCount val="1"/>
                <c:pt idx="0">
                  <c:v>Serie 2</c:v>
                </c:pt>
              </c:strCache>
            </c:strRef>
          </c:tx>
          <c:spPr>
            <a:ln w="28575" cap="rnd">
              <a:solidFill>
                <a:schemeClr val="accent2"/>
              </a:solidFill>
              <a:round/>
            </a:ln>
            <a:effectLst/>
          </c:spPr>
          <c:marker>
            <c:symbol val="none"/>
          </c:marker>
          <c:cat>
            <c:strRef>
              <c:f>Hoja1!$A$2:$A$5</c:f>
              <c:strCache>
                <c:ptCount val="4"/>
                <c:pt idx="0">
                  <c:v>Categoría 1</c:v>
                </c:pt>
                <c:pt idx="1">
                  <c:v>Categoría 2</c:v>
                </c:pt>
                <c:pt idx="2">
                  <c:v>Categoría 3</c:v>
                </c:pt>
                <c:pt idx="3">
                  <c:v>Categoría 4</c:v>
                </c:pt>
              </c:strCache>
            </c:strRef>
          </c:cat>
          <c:val>
            <c:numRef>
              <c:f>Hoja1!$C$2:$C$5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93EF-43A8-8405-A308470A5C2B}"/>
            </c:ext>
          </c:extLst>
        </c:ser>
        <c:ser>
          <c:idx val="2"/>
          <c:order val="2"/>
          <c:tx>
            <c:strRef>
              <c:f>Hoja1!$D$1</c:f>
              <c:strCache>
                <c:ptCount val="1"/>
                <c:pt idx="0">
                  <c:v>Serie 3</c:v>
                </c:pt>
              </c:strCache>
            </c:strRef>
          </c:tx>
          <c:spPr>
            <a:ln w="28575" cap="rnd">
              <a:solidFill>
                <a:schemeClr val="accent3"/>
              </a:solidFill>
              <a:round/>
            </a:ln>
            <a:effectLst/>
          </c:spPr>
          <c:marker>
            <c:symbol val="none"/>
          </c:marker>
          <c:cat>
            <c:strRef>
              <c:f>Hoja1!$A$2:$A$5</c:f>
              <c:strCache>
                <c:ptCount val="4"/>
                <c:pt idx="0">
                  <c:v>Categoría 1</c:v>
                </c:pt>
                <c:pt idx="1">
                  <c:v>Categoría 2</c:v>
                </c:pt>
                <c:pt idx="2">
                  <c:v>Categoría 3</c:v>
                </c:pt>
                <c:pt idx="3">
                  <c:v>Categoría 4</c:v>
                </c:pt>
              </c:strCache>
            </c:strRef>
          </c:cat>
          <c:val>
            <c:numRef>
              <c:f>Hoja1!$D$2:$D$5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93EF-43A8-8405-A308470A5C2B}"/>
            </c:ext>
          </c:extLst>
        </c:ser>
        <c:dLbls>
          <c:showLegendKey val="0"/>
          <c:showVal val="0"/>
          <c:showCatName val="0"/>
          <c:showSerName val="0"/>
          <c:showPercent val="0"/>
          <c:showBubbleSize val="0"/>
        </c:dLbls>
        <c:smooth val="0"/>
        <c:axId val="1297105439"/>
        <c:axId val="1297100159"/>
      </c:lineChart>
      <c:catAx>
        <c:axId val="12971054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97100159"/>
        <c:crosses val="autoZero"/>
        <c:auto val="1"/>
        <c:lblAlgn val="ctr"/>
        <c:lblOffset val="100"/>
        <c:noMultiLvlLbl val="0"/>
      </c:catAx>
      <c:valAx>
        <c:axId val="1297100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971054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Hoja1!$B$1</c:f>
              <c:strCache>
                <c:ptCount val="1"/>
                <c:pt idx="0">
                  <c:v>Promedio</c:v>
                </c:pt>
              </c:strCache>
            </c:strRef>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s-MX"/>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Hoja1!$A$2:$A$6</c:f>
              <c:strCache>
                <c:ptCount val="4"/>
                <c:pt idx="1">
                  <c:v>Media</c:v>
                </c:pt>
                <c:pt idx="2">
                  <c:v>Mediana</c:v>
                </c:pt>
                <c:pt idx="3">
                  <c:v>Moda</c:v>
                </c:pt>
              </c:strCache>
            </c:strRef>
          </c:cat>
          <c:val>
            <c:numRef>
              <c:f>Hoja1!$B$2:$B$6</c:f>
              <c:numCache>
                <c:formatCode>General</c:formatCode>
                <c:ptCount val="5"/>
                <c:pt idx="0">
                  <c:v>0</c:v>
                </c:pt>
                <c:pt idx="1">
                  <c:v>7.5</c:v>
                </c:pt>
                <c:pt idx="2">
                  <c:v>7</c:v>
                </c:pt>
                <c:pt idx="3">
                  <c:v>7</c:v>
                </c:pt>
                <c:pt idx="4">
                  <c:v>0</c:v>
                </c:pt>
              </c:numCache>
            </c:numRef>
          </c:val>
          <c:smooth val="0"/>
          <c:extLst>
            <c:ext xmlns:c16="http://schemas.microsoft.com/office/drawing/2014/chart" uri="{C3380CC4-5D6E-409C-BE32-E72D297353CC}">
              <c16:uniqueId val="{00000000-126D-437A-A93B-0EFBED93A2F7}"/>
            </c:ext>
          </c:extLst>
        </c:ser>
        <c:dLbls>
          <c:dLblPos val="ctr"/>
          <c:showLegendKey val="0"/>
          <c:showVal val="1"/>
          <c:showCatName val="0"/>
          <c:showSerName val="0"/>
          <c:showPercent val="0"/>
          <c:showBubbleSize val="0"/>
        </c:dLbls>
        <c:marker val="1"/>
        <c:smooth val="0"/>
        <c:axId val="1297152959"/>
        <c:axId val="1297150079"/>
      </c:lineChart>
      <c:catAx>
        <c:axId val="1297152959"/>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s-MX"/>
                  <a:t>Puntaje</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s-MX"/>
          </a:p>
        </c:txPr>
        <c:crossAx val="1297150079"/>
        <c:crosses val="autoZero"/>
        <c:auto val="1"/>
        <c:lblAlgn val="ctr"/>
        <c:lblOffset val="100"/>
        <c:noMultiLvlLbl val="0"/>
      </c:catAx>
      <c:valAx>
        <c:axId val="1297150079"/>
        <c:scaling>
          <c:orientation val="minMax"/>
        </c:scaling>
        <c:delete val="1"/>
        <c:axPos val="l"/>
        <c:title>
          <c:tx>
            <c:rich>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r>
                  <a:rPr lang="es-MX"/>
                  <a:t>Frecuencia</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title>
        <c:numFmt formatCode="General" sourceLinked="1"/>
        <c:majorTickMark val="none"/>
        <c:minorTickMark val="none"/>
        <c:tickLblPos val="nextTo"/>
        <c:crossAx val="12971529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s-MX"/>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Hoja1!$A$2:$A$51</cx:f>
        <cx:lvl ptCount="50">
          <cx:pt idx="0">Categoría 1</cx:pt>
          <cx:pt idx="1">Categoría 3</cx:pt>
          <cx:pt idx="2">Categoría 1</cx:pt>
          <cx:pt idx="3">Categoría 2</cx:pt>
          <cx:pt idx="4">Categoría 4</cx:pt>
          <cx:pt idx="5">Categoría 1</cx:pt>
          <cx:pt idx="6">Categoría 4</cx:pt>
          <cx:pt idx="7">Categoría 3</cx:pt>
          <cx:pt idx="8">Categoría 4</cx:pt>
          <cx:pt idx="9">Categoría 1</cx:pt>
          <cx:pt idx="10">Categoría 2</cx:pt>
          <cx:pt idx="11">Categoría 4</cx:pt>
          <cx:pt idx="12">Categoría 4</cx:pt>
          <cx:pt idx="13">Categoría 2</cx:pt>
          <cx:pt idx="14">Categoría 1</cx:pt>
          <cx:pt idx="15">Categoría 1</cx:pt>
          <cx:pt idx="16">Categoría 1</cx:pt>
          <cx:pt idx="17">Categoría 4</cx:pt>
          <cx:pt idx="18">Categoría 4</cx:pt>
          <cx:pt idx="19">Categoría 4</cx:pt>
          <cx:pt idx="20">Categoría 1</cx:pt>
          <cx:pt idx="21">Categoría 1</cx:pt>
          <cx:pt idx="22">Categoría 4</cx:pt>
          <cx:pt idx="23">Categoría 1</cx:pt>
          <cx:pt idx="24">Categoría 1</cx:pt>
          <cx:pt idx="25">Categoría 4</cx:pt>
          <cx:pt idx="26">Categoría 1</cx:pt>
          <cx:pt idx="27">Categoría 4</cx:pt>
          <cx:pt idx="28">Categoría 4</cx:pt>
          <cx:pt idx="29">Categoría 4</cx:pt>
          <cx:pt idx="30">Categoría 4</cx:pt>
          <cx:pt idx="31">Categoría 2</cx:pt>
          <cx:pt idx="32">Categoría 4</cx:pt>
          <cx:pt idx="33">Categoría 1</cx:pt>
          <cx:pt idx="34">Categoría 4</cx:pt>
          <cx:pt idx="35">Categoría 1</cx:pt>
          <cx:pt idx="36">Categoría 4</cx:pt>
          <cx:pt idx="37">Categoría 2</cx:pt>
          <cx:pt idx="38">Categoría 4</cx:pt>
          <cx:pt idx="39">Categoría 3</cx:pt>
          <cx:pt idx="40">Categoría 4</cx:pt>
          <cx:pt idx="41">Categoría 4</cx:pt>
          <cx:pt idx="42">Categoría 2</cx:pt>
          <cx:pt idx="43">Categoría 4</cx:pt>
          <cx:pt idx="44">Categoría 1</cx:pt>
          <cx:pt idx="45">Categoría 1</cx:pt>
          <cx:pt idx="46">Categoría 1</cx:pt>
          <cx:pt idx="47">Categoría 2</cx:pt>
          <cx:pt idx="48">Categoría 4</cx:pt>
          <cx:pt idx="49">Categoría 4</cx:pt>
        </cx:lvl>
      </cx:strDim>
      <cx:numDim type="val">
        <cx:f>Hoja1!$B$2:$B$51</cx:f>
        <cx:lvl ptCount="50" formatCode="Estándar">
          <cx:pt idx="0">1</cx:pt>
          <cx:pt idx="1">1</cx:pt>
          <cx:pt idx="2">1</cx:pt>
          <cx:pt idx="3">1</cx:pt>
          <cx:pt idx="4">1</cx:pt>
          <cx:pt idx="5">1</cx:pt>
          <cx:pt idx="6">1</cx:pt>
          <cx:pt idx="7">1</cx:pt>
          <cx:pt idx="8">1</cx:pt>
          <cx:pt idx="9">1</cx:pt>
          <cx:pt idx="10">1</cx:pt>
          <cx:pt idx="11">1</cx:pt>
          <cx:pt idx="12">1</cx:pt>
          <cx:pt idx="13">1</cx:pt>
          <cx:pt idx="14">1</cx:pt>
          <cx:pt idx="15">1</cx:pt>
          <cx:pt idx="16">1</cx:pt>
          <cx:pt idx="17">1</cx:pt>
          <cx:pt idx="18">1</cx:pt>
          <cx:pt idx="19">1</cx:pt>
          <cx:pt idx="20">1</cx:pt>
          <cx:pt idx="21">1</cx:pt>
          <cx:pt idx="22">1</cx:pt>
          <cx:pt idx="23">1</cx:pt>
          <cx:pt idx="24">1</cx:pt>
          <cx:pt idx="25">1</cx:pt>
          <cx:pt idx="26">1</cx:pt>
          <cx:pt idx="27">1</cx:pt>
          <cx:pt idx="28">1</cx:pt>
          <cx:pt idx="29">1</cx:pt>
          <cx:pt idx="30">1</cx:pt>
          <cx:pt idx="31">1</cx:pt>
          <cx:pt idx="32">1</cx:pt>
          <cx:pt idx="33">1</cx:pt>
          <cx:pt idx="34">1</cx:pt>
          <cx:pt idx="35">1</cx:pt>
          <cx:pt idx="36">1</cx:pt>
          <cx:pt idx="37">1</cx:pt>
          <cx:pt idx="38">1</cx:pt>
          <cx:pt idx="39">1</cx:pt>
          <cx:pt idx="40">1</cx:pt>
          <cx:pt idx="41">1</cx:pt>
          <cx:pt idx="42">1</cx:pt>
          <cx:pt idx="43">1</cx:pt>
          <cx:pt idx="44">1</cx:pt>
          <cx:pt idx="45">1</cx:pt>
          <cx:pt idx="46">1</cx:pt>
          <cx:pt idx="47">1</cx:pt>
          <cx:pt idx="48">1</cx:pt>
          <cx:pt idx="49">1</cx:pt>
        </cx:lvl>
      </cx:numDim>
    </cx:data>
  </cx:chartData>
  <cx:chart>
    <cx:plotArea>
      <cx:plotAreaRegion>
        <cx:series layoutId="clusteredColumn" uniqueId="{328D16DD-1966-4DD0-89D8-643D53225606}">
          <cx:tx>
            <cx:txData>
              <cx:f>Hoja1!$B$1</cx:f>
              <cx:v>Serie1</cx:v>
            </cx:txData>
          </cx:tx>
          <cx:dataId val="0"/>
          <cx:layoutPr>
            <cx:aggregation/>
          </cx:layoutPr>
          <cx:axisId val="1"/>
        </cx:series>
        <cx:series layoutId="paretoLine" ownerIdx="0" uniqueId="{E70B6269-B04A-4F58-A5CB-80BF5E82F913}">
          <cx:axisId val="2"/>
        </cx:series>
      </cx:plotAreaRegion>
      <cx:axis id="0">
        <cx:catScaling gapWidth="0"/>
        <cx:tickLabels/>
      </cx:axis>
      <cx:axis id="1">
        <cx:valScaling/>
        <cx:majorGridlines/>
        <cx:tickLabels/>
      </cx:axis>
      <cx:axis id="2">
        <cx:valScaling max="1" min="0"/>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56DFF0A-20BD-4345-BFFD-47E4E75BD88D}" type="doc">
      <dgm:prSet loTypeId="urn:microsoft.com/office/officeart/2005/8/layout/target1" loCatId="relationship" qsTypeId="urn:microsoft.com/office/officeart/2005/8/quickstyle/simple1" qsCatId="simple" csTypeId="urn:microsoft.com/office/officeart/2005/8/colors/accent1_2" csCatId="accent1" phldr="1"/>
      <dgm:spPr/>
      <dgm:t>
        <a:bodyPr/>
        <a:lstStyle/>
        <a:p>
          <a:endParaRPr lang="es-MX"/>
        </a:p>
      </dgm:t>
    </dgm:pt>
    <dgm:pt modelId="{8F5858CE-F401-41A1-BBD3-5973FB336514}">
      <dgm:prSet phldrT="[Texto]"/>
      <dgm:spPr/>
      <dgm:t>
        <a:bodyPr/>
        <a:lstStyle/>
        <a:p>
          <a:r>
            <a:rPr lang="es-MX"/>
            <a:t>Muestra</a:t>
          </a:r>
        </a:p>
      </dgm:t>
    </dgm:pt>
    <dgm:pt modelId="{3ECCDB95-8B72-4D1C-9C2A-E2B76B22BCFA}" type="parTrans" cxnId="{73A7DD8B-8D8A-4F60-993F-AE72D3A6D2D0}">
      <dgm:prSet/>
      <dgm:spPr/>
      <dgm:t>
        <a:bodyPr/>
        <a:lstStyle/>
        <a:p>
          <a:endParaRPr lang="es-MX"/>
        </a:p>
      </dgm:t>
    </dgm:pt>
    <dgm:pt modelId="{1E983588-5E58-4477-B3CB-45E745056F11}" type="sibTrans" cxnId="{73A7DD8B-8D8A-4F60-993F-AE72D3A6D2D0}">
      <dgm:prSet/>
      <dgm:spPr/>
      <dgm:t>
        <a:bodyPr/>
        <a:lstStyle/>
        <a:p>
          <a:endParaRPr lang="es-MX"/>
        </a:p>
      </dgm:t>
    </dgm:pt>
    <dgm:pt modelId="{2B1272D6-6837-42C3-A63A-6AAC47B1F7FB}">
      <dgm:prSet phldrT="[Texto]"/>
      <dgm:spPr/>
      <dgm:t>
        <a:bodyPr/>
        <a:lstStyle/>
        <a:p>
          <a:r>
            <a:rPr lang="es-MX"/>
            <a:t>Poblacion</a:t>
          </a:r>
        </a:p>
      </dgm:t>
    </dgm:pt>
    <dgm:pt modelId="{3C62A4B6-4C10-4BCE-B0AC-3254383C7DD1}" type="parTrans" cxnId="{840B3301-1D13-47CC-96FB-0B8D7D4FFF35}">
      <dgm:prSet/>
      <dgm:spPr/>
      <dgm:t>
        <a:bodyPr/>
        <a:lstStyle/>
        <a:p>
          <a:endParaRPr lang="es-MX"/>
        </a:p>
      </dgm:t>
    </dgm:pt>
    <dgm:pt modelId="{EE1AD46A-EC8E-422D-A113-C686CCBA8A87}" type="sibTrans" cxnId="{840B3301-1D13-47CC-96FB-0B8D7D4FFF35}">
      <dgm:prSet/>
      <dgm:spPr/>
      <dgm:t>
        <a:bodyPr/>
        <a:lstStyle/>
        <a:p>
          <a:endParaRPr lang="es-MX"/>
        </a:p>
      </dgm:t>
    </dgm:pt>
    <dgm:pt modelId="{9488B77B-7222-49D2-815A-D1F81E9FF084}" type="pres">
      <dgm:prSet presAssocID="{C56DFF0A-20BD-4345-BFFD-47E4E75BD88D}" presName="composite" presStyleCnt="0">
        <dgm:presLayoutVars>
          <dgm:chMax val="5"/>
          <dgm:dir/>
          <dgm:resizeHandles val="exact"/>
        </dgm:presLayoutVars>
      </dgm:prSet>
      <dgm:spPr/>
    </dgm:pt>
    <dgm:pt modelId="{E9FAC80F-6B69-443B-A23F-0091E72BCF51}" type="pres">
      <dgm:prSet presAssocID="{8F5858CE-F401-41A1-BBD3-5973FB336514}" presName="circle1" presStyleLbl="lnNode1" presStyleIdx="0" presStyleCnt="2"/>
      <dgm:spPr/>
    </dgm:pt>
    <dgm:pt modelId="{C3100588-B8CA-45CC-87CA-90968DFE5C94}" type="pres">
      <dgm:prSet presAssocID="{8F5858CE-F401-41A1-BBD3-5973FB336514}" presName="text1" presStyleLbl="revTx" presStyleIdx="0" presStyleCnt="2">
        <dgm:presLayoutVars>
          <dgm:bulletEnabled val="1"/>
        </dgm:presLayoutVars>
      </dgm:prSet>
      <dgm:spPr/>
    </dgm:pt>
    <dgm:pt modelId="{13F426E7-F8A7-4C48-A4EA-C768E4A7DC9C}" type="pres">
      <dgm:prSet presAssocID="{8F5858CE-F401-41A1-BBD3-5973FB336514}" presName="line1" presStyleLbl="callout" presStyleIdx="0" presStyleCnt="4"/>
      <dgm:spPr/>
    </dgm:pt>
    <dgm:pt modelId="{F9EE9CB5-334A-424D-8F14-AD6873C85BC5}" type="pres">
      <dgm:prSet presAssocID="{8F5858CE-F401-41A1-BBD3-5973FB336514}" presName="d1" presStyleLbl="callout" presStyleIdx="1" presStyleCnt="4"/>
      <dgm:spPr/>
    </dgm:pt>
    <dgm:pt modelId="{07FCB1C6-0344-49EC-9769-56C7A03767CC}" type="pres">
      <dgm:prSet presAssocID="{2B1272D6-6837-42C3-A63A-6AAC47B1F7FB}" presName="circle2" presStyleLbl="lnNode1" presStyleIdx="1" presStyleCnt="2"/>
      <dgm:spPr/>
    </dgm:pt>
    <dgm:pt modelId="{C32307F2-7FDA-4FA5-8D69-938ED027A00F}" type="pres">
      <dgm:prSet presAssocID="{2B1272D6-6837-42C3-A63A-6AAC47B1F7FB}" presName="text2" presStyleLbl="revTx" presStyleIdx="1" presStyleCnt="2">
        <dgm:presLayoutVars>
          <dgm:bulletEnabled val="1"/>
        </dgm:presLayoutVars>
      </dgm:prSet>
      <dgm:spPr/>
    </dgm:pt>
    <dgm:pt modelId="{08E2511C-34B5-4BF3-9D77-0151AAB8C446}" type="pres">
      <dgm:prSet presAssocID="{2B1272D6-6837-42C3-A63A-6AAC47B1F7FB}" presName="line2" presStyleLbl="callout" presStyleIdx="2" presStyleCnt="4"/>
      <dgm:spPr/>
    </dgm:pt>
    <dgm:pt modelId="{222F84A9-3F1C-4D71-8E25-0F0924C19BB4}" type="pres">
      <dgm:prSet presAssocID="{2B1272D6-6837-42C3-A63A-6AAC47B1F7FB}" presName="d2" presStyleLbl="callout" presStyleIdx="3" presStyleCnt="4"/>
      <dgm:spPr/>
    </dgm:pt>
  </dgm:ptLst>
  <dgm:cxnLst>
    <dgm:cxn modelId="{840B3301-1D13-47CC-96FB-0B8D7D4FFF35}" srcId="{C56DFF0A-20BD-4345-BFFD-47E4E75BD88D}" destId="{2B1272D6-6837-42C3-A63A-6AAC47B1F7FB}" srcOrd="1" destOrd="0" parTransId="{3C62A4B6-4C10-4BCE-B0AC-3254383C7DD1}" sibTransId="{EE1AD46A-EC8E-422D-A113-C686CCBA8A87}"/>
    <dgm:cxn modelId="{6A5FA00E-4054-4351-8A2F-7B937B594163}" type="presOf" srcId="{C56DFF0A-20BD-4345-BFFD-47E4E75BD88D}" destId="{9488B77B-7222-49D2-815A-D1F81E9FF084}" srcOrd="0" destOrd="0" presId="urn:microsoft.com/office/officeart/2005/8/layout/target1"/>
    <dgm:cxn modelId="{E98F2531-3689-4F28-8AA4-B2631EB28A8E}" type="presOf" srcId="{8F5858CE-F401-41A1-BBD3-5973FB336514}" destId="{C3100588-B8CA-45CC-87CA-90968DFE5C94}" srcOrd="0" destOrd="0" presId="urn:microsoft.com/office/officeart/2005/8/layout/target1"/>
    <dgm:cxn modelId="{13A7A63B-A821-46F1-A999-7C6642E7008B}" type="presOf" srcId="{2B1272D6-6837-42C3-A63A-6AAC47B1F7FB}" destId="{C32307F2-7FDA-4FA5-8D69-938ED027A00F}" srcOrd="0" destOrd="0" presId="urn:microsoft.com/office/officeart/2005/8/layout/target1"/>
    <dgm:cxn modelId="{73A7DD8B-8D8A-4F60-993F-AE72D3A6D2D0}" srcId="{C56DFF0A-20BD-4345-BFFD-47E4E75BD88D}" destId="{8F5858CE-F401-41A1-BBD3-5973FB336514}" srcOrd="0" destOrd="0" parTransId="{3ECCDB95-8B72-4D1C-9C2A-E2B76B22BCFA}" sibTransId="{1E983588-5E58-4477-B3CB-45E745056F11}"/>
    <dgm:cxn modelId="{3B92C093-60CB-4ED9-A179-38BF26CED4F8}" type="presParOf" srcId="{9488B77B-7222-49D2-815A-D1F81E9FF084}" destId="{E9FAC80F-6B69-443B-A23F-0091E72BCF51}" srcOrd="0" destOrd="0" presId="urn:microsoft.com/office/officeart/2005/8/layout/target1"/>
    <dgm:cxn modelId="{BE61E197-9ABD-43BC-97BE-5063CBCE6E1F}" type="presParOf" srcId="{9488B77B-7222-49D2-815A-D1F81E9FF084}" destId="{C3100588-B8CA-45CC-87CA-90968DFE5C94}" srcOrd="1" destOrd="0" presId="urn:microsoft.com/office/officeart/2005/8/layout/target1"/>
    <dgm:cxn modelId="{B2ACD1F8-70F2-49C5-B9BD-C7580C6C95D0}" type="presParOf" srcId="{9488B77B-7222-49D2-815A-D1F81E9FF084}" destId="{13F426E7-F8A7-4C48-A4EA-C768E4A7DC9C}" srcOrd="2" destOrd="0" presId="urn:microsoft.com/office/officeart/2005/8/layout/target1"/>
    <dgm:cxn modelId="{A13DAEF6-C5DD-462B-A95C-427071D5A7B6}" type="presParOf" srcId="{9488B77B-7222-49D2-815A-D1F81E9FF084}" destId="{F9EE9CB5-334A-424D-8F14-AD6873C85BC5}" srcOrd="3" destOrd="0" presId="urn:microsoft.com/office/officeart/2005/8/layout/target1"/>
    <dgm:cxn modelId="{95F826CF-4F88-4DBD-81D9-71978D487528}" type="presParOf" srcId="{9488B77B-7222-49D2-815A-D1F81E9FF084}" destId="{07FCB1C6-0344-49EC-9769-56C7A03767CC}" srcOrd="4" destOrd="0" presId="urn:microsoft.com/office/officeart/2005/8/layout/target1"/>
    <dgm:cxn modelId="{F22AE22A-E815-455E-98E0-E5931F3D7F5F}" type="presParOf" srcId="{9488B77B-7222-49D2-815A-D1F81E9FF084}" destId="{C32307F2-7FDA-4FA5-8D69-938ED027A00F}" srcOrd="5" destOrd="0" presId="urn:microsoft.com/office/officeart/2005/8/layout/target1"/>
    <dgm:cxn modelId="{3D48A85E-0608-42F3-B869-ACF2AD3D3520}" type="presParOf" srcId="{9488B77B-7222-49D2-815A-D1F81E9FF084}" destId="{08E2511C-34B5-4BF3-9D77-0151AAB8C446}" srcOrd="6" destOrd="0" presId="urn:microsoft.com/office/officeart/2005/8/layout/target1"/>
    <dgm:cxn modelId="{3CF644F0-F2F3-43D1-96D2-7BAFB7B63037}" type="presParOf" srcId="{9488B77B-7222-49D2-815A-D1F81E9FF084}" destId="{222F84A9-3F1C-4D71-8E25-0F0924C19BB4}" srcOrd="7" destOrd="0" presId="urn:microsoft.com/office/officeart/2005/8/layout/target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60E84FF-8775-4D4C-8F68-EDDC31AFBF83}" type="doc">
      <dgm:prSet loTypeId="urn:microsoft.com/office/officeart/2008/layout/HalfCircleOrganizationChart" loCatId="hierarchy" qsTypeId="urn:microsoft.com/office/officeart/2005/8/quickstyle/simple1" qsCatId="simple" csTypeId="urn:microsoft.com/office/officeart/2005/8/colors/accent1_2" csCatId="accent1" phldr="1"/>
      <dgm:spPr/>
      <dgm:t>
        <a:bodyPr/>
        <a:lstStyle/>
        <a:p>
          <a:endParaRPr lang="es-MX"/>
        </a:p>
      </dgm:t>
    </dgm:pt>
    <dgm:pt modelId="{091BF8D4-AA71-42E2-9C8F-267FDCD5BA9E}">
      <dgm:prSet phldrT="[Texto]" custT="1"/>
      <dgm:spPr/>
      <dgm:t>
        <a:bodyPr/>
        <a:lstStyle/>
        <a:p>
          <a:r>
            <a:rPr lang="es-MX" sz="900"/>
            <a:t>Variables</a:t>
          </a:r>
        </a:p>
      </dgm:t>
    </dgm:pt>
    <dgm:pt modelId="{CE6C5788-CA33-4C7F-8B3E-4F8C964FB2C9}" type="parTrans" cxnId="{9F0FD096-4D32-4B9E-97A1-A78FE7A3CB2A}">
      <dgm:prSet/>
      <dgm:spPr/>
      <dgm:t>
        <a:bodyPr/>
        <a:lstStyle/>
        <a:p>
          <a:endParaRPr lang="es-MX" sz="900"/>
        </a:p>
      </dgm:t>
    </dgm:pt>
    <dgm:pt modelId="{585CCE3A-0A7E-4FD9-AA37-4931BD707708}" type="sibTrans" cxnId="{9F0FD096-4D32-4B9E-97A1-A78FE7A3CB2A}">
      <dgm:prSet/>
      <dgm:spPr/>
      <dgm:t>
        <a:bodyPr/>
        <a:lstStyle/>
        <a:p>
          <a:endParaRPr lang="es-MX" sz="900"/>
        </a:p>
      </dgm:t>
    </dgm:pt>
    <dgm:pt modelId="{B91CA8FB-421D-44CC-83E1-EF2F2F805A55}">
      <dgm:prSet phldrT="[Texto]" custT="1"/>
      <dgm:spPr/>
      <dgm:t>
        <a:bodyPr/>
        <a:lstStyle/>
        <a:p>
          <a:r>
            <a:rPr lang="es-MX" sz="900"/>
            <a:t>Cuantitativas</a:t>
          </a:r>
        </a:p>
      </dgm:t>
    </dgm:pt>
    <dgm:pt modelId="{3C4C6D93-A10C-4327-ACB2-208D62041BAF}" type="parTrans" cxnId="{9168527C-2066-4674-93B6-E55486AD3496}">
      <dgm:prSet/>
      <dgm:spPr/>
      <dgm:t>
        <a:bodyPr/>
        <a:lstStyle/>
        <a:p>
          <a:endParaRPr lang="es-MX" sz="900"/>
        </a:p>
      </dgm:t>
    </dgm:pt>
    <dgm:pt modelId="{D2FEE5F5-9D6D-4844-BB08-9969396D2A2F}" type="sibTrans" cxnId="{9168527C-2066-4674-93B6-E55486AD3496}">
      <dgm:prSet/>
      <dgm:spPr/>
      <dgm:t>
        <a:bodyPr/>
        <a:lstStyle/>
        <a:p>
          <a:endParaRPr lang="es-MX" sz="900"/>
        </a:p>
      </dgm:t>
    </dgm:pt>
    <dgm:pt modelId="{F04D690C-6941-4F46-9130-13F376E811B2}">
      <dgm:prSet phldrT="[Texto]" custT="1"/>
      <dgm:spPr/>
      <dgm:t>
        <a:bodyPr/>
        <a:lstStyle/>
        <a:p>
          <a:pPr>
            <a:buNone/>
          </a:pPr>
          <a:r>
            <a:rPr lang="es-MX" sz="900" b="0" i="0"/>
            <a:t>Continuas</a:t>
          </a:r>
          <a:endParaRPr lang="es-MX" sz="900"/>
        </a:p>
      </dgm:t>
    </dgm:pt>
    <dgm:pt modelId="{B7DA98C4-D9CD-43CF-8CB9-537984F9B86E}" type="parTrans" cxnId="{721A0682-DDB4-403E-ADED-FF1C1289BFBD}">
      <dgm:prSet/>
      <dgm:spPr/>
      <dgm:t>
        <a:bodyPr/>
        <a:lstStyle/>
        <a:p>
          <a:endParaRPr lang="es-MX" sz="900"/>
        </a:p>
      </dgm:t>
    </dgm:pt>
    <dgm:pt modelId="{6CDEF902-E399-475C-A56E-86B8ACDEE358}" type="sibTrans" cxnId="{721A0682-DDB4-403E-ADED-FF1C1289BFBD}">
      <dgm:prSet/>
      <dgm:spPr/>
      <dgm:t>
        <a:bodyPr/>
        <a:lstStyle/>
        <a:p>
          <a:endParaRPr lang="es-MX" sz="900"/>
        </a:p>
      </dgm:t>
    </dgm:pt>
    <dgm:pt modelId="{1938744A-ACD3-4060-812A-6FE3C3A1651E}">
      <dgm:prSet phldrT="[Texto]" custT="1"/>
      <dgm:spPr/>
      <dgm:t>
        <a:bodyPr/>
        <a:lstStyle/>
        <a:p>
          <a:r>
            <a:rPr lang="es-MX" sz="900"/>
            <a:t>Cualitativas</a:t>
          </a:r>
        </a:p>
      </dgm:t>
    </dgm:pt>
    <dgm:pt modelId="{DFAB582A-2415-4060-8236-B3CE809F03E4}" type="parTrans" cxnId="{B28D41FF-4845-4856-9D83-430FEFCCF214}">
      <dgm:prSet/>
      <dgm:spPr/>
      <dgm:t>
        <a:bodyPr/>
        <a:lstStyle/>
        <a:p>
          <a:endParaRPr lang="es-MX" sz="900"/>
        </a:p>
      </dgm:t>
    </dgm:pt>
    <dgm:pt modelId="{6FA49DC8-A3F1-453C-A9E7-8907302E9A8E}" type="sibTrans" cxnId="{B28D41FF-4845-4856-9D83-430FEFCCF214}">
      <dgm:prSet/>
      <dgm:spPr/>
      <dgm:t>
        <a:bodyPr/>
        <a:lstStyle/>
        <a:p>
          <a:endParaRPr lang="es-MX" sz="900"/>
        </a:p>
      </dgm:t>
    </dgm:pt>
    <dgm:pt modelId="{F3DC01BA-00CC-4665-9E8D-BDD49052B554}">
      <dgm:prSet phldrT="[Texto]" custT="1"/>
      <dgm:spPr/>
      <dgm:t>
        <a:bodyPr/>
        <a:lstStyle/>
        <a:p>
          <a:pPr>
            <a:buNone/>
          </a:pPr>
          <a:r>
            <a:rPr lang="es-MX" sz="900" b="0" i="0"/>
            <a:t>Características que no se miden con números, como el color del pelo</a:t>
          </a:r>
          <a:endParaRPr lang="es-MX" sz="900"/>
        </a:p>
      </dgm:t>
    </dgm:pt>
    <dgm:pt modelId="{71584119-8862-4407-B5F9-DA8C17349DF7}" type="parTrans" cxnId="{8FFD48FA-E277-4CC2-8544-CE1F8DB0FC62}">
      <dgm:prSet/>
      <dgm:spPr/>
      <dgm:t>
        <a:bodyPr/>
        <a:lstStyle/>
        <a:p>
          <a:endParaRPr lang="es-MX" sz="900"/>
        </a:p>
      </dgm:t>
    </dgm:pt>
    <dgm:pt modelId="{9A5150DA-0B78-419C-AB55-6E8D2FD548CF}" type="sibTrans" cxnId="{8FFD48FA-E277-4CC2-8544-CE1F8DB0FC62}">
      <dgm:prSet/>
      <dgm:spPr/>
      <dgm:t>
        <a:bodyPr/>
        <a:lstStyle/>
        <a:p>
          <a:endParaRPr lang="es-MX" sz="900"/>
        </a:p>
      </dgm:t>
    </dgm:pt>
    <dgm:pt modelId="{21E38FBC-B3F9-4D73-9C31-CF42E634576E}">
      <dgm:prSet phldrT="[Texto]" custT="1"/>
      <dgm:spPr/>
      <dgm:t>
        <a:bodyPr/>
        <a:lstStyle/>
        <a:p>
          <a:pPr>
            <a:buNone/>
          </a:pPr>
          <a:r>
            <a:rPr lang="es-MX" sz="900" b="0" i="0"/>
            <a:t>Discretas </a:t>
          </a:r>
          <a:endParaRPr lang="es-MX" sz="900"/>
        </a:p>
      </dgm:t>
    </dgm:pt>
    <dgm:pt modelId="{6FB4AEDD-A77D-491A-9E23-C1785CF002A9}" type="sibTrans" cxnId="{7F6EE7BA-BED8-4A22-8074-17217C2258C6}">
      <dgm:prSet/>
      <dgm:spPr/>
      <dgm:t>
        <a:bodyPr/>
        <a:lstStyle/>
        <a:p>
          <a:endParaRPr lang="es-MX" sz="900"/>
        </a:p>
      </dgm:t>
    </dgm:pt>
    <dgm:pt modelId="{D7121BF5-9111-4EC6-987A-200FF5D3E89C}" type="parTrans" cxnId="{7F6EE7BA-BED8-4A22-8074-17217C2258C6}">
      <dgm:prSet/>
      <dgm:spPr/>
      <dgm:t>
        <a:bodyPr/>
        <a:lstStyle/>
        <a:p>
          <a:endParaRPr lang="es-MX" sz="900"/>
        </a:p>
      </dgm:t>
    </dgm:pt>
    <dgm:pt modelId="{AB3BFCF0-FAE1-486B-90C3-72907B3B6466}">
      <dgm:prSet custT="1"/>
      <dgm:spPr/>
      <dgm:t>
        <a:bodyPr/>
        <a:lstStyle/>
        <a:p>
          <a:pPr>
            <a:buNone/>
          </a:pPr>
          <a:r>
            <a:rPr lang="es-MX" sz="900" b="0" i="0"/>
            <a:t>Valores contables e intermedios que no existen, como el número de hijos</a:t>
          </a:r>
          <a:endParaRPr lang="es-MX" sz="900"/>
        </a:p>
      </dgm:t>
    </dgm:pt>
    <dgm:pt modelId="{49F1A75E-04BF-494F-899B-C3F5FB2EBFEB}" type="parTrans" cxnId="{63E08D04-7A7F-49C8-8BF0-71B3B0E54B90}">
      <dgm:prSet/>
      <dgm:spPr/>
      <dgm:t>
        <a:bodyPr/>
        <a:lstStyle/>
        <a:p>
          <a:endParaRPr lang="es-MX" sz="900"/>
        </a:p>
      </dgm:t>
    </dgm:pt>
    <dgm:pt modelId="{6B813B24-24C0-49AA-9A66-53AF5B51B62D}" type="sibTrans" cxnId="{63E08D04-7A7F-49C8-8BF0-71B3B0E54B90}">
      <dgm:prSet/>
      <dgm:spPr/>
      <dgm:t>
        <a:bodyPr/>
        <a:lstStyle/>
        <a:p>
          <a:endParaRPr lang="es-MX" sz="900"/>
        </a:p>
      </dgm:t>
    </dgm:pt>
    <dgm:pt modelId="{77B52B03-E0D7-4C5E-988C-072B4E4ABC17}">
      <dgm:prSet custT="1"/>
      <dgm:spPr/>
      <dgm:t>
        <a:bodyPr/>
        <a:lstStyle/>
        <a:p>
          <a:pPr>
            <a:buNone/>
          </a:pPr>
          <a:r>
            <a:rPr lang="es-MX" sz="900" b="0" i="0"/>
            <a:t>Valores infinitos o intermedios entre dos puntos, como el peso o la altura</a:t>
          </a:r>
          <a:endParaRPr lang="es-MX" sz="900"/>
        </a:p>
      </dgm:t>
    </dgm:pt>
    <dgm:pt modelId="{B22B49D0-9EC4-4CE5-8CBE-8D564EE81EBD}" type="parTrans" cxnId="{28EE7EAF-1D99-4F53-B18F-74846C073FCA}">
      <dgm:prSet/>
      <dgm:spPr/>
      <dgm:t>
        <a:bodyPr/>
        <a:lstStyle/>
        <a:p>
          <a:endParaRPr lang="es-MX" sz="900"/>
        </a:p>
      </dgm:t>
    </dgm:pt>
    <dgm:pt modelId="{21A46D2B-5BBB-40E6-8BBC-4DC9EE39898F}" type="sibTrans" cxnId="{28EE7EAF-1D99-4F53-B18F-74846C073FCA}">
      <dgm:prSet/>
      <dgm:spPr/>
      <dgm:t>
        <a:bodyPr/>
        <a:lstStyle/>
        <a:p>
          <a:endParaRPr lang="es-MX" sz="900"/>
        </a:p>
      </dgm:t>
    </dgm:pt>
    <dgm:pt modelId="{705CB617-CE95-4160-98FA-9D92DA27116E}" type="pres">
      <dgm:prSet presAssocID="{460E84FF-8775-4D4C-8F68-EDDC31AFBF83}" presName="Name0" presStyleCnt="0">
        <dgm:presLayoutVars>
          <dgm:orgChart val="1"/>
          <dgm:chPref val="1"/>
          <dgm:dir/>
          <dgm:animOne val="branch"/>
          <dgm:animLvl val="lvl"/>
          <dgm:resizeHandles/>
        </dgm:presLayoutVars>
      </dgm:prSet>
      <dgm:spPr/>
    </dgm:pt>
    <dgm:pt modelId="{0397797B-6F2D-43A9-8EE6-756EA3AEE7AC}" type="pres">
      <dgm:prSet presAssocID="{091BF8D4-AA71-42E2-9C8F-267FDCD5BA9E}" presName="hierRoot1" presStyleCnt="0">
        <dgm:presLayoutVars>
          <dgm:hierBranch val="init"/>
        </dgm:presLayoutVars>
      </dgm:prSet>
      <dgm:spPr/>
    </dgm:pt>
    <dgm:pt modelId="{7A624C83-442C-4482-81BB-46EA78325864}" type="pres">
      <dgm:prSet presAssocID="{091BF8D4-AA71-42E2-9C8F-267FDCD5BA9E}" presName="rootComposite1" presStyleCnt="0"/>
      <dgm:spPr/>
    </dgm:pt>
    <dgm:pt modelId="{D15D3992-CC76-43CD-BBF5-DE25950764E3}" type="pres">
      <dgm:prSet presAssocID="{091BF8D4-AA71-42E2-9C8F-267FDCD5BA9E}" presName="rootText1" presStyleLbl="alignAcc1" presStyleIdx="0" presStyleCnt="0">
        <dgm:presLayoutVars>
          <dgm:chPref val="3"/>
        </dgm:presLayoutVars>
      </dgm:prSet>
      <dgm:spPr/>
    </dgm:pt>
    <dgm:pt modelId="{0842B669-266F-49A5-9707-CE5196813BE1}" type="pres">
      <dgm:prSet presAssocID="{091BF8D4-AA71-42E2-9C8F-267FDCD5BA9E}" presName="topArc1" presStyleLbl="parChTrans1D1" presStyleIdx="0" presStyleCnt="16"/>
      <dgm:spPr/>
    </dgm:pt>
    <dgm:pt modelId="{474D3458-83D8-41E2-A1D7-38D8A631295A}" type="pres">
      <dgm:prSet presAssocID="{091BF8D4-AA71-42E2-9C8F-267FDCD5BA9E}" presName="bottomArc1" presStyleLbl="parChTrans1D1" presStyleIdx="1" presStyleCnt="16"/>
      <dgm:spPr/>
    </dgm:pt>
    <dgm:pt modelId="{A213D6B3-8558-44AA-B179-40B27C464B7D}" type="pres">
      <dgm:prSet presAssocID="{091BF8D4-AA71-42E2-9C8F-267FDCD5BA9E}" presName="topConnNode1" presStyleLbl="node1" presStyleIdx="0" presStyleCnt="0"/>
      <dgm:spPr/>
    </dgm:pt>
    <dgm:pt modelId="{C9305D46-6569-437C-B651-C92F18400770}" type="pres">
      <dgm:prSet presAssocID="{091BF8D4-AA71-42E2-9C8F-267FDCD5BA9E}" presName="hierChild2" presStyleCnt="0"/>
      <dgm:spPr/>
    </dgm:pt>
    <dgm:pt modelId="{533AF9A9-5318-4274-B242-EDC3321D95DF}" type="pres">
      <dgm:prSet presAssocID="{3C4C6D93-A10C-4327-ACB2-208D62041BAF}" presName="Name28" presStyleLbl="parChTrans1D2" presStyleIdx="0" presStyleCnt="2"/>
      <dgm:spPr/>
    </dgm:pt>
    <dgm:pt modelId="{786EE9B0-2729-4EAC-81D7-FA7C8449C33F}" type="pres">
      <dgm:prSet presAssocID="{B91CA8FB-421D-44CC-83E1-EF2F2F805A55}" presName="hierRoot2" presStyleCnt="0">
        <dgm:presLayoutVars>
          <dgm:hierBranch val="init"/>
        </dgm:presLayoutVars>
      </dgm:prSet>
      <dgm:spPr/>
    </dgm:pt>
    <dgm:pt modelId="{8FD4D2BE-A052-4B1E-8B3B-167F71A42C2D}" type="pres">
      <dgm:prSet presAssocID="{B91CA8FB-421D-44CC-83E1-EF2F2F805A55}" presName="rootComposite2" presStyleCnt="0"/>
      <dgm:spPr/>
    </dgm:pt>
    <dgm:pt modelId="{A4E240C0-396A-4E95-A5DB-5C4F52CD6254}" type="pres">
      <dgm:prSet presAssocID="{B91CA8FB-421D-44CC-83E1-EF2F2F805A55}" presName="rootText2" presStyleLbl="alignAcc1" presStyleIdx="0" presStyleCnt="0">
        <dgm:presLayoutVars>
          <dgm:chPref val="3"/>
        </dgm:presLayoutVars>
      </dgm:prSet>
      <dgm:spPr/>
    </dgm:pt>
    <dgm:pt modelId="{FADAA9B4-76A7-4BA0-9EFB-805C7CEB5BCA}" type="pres">
      <dgm:prSet presAssocID="{B91CA8FB-421D-44CC-83E1-EF2F2F805A55}" presName="topArc2" presStyleLbl="parChTrans1D1" presStyleIdx="2" presStyleCnt="16"/>
      <dgm:spPr/>
    </dgm:pt>
    <dgm:pt modelId="{136BBDCC-DD17-4774-9983-A3B114FE05A9}" type="pres">
      <dgm:prSet presAssocID="{B91CA8FB-421D-44CC-83E1-EF2F2F805A55}" presName="bottomArc2" presStyleLbl="parChTrans1D1" presStyleIdx="3" presStyleCnt="16"/>
      <dgm:spPr/>
    </dgm:pt>
    <dgm:pt modelId="{3F91FC8D-B168-49EA-90C5-6D72914BB265}" type="pres">
      <dgm:prSet presAssocID="{B91CA8FB-421D-44CC-83E1-EF2F2F805A55}" presName="topConnNode2" presStyleLbl="node2" presStyleIdx="0" presStyleCnt="0"/>
      <dgm:spPr/>
    </dgm:pt>
    <dgm:pt modelId="{36AF9D2D-5C28-469B-8C2F-FEF29EF645AD}" type="pres">
      <dgm:prSet presAssocID="{B91CA8FB-421D-44CC-83E1-EF2F2F805A55}" presName="hierChild4" presStyleCnt="0"/>
      <dgm:spPr/>
    </dgm:pt>
    <dgm:pt modelId="{3AA1128B-C115-4054-B3DC-557ED11B43E0}" type="pres">
      <dgm:prSet presAssocID="{B7DA98C4-D9CD-43CF-8CB9-537984F9B86E}" presName="Name28" presStyleLbl="parChTrans1D3" presStyleIdx="0" presStyleCnt="3"/>
      <dgm:spPr/>
    </dgm:pt>
    <dgm:pt modelId="{EC2976D9-9504-430E-8920-CC0A653912D2}" type="pres">
      <dgm:prSet presAssocID="{F04D690C-6941-4F46-9130-13F376E811B2}" presName="hierRoot2" presStyleCnt="0">
        <dgm:presLayoutVars>
          <dgm:hierBranch val="init"/>
        </dgm:presLayoutVars>
      </dgm:prSet>
      <dgm:spPr/>
    </dgm:pt>
    <dgm:pt modelId="{08181C4B-4C31-4F9F-9A8E-BBAA8C24A712}" type="pres">
      <dgm:prSet presAssocID="{F04D690C-6941-4F46-9130-13F376E811B2}" presName="rootComposite2" presStyleCnt="0"/>
      <dgm:spPr/>
    </dgm:pt>
    <dgm:pt modelId="{7EF2A483-EEC9-4BFD-AD40-8CAA98AC5F46}" type="pres">
      <dgm:prSet presAssocID="{F04D690C-6941-4F46-9130-13F376E811B2}" presName="rootText2" presStyleLbl="alignAcc1" presStyleIdx="0" presStyleCnt="0">
        <dgm:presLayoutVars>
          <dgm:chPref val="3"/>
        </dgm:presLayoutVars>
      </dgm:prSet>
      <dgm:spPr/>
    </dgm:pt>
    <dgm:pt modelId="{BA5CF80C-850C-4001-9296-C25914A919D0}" type="pres">
      <dgm:prSet presAssocID="{F04D690C-6941-4F46-9130-13F376E811B2}" presName="topArc2" presStyleLbl="parChTrans1D1" presStyleIdx="4" presStyleCnt="16"/>
      <dgm:spPr/>
    </dgm:pt>
    <dgm:pt modelId="{3DD62592-8CA8-4DEE-B175-D0CEB853B226}" type="pres">
      <dgm:prSet presAssocID="{F04D690C-6941-4F46-9130-13F376E811B2}" presName="bottomArc2" presStyleLbl="parChTrans1D1" presStyleIdx="5" presStyleCnt="16"/>
      <dgm:spPr/>
    </dgm:pt>
    <dgm:pt modelId="{FB4C8DAF-2ABD-48B6-BB64-D93F726B6B9B}" type="pres">
      <dgm:prSet presAssocID="{F04D690C-6941-4F46-9130-13F376E811B2}" presName="topConnNode2" presStyleLbl="node3" presStyleIdx="0" presStyleCnt="0"/>
      <dgm:spPr/>
    </dgm:pt>
    <dgm:pt modelId="{1475DA94-2308-4EB3-A779-326F8FB436A5}" type="pres">
      <dgm:prSet presAssocID="{F04D690C-6941-4F46-9130-13F376E811B2}" presName="hierChild4" presStyleCnt="0"/>
      <dgm:spPr/>
    </dgm:pt>
    <dgm:pt modelId="{2DA3A426-BB1E-4277-BA25-AF4CC89406E3}" type="pres">
      <dgm:prSet presAssocID="{B22B49D0-9EC4-4CE5-8CBE-8D564EE81EBD}" presName="Name28" presStyleLbl="parChTrans1D4" presStyleIdx="0" presStyleCnt="2"/>
      <dgm:spPr/>
    </dgm:pt>
    <dgm:pt modelId="{457EF45D-4DB6-4175-A83D-9E8D26A861F2}" type="pres">
      <dgm:prSet presAssocID="{77B52B03-E0D7-4C5E-988C-072B4E4ABC17}" presName="hierRoot2" presStyleCnt="0">
        <dgm:presLayoutVars>
          <dgm:hierBranch val="init"/>
        </dgm:presLayoutVars>
      </dgm:prSet>
      <dgm:spPr/>
    </dgm:pt>
    <dgm:pt modelId="{51D36133-D9A2-4F20-B884-812829CB8FAB}" type="pres">
      <dgm:prSet presAssocID="{77B52B03-E0D7-4C5E-988C-072B4E4ABC17}" presName="rootComposite2" presStyleCnt="0"/>
      <dgm:spPr/>
    </dgm:pt>
    <dgm:pt modelId="{BCD38724-5096-48A4-AA6E-4E0107B82770}" type="pres">
      <dgm:prSet presAssocID="{77B52B03-E0D7-4C5E-988C-072B4E4ABC17}" presName="rootText2" presStyleLbl="alignAcc1" presStyleIdx="0" presStyleCnt="0" custScaleX="116145">
        <dgm:presLayoutVars>
          <dgm:chPref val="3"/>
        </dgm:presLayoutVars>
      </dgm:prSet>
      <dgm:spPr/>
    </dgm:pt>
    <dgm:pt modelId="{344A6CE5-0A92-432A-8513-52B38F86C161}" type="pres">
      <dgm:prSet presAssocID="{77B52B03-E0D7-4C5E-988C-072B4E4ABC17}" presName="topArc2" presStyleLbl="parChTrans1D1" presStyleIdx="6" presStyleCnt="16"/>
      <dgm:spPr/>
    </dgm:pt>
    <dgm:pt modelId="{F58449A6-5365-411C-B5BC-6F624FD78C95}" type="pres">
      <dgm:prSet presAssocID="{77B52B03-E0D7-4C5E-988C-072B4E4ABC17}" presName="bottomArc2" presStyleLbl="parChTrans1D1" presStyleIdx="7" presStyleCnt="16"/>
      <dgm:spPr/>
    </dgm:pt>
    <dgm:pt modelId="{1FEBBEC8-F927-45D3-8DF7-DC7B8FEBFD51}" type="pres">
      <dgm:prSet presAssocID="{77B52B03-E0D7-4C5E-988C-072B4E4ABC17}" presName="topConnNode2" presStyleLbl="node4" presStyleIdx="0" presStyleCnt="0"/>
      <dgm:spPr/>
    </dgm:pt>
    <dgm:pt modelId="{3E03E68E-BB96-496B-B3DB-02F27E39D97B}" type="pres">
      <dgm:prSet presAssocID="{77B52B03-E0D7-4C5E-988C-072B4E4ABC17}" presName="hierChild4" presStyleCnt="0"/>
      <dgm:spPr/>
    </dgm:pt>
    <dgm:pt modelId="{1479DA9E-4C87-47DA-9BCC-FD39FE480141}" type="pres">
      <dgm:prSet presAssocID="{77B52B03-E0D7-4C5E-988C-072B4E4ABC17}" presName="hierChild5" presStyleCnt="0"/>
      <dgm:spPr/>
    </dgm:pt>
    <dgm:pt modelId="{C14706AF-37F0-402A-AC0B-BCCDE462F81D}" type="pres">
      <dgm:prSet presAssocID="{F04D690C-6941-4F46-9130-13F376E811B2}" presName="hierChild5" presStyleCnt="0"/>
      <dgm:spPr/>
    </dgm:pt>
    <dgm:pt modelId="{60FFB477-1AB9-49B7-B54E-86E83557B97A}" type="pres">
      <dgm:prSet presAssocID="{D7121BF5-9111-4EC6-987A-200FF5D3E89C}" presName="Name28" presStyleLbl="parChTrans1D3" presStyleIdx="1" presStyleCnt="3"/>
      <dgm:spPr/>
    </dgm:pt>
    <dgm:pt modelId="{198D5041-62A4-4B07-8D6B-B39160F55B7C}" type="pres">
      <dgm:prSet presAssocID="{21E38FBC-B3F9-4D73-9C31-CF42E634576E}" presName="hierRoot2" presStyleCnt="0">
        <dgm:presLayoutVars>
          <dgm:hierBranch val="init"/>
        </dgm:presLayoutVars>
      </dgm:prSet>
      <dgm:spPr/>
    </dgm:pt>
    <dgm:pt modelId="{EBC436B8-AC67-4590-94C7-EE3E23817FD8}" type="pres">
      <dgm:prSet presAssocID="{21E38FBC-B3F9-4D73-9C31-CF42E634576E}" presName="rootComposite2" presStyleCnt="0"/>
      <dgm:spPr/>
    </dgm:pt>
    <dgm:pt modelId="{BF55E6C9-A6FA-481C-87C1-922DF338B7BD}" type="pres">
      <dgm:prSet presAssocID="{21E38FBC-B3F9-4D73-9C31-CF42E634576E}" presName="rootText2" presStyleLbl="alignAcc1" presStyleIdx="0" presStyleCnt="0">
        <dgm:presLayoutVars>
          <dgm:chPref val="3"/>
        </dgm:presLayoutVars>
      </dgm:prSet>
      <dgm:spPr/>
    </dgm:pt>
    <dgm:pt modelId="{F84CFAC7-0313-4020-A95B-94275E4E7480}" type="pres">
      <dgm:prSet presAssocID="{21E38FBC-B3F9-4D73-9C31-CF42E634576E}" presName="topArc2" presStyleLbl="parChTrans1D1" presStyleIdx="8" presStyleCnt="16"/>
      <dgm:spPr/>
    </dgm:pt>
    <dgm:pt modelId="{7180520E-08F8-4075-8B6B-AFD75F11D478}" type="pres">
      <dgm:prSet presAssocID="{21E38FBC-B3F9-4D73-9C31-CF42E634576E}" presName="bottomArc2" presStyleLbl="parChTrans1D1" presStyleIdx="9" presStyleCnt="16"/>
      <dgm:spPr/>
    </dgm:pt>
    <dgm:pt modelId="{4BE6F947-376E-4813-9EF7-F9940060877E}" type="pres">
      <dgm:prSet presAssocID="{21E38FBC-B3F9-4D73-9C31-CF42E634576E}" presName="topConnNode2" presStyleLbl="node3" presStyleIdx="0" presStyleCnt="0"/>
      <dgm:spPr/>
    </dgm:pt>
    <dgm:pt modelId="{530FD58E-BC68-4028-BEB8-9B107936E8BF}" type="pres">
      <dgm:prSet presAssocID="{21E38FBC-B3F9-4D73-9C31-CF42E634576E}" presName="hierChild4" presStyleCnt="0"/>
      <dgm:spPr/>
    </dgm:pt>
    <dgm:pt modelId="{55733B93-45E3-4501-9AE0-691ED9EA6263}" type="pres">
      <dgm:prSet presAssocID="{49F1A75E-04BF-494F-899B-C3F5FB2EBFEB}" presName="Name28" presStyleLbl="parChTrans1D4" presStyleIdx="1" presStyleCnt="2"/>
      <dgm:spPr/>
    </dgm:pt>
    <dgm:pt modelId="{8DE2956F-15F4-4C40-9AB9-77A94BFDAC84}" type="pres">
      <dgm:prSet presAssocID="{AB3BFCF0-FAE1-486B-90C3-72907B3B6466}" presName="hierRoot2" presStyleCnt="0">
        <dgm:presLayoutVars>
          <dgm:hierBranch val="init"/>
        </dgm:presLayoutVars>
      </dgm:prSet>
      <dgm:spPr/>
    </dgm:pt>
    <dgm:pt modelId="{76E4CABD-91F6-4646-B25A-60B9FA653C3D}" type="pres">
      <dgm:prSet presAssocID="{AB3BFCF0-FAE1-486B-90C3-72907B3B6466}" presName="rootComposite2" presStyleCnt="0"/>
      <dgm:spPr/>
    </dgm:pt>
    <dgm:pt modelId="{90EB3C2C-F2B4-4BB8-A872-91BB58253ABF}" type="pres">
      <dgm:prSet presAssocID="{AB3BFCF0-FAE1-486B-90C3-72907B3B6466}" presName="rootText2" presStyleLbl="alignAcc1" presStyleIdx="0" presStyleCnt="0">
        <dgm:presLayoutVars>
          <dgm:chPref val="3"/>
        </dgm:presLayoutVars>
      </dgm:prSet>
      <dgm:spPr/>
    </dgm:pt>
    <dgm:pt modelId="{11F5C876-1E0A-42FA-AF0C-FFF614F642E3}" type="pres">
      <dgm:prSet presAssocID="{AB3BFCF0-FAE1-486B-90C3-72907B3B6466}" presName="topArc2" presStyleLbl="parChTrans1D1" presStyleIdx="10" presStyleCnt="16"/>
      <dgm:spPr/>
    </dgm:pt>
    <dgm:pt modelId="{7B67926A-33EF-4AA0-B17B-F5D0A4213458}" type="pres">
      <dgm:prSet presAssocID="{AB3BFCF0-FAE1-486B-90C3-72907B3B6466}" presName="bottomArc2" presStyleLbl="parChTrans1D1" presStyleIdx="11" presStyleCnt="16"/>
      <dgm:spPr/>
    </dgm:pt>
    <dgm:pt modelId="{B73F29B0-28BE-4690-845D-A423E30A3F83}" type="pres">
      <dgm:prSet presAssocID="{AB3BFCF0-FAE1-486B-90C3-72907B3B6466}" presName="topConnNode2" presStyleLbl="node4" presStyleIdx="0" presStyleCnt="0"/>
      <dgm:spPr/>
    </dgm:pt>
    <dgm:pt modelId="{8AAABBFC-36B8-4DF6-A737-E1DDB6025BE0}" type="pres">
      <dgm:prSet presAssocID="{AB3BFCF0-FAE1-486B-90C3-72907B3B6466}" presName="hierChild4" presStyleCnt="0"/>
      <dgm:spPr/>
    </dgm:pt>
    <dgm:pt modelId="{7A62AD0F-D828-4921-98E7-4776BBFBB6C6}" type="pres">
      <dgm:prSet presAssocID="{AB3BFCF0-FAE1-486B-90C3-72907B3B6466}" presName="hierChild5" presStyleCnt="0"/>
      <dgm:spPr/>
    </dgm:pt>
    <dgm:pt modelId="{7DE121AA-51C9-468E-AA85-B79C3B33CE94}" type="pres">
      <dgm:prSet presAssocID="{21E38FBC-B3F9-4D73-9C31-CF42E634576E}" presName="hierChild5" presStyleCnt="0"/>
      <dgm:spPr/>
    </dgm:pt>
    <dgm:pt modelId="{9CB6B418-EDFD-4801-A387-70F8A8AB0F36}" type="pres">
      <dgm:prSet presAssocID="{B91CA8FB-421D-44CC-83E1-EF2F2F805A55}" presName="hierChild5" presStyleCnt="0"/>
      <dgm:spPr/>
    </dgm:pt>
    <dgm:pt modelId="{BDA3834C-B455-4677-A00D-1DEE3B3222A1}" type="pres">
      <dgm:prSet presAssocID="{DFAB582A-2415-4060-8236-B3CE809F03E4}" presName="Name28" presStyleLbl="parChTrans1D2" presStyleIdx="1" presStyleCnt="2"/>
      <dgm:spPr/>
    </dgm:pt>
    <dgm:pt modelId="{D1D43AFA-250A-4FC1-AD67-92A67EE56671}" type="pres">
      <dgm:prSet presAssocID="{1938744A-ACD3-4060-812A-6FE3C3A1651E}" presName="hierRoot2" presStyleCnt="0">
        <dgm:presLayoutVars>
          <dgm:hierBranch val="init"/>
        </dgm:presLayoutVars>
      </dgm:prSet>
      <dgm:spPr/>
    </dgm:pt>
    <dgm:pt modelId="{8CF8FBD1-29BB-4F80-927D-60778A28F8C0}" type="pres">
      <dgm:prSet presAssocID="{1938744A-ACD3-4060-812A-6FE3C3A1651E}" presName="rootComposite2" presStyleCnt="0"/>
      <dgm:spPr/>
    </dgm:pt>
    <dgm:pt modelId="{7FCC47AA-7562-4783-968D-B0CBDF012CF6}" type="pres">
      <dgm:prSet presAssocID="{1938744A-ACD3-4060-812A-6FE3C3A1651E}" presName="rootText2" presStyleLbl="alignAcc1" presStyleIdx="0" presStyleCnt="0">
        <dgm:presLayoutVars>
          <dgm:chPref val="3"/>
        </dgm:presLayoutVars>
      </dgm:prSet>
      <dgm:spPr/>
    </dgm:pt>
    <dgm:pt modelId="{FDF1FB27-BE3B-470C-8D0B-0A161D7D2B48}" type="pres">
      <dgm:prSet presAssocID="{1938744A-ACD3-4060-812A-6FE3C3A1651E}" presName="topArc2" presStyleLbl="parChTrans1D1" presStyleIdx="12" presStyleCnt="16"/>
      <dgm:spPr/>
    </dgm:pt>
    <dgm:pt modelId="{F708ADCE-B5A1-4639-B959-D66B4E3E2036}" type="pres">
      <dgm:prSet presAssocID="{1938744A-ACD3-4060-812A-6FE3C3A1651E}" presName="bottomArc2" presStyleLbl="parChTrans1D1" presStyleIdx="13" presStyleCnt="16"/>
      <dgm:spPr/>
    </dgm:pt>
    <dgm:pt modelId="{198C8AE6-3864-4C8C-AF47-38B2A7B150C6}" type="pres">
      <dgm:prSet presAssocID="{1938744A-ACD3-4060-812A-6FE3C3A1651E}" presName="topConnNode2" presStyleLbl="node2" presStyleIdx="0" presStyleCnt="0"/>
      <dgm:spPr/>
    </dgm:pt>
    <dgm:pt modelId="{FB815B67-D53D-40E1-82A7-B513DEE563FD}" type="pres">
      <dgm:prSet presAssocID="{1938744A-ACD3-4060-812A-6FE3C3A1651E}" presName="hierChild4" presStyleCnt="0"/>
      <dgm:spPr/>
    </dgm:pt>
    <dgm:pt modelId="{DFCAC2F9-138F-43C2-9087-04C338BBD777}" type="pres">
      <dgm:prSet presAssocID="{71584119-8862-4407-B5F9-DA8C17349DF7}" presName="Name28" presStyleLbl="parChTrans1D3" presStyleIdx="2" presStyleCnt="3"/>
      <dgm:spPr/>
    </dgm:pt>
    <dgm:pt modelId="{BBE809AD-D603-4A2E-9F32-7DB3F996F032}" type="pres">
      <dgm:prSet presAssocID="{F3DC01BA-00CC-4665-9E8D-BDD49052B554}" presName="hierRoot2" presStyleCnt="0">
        <dgm:presLayoutVars>
          <dgm:hierBranch val="init"/>
        </dgm:presLayoutVars>
      </dgm:prSet>
      <dgm:spPr/>
    </dgm:pt>
    <dgm:pt modelId="{652EBB56-A53B-492E-BD8D-57F1428FE91B}" type="pres">
      <dgm:prSet presAssocID="{F3DC01BA-00CC-4665-9E8D-BDD49052B554}" presName="rootComposite2" presStyleCnt="0"/>
      <dgm:spPr/>
    </dgm:pt>
    <dgm:pt modelId="{8EDC42E2-89AE-4A47-9F9A-14F6D00A4DAD}" type="pres">
      <dgm:prSet presAssocID="{F3DC01BA-00CC-4665-9E8D-BDD49052B554}" presName="rootText2" presStyleLbl="alignAcc1" presStyleIdx="0" presStyleCnt="0">
        <dgm:presLayoutVars>
          <dgm:chPref val="3"/>
        </dgm:presLayoutVars>
      </dgm:prSet>
      <dgm:spPr/>
    </dgm:pt>
    <dgm:pt modelId="{C4863050-3724-4358-8F5B-614FF55A98AC}" type="pres">
      <dgm:prSet presAssocID="{F3DC01BA-00CC-4665-9E8D-BDD49052B554}" presName="topArc2" presStyleLbl="parChTrans1D1" presStyleIdx="14" presStyleCnt="16"/>
      <dgm:spPr/>
    </dgm:pt>
    <dgm:pt modelId="{94AB31A7-4FEF-4E0C-B681-B40A646B1A35}" type="pres">
      <dgm:prSet presAssocID="{F3DC01BA-00CC-4665-9E8D-BDD49052B554}" presName="bottomArc2" presStyleLbl="parChTrans1D1" presStyleIdx="15" presStyleCnt="16"/>
      <dgm:spPr/>
    </dgm:pt>
    <dgm:pt modelId="{59FD139C-45B7-42CB-9010-1429B9FF2C3C}" type="pres">
      <dgm:prSet presAssocID="{F3DC01BA-00CC-4665-9E8D-BDD49052B554}" presName="topConnNode2" presStyleLbl="node3" presStyleIdx="0" presStyleCnt="0"/>
      <dgm:spPr/>
    </dgm:pt>
    <dgm:pt modelId="{EE1338DF-5DE7-4DF7-8F2C-E2DA8FFDE3FF}" type="pres">
      <dgm:prSet presAssocID="{F3DC01BA-00CC-4665-9E8D-BDD49052B554}" presName="hierChild4" presStyleCnt="0"/>
      <dgm:spPr/>
    </dgm:pt>
    <dgm:pt modelId="{72AF194C-53C3-4499-BA08-677B796220F7}" type="pres">
      <dgm:prSet presAssocID="{F3DC01BA-00CC-4665-9E8D-BDD49052B554}" presName="hierChild5" presStyleCnt="0"/>
      <dgm:spPr/>
    </dgm:pt>
    <dgm:pt modelId="{CF25AF7A-E143-47AC-A131-30AE60C5212B}" type="pres">
      <dgm:prSet presAssocID="{1938744A-ACD3-4060-812A-6FE3C3A1651E}" presName="hierChild5" presStyleCnt="0"/>
      <dgm:spPr/>
    </dgm:pt>
    <dgm:pt modelId="{6160438E-5ACC-45E6-AC62-C2ED11604AD2}" type="pres">
      <dgm:prSet presAssocID="{091BF8D4-AA71-42E2-9C8F-267FDCD5BA9E}" presName="hierChild3" presStyleCnt="0"/>
      <dgm:spPr/>
    </dgm:pt>
  </dgm:ptLst>
  <dgm:cxnLst>
    <dgm:cxn modelId="{DC7FFD03-0CA8-4EFA-9B6C-BD28B709F484}" type="presOf" srcId="{21E38FBC-B3F9-4D73-9C31-CF42E634576E}" destId="{BF55E6C9-A6FA-481C-87C1-922DF338B7BD}" srcOrd="0" destOrd="0" presId="urn:microsoft.com/office/officeart/2008/layout/HalfCircleOrganizationChart"/>
    <dgm:cxn modelId="{63E08D04-7A7F-49C8-8BF0-71B3B0E54B90}" srcId="{21E38FBC-B3F9-4D73-9C31-CF42E634576E}" destId="{AB3BFCF0-FAE1-486B-90C3-72907B3B6466}" srcOrd="0" destOrd="0" parTransId="{49F1A75E-04BF-494F-899B-C3F5FB2EBFEB}" sibTransId="{6B813B24-24C0-49AA-9A66-53AF5B51B62D}"/>
    <dgm:cxn modelId="{58B7841C-7BD1-470E-AA11-FF09905EBE81}" type="presOf" srcId="{77B52B03-E0D7-4C5E-988C-072B4E4ABC17}" destId="{1FEBBEC8-F927-45D3-8DF7-DC7B8FEBFD51}" srcOrd="1" destOrd="0" presId="urn:microsoft.com/office/officeart/2008/layout/HalfCircleOrganizationChart"/>
    <dgm:cxn modelId="{080E8224-C114-4C5D-B88B-7B4B7E552AD5}" type="presOf" srcId="{1938744A-ACD3-4060-812A-6FE3C3A1651E}" destId="{7FCC47AA-7562-4783-968D-B0CBDF012CF6}" srcOrd="0" destOrd="0" presId="urn:microsoft.com/office/officeart/2008/layout/HalfCircleOrganizationChart"/>
    <dgm:cxn modelId="{4F3F9724-1919-4219-9335-2F637849E7B4}" type="presOf" srcId="{460E84FF-8775-4D4C-8F68-EDDC31AFBF83}" destId="{705CB617-CE95-4160-98FA-9D92DA27116E}" srcOrd="0" destOrd="0" presId="urn:microsoft.com/office/officeart/2008/layout/HalfCircleOrganizationChart"/>
    <dgm:cxn modelId="{8153B632-2612-4A61-8E59-764FFCAA9B68}" type="presOf" srcId="{49F1A75E-04BF-494F-899B-C3F5FB2EBFEB}" destId="{55733B93-45E3-4501-9AE0-691ED9EA6263}" srcOrd="0" destOrd="0" presId="urn:microsoft.com/office/officeart/2008/layout/HalfCircleOrganizationChart"/>
    <dgm:cxn modelId="{C528803B-C9AC-43E6-9B14-1F21AB714C2A}" type="presOf" srcId="{71584119-8862-4407-B5F9-DA8C17349DF7}" destId="{DFCAC2F9-138F-43C2-9087-04C338BBD777}" srcOrd="0" destOrd="0" presId="urn:microsoft.com/office/officeart/2008/layout/HalfCircleOrganizationChart"/>
    <dgm:cxn modelId="{5E82CE3B-5C61-4BAD-8AC8-80E577FBDF50}" type="presOf" srcId="{F04D690C-6941-4F46-9130-13F376E811B2}" destId="{FB4C8DAF-2ABD-48B6-BB64-D93F726B6B9B}" srcOrd="1" destOrd="0" presId="urn:microsoft.com/office/officeart/2008/layout/HalfCircleOrganizationChart"/>
    <dgm:cxn modelId="{A634DA60-A908-4EDD-86AE-F4C146D5E958}" type="presOf" srcId="{F3DC01BA-00CC-4665-9E8D-BDD49052B554}" destId="{8EDC42E2-89AE-4A47-9F9A-14F6D00A4DAD}" srcOrd="0" destOrd="0" presId="urn:microsoft.com/office/officeart/2008/layout/HalfCircleOrganizationChart"/>
    <dgm:cxn modelId="{243E8962-78DE-486A-BCA2-1FB2BF551D2D}" type="presOf" srcId="{DFAB582A-2415-4060-8236-B3CE809F03E4}" destId="{BDA3834C-B455-4677-A00D-1DEE3B3222A1}" srcOrd="0" destOrd="0" presId="urn:microsoft.com/office/officeart/2008/layout/HalfCircleOrganizationChart"/>
    <dgm:cxn modelId="{AFD3AC44-FD25-43F1-AF64-D079A3746A83}" type="presOf" srcId="{3C4C6D93-A10C-4327-ACB2-208D62041BAF}" destId="{533AF9A9-5318-4274-B242-EDC3321D95DF}" srcOrd="0" destOrd="0" presId="urn:microsoft.com/office/officeart/2008/layout/HalfCircleOrganizationChart"/>
    <dgm:cxn modelId="{0672C26F-DBE8-460F-BA58-CD50DBA13D1C}" type="presOf" srcId="{AB3BFCF0-FAE1-486B-90C3-72907B3B6466}" destId="{B73F29B0-28BE-4690-845D-A423E30A3F83}" srcOrd="1" destOrd="0" presId="urn:microsoft.com/office/officeart/2008/layout/HalfCircleOrganizationChart"/>
    <dgm:cxn modelId="{3CA77178-099A-41D1-A66C-F1D4D4057A22}" type="presOf" srcId="{B22B49D0-9EC4-4CE5-8CBE-8D564EE81EBD}" destId="{2DA3A426-BB1E-4277-BA25-AF4CC89406E3}" srcOrd="0" destOrd="0" presId="urn:microsoft.com/office/officeart/2008/layout/HalfCircleOrganizationChart"/>
    <dgm:cxn modelId="{9168527C-2066-4674-93B6-E55486AD3496}" srcId="{091BF8D4-AA71-42E2-9C8F-267FDCD5BA9E}" destId="{B91CA8FB-421D-44CC-83E1-EF2F2F805A55}" srcOrd="0" destOrd="0" parTransId="{3C4C6D93-A10C-4327-ACB2-208D62041BAF}" sibTransId="{D2FEE5F5-9D6D-4844-BB08-9969396D2A2F}"/>
    <dgm:cxn modelId="{3AE4B281-F54D-437A-B8BA-096F26C467B1}" type="presOf" srcId="{091BF8D4-AA71-42E2-9C8F-267FDCD5BA9E}" destId="{A213D6B3-8558-44AA-B179-40B27C464B7D}" srcOrd="1" destOrd="0" presId="urn:microsoft.com/office/officeart/2008/layout/HalfCircleOrganizationChart"/>
    <dgm:cxn modelId="{721A0682-DDB4-403E-ADED-FF1C1289BFBD}" srcId="{B91CA8FB-421D-44CC-83E1-EF2F2F805A55}" destId="{F04D690C-6941-4F46-9130-13F376E811B2}" srcOrd="0" destOrd="0" parTransId="{B7DA98C4-D9CD-43CF-8CB9-537984F9B86E}" sibTransId="{6CDEF902-E399-475C-A56E-86B8ACDEE358}"/>
    <dgm:cxn modelId="{6ECD1B92-4C7F-4859-9ED9-91DD0497699E}" type="presOf" srcId="{091BF8D4-AA71-42E2-9C8F-267FDCD5BA9E}" destId="{D15D3992-CC76-43CD-BBF5-DE25950764E3}" srcOrd="0" destOrd="0" presId="urn:microsoft.com/office/officeart/2008/layout/HalfCircleOrganizationChart"/>
    <dgm:cxn modelId="{0B2BF094-857D-47EC-92BF-F96DE4C1E0DB}" type="presOf" srcId="{B7DA98C4-D9CD-43CF-8CB9-537984F9B86E}" destId="{3AA1128B-C115-4054-B3DC-557ED11B43E0}" srcOrd="0" destOrd="0" presId="urn:microsoft.com/office/officeart/2008/layout/HalfCircleOrganizationChart"/>
    <dgm:cxn modelId="{9F0FD096-4D32-4B9E-97A1-A78FE7A3CB2A}" srcId="{460E84FF-8775-4D4C-8F68-EDDC31AFBF83}" destId="{091BF8D4-AA71-42E2-9C8F-267FDCD5BA9E}" srcOrd="0" destOrd="0" parTransId="{CE6C5788-CA33-4C7F-8B3E-4F8C964FB2C9}" sibTransId="{585CCE3A-0A7E-4FD9-AA37-4931BD707708}"/>
    <dgm:cxn modelId="{686BE7A4-D10F-485E-9A56-06CD1C299AFE}" type="presOf" srcId="{21E38FBC-B3F9-4D73-9C31-CF42E634576E}" destId="{4BE6F947-376E-4813-9EF7-F9940060877E}" srcOrd="1" destOrd="0" presId="urn:microsoft.com/office/officeart/2008/layout/HalfCircleOrganizationChart"/>
    <dgm:cxn modelId="{8B132AAA-D4AA-4D5C-9C68-49B343C5FE22}" type="presOf" srcId="{F3DC01BA-00CC-4665-9E8D-BDD49052B554}" destId="{59FD139C-45B7-42CB-9010-1429B9FF2C3C}" srcOrd="1" destOrd="0" presId="urn:microsoft.com/office/officeart/2008/layout/HalfCircleOrganizationChart"/>
    <dgm:cxn modelId="{28EE7EAF-1D99-4F53-B18F-74846C073FCA}" srcId="{F04D690C-6941-4F46-9130-13F376E811B2}" destId="{77B52B03-E0D7-4C5E-988C-072B4E4ABC17}" srcOrd="0" destOrd="0" parTransId="{B22B49D0-9EC4-4CE5-8CBE-8D564EE81EBD}" sibTransId="{21A46D2B-5BBB-40E6-8BBC-4DC9EE39898F}"/>
    <dgm:cxn modelId="{7F6EE7BA-BED8-4A22-8074-17217C2258C6}" srcId="{B91CA8FB-421D-44CC-83E1-EF2F2F805A55}" destId="{21E38FBC-B3F9-4D73-9C31-CF42E634576E}" srcOrd="1" destOrd="0" parTransId="{D7121BF5-9111-4EC6-987A-200FF5D3E89C}" sibTransId="{6FB4AEDD-A77D-491A-9E23-C1785CF002A9}"/>
    <dgm:cxn modelId="{BCD644C5-9112-4CE1-BDDA-AD749DB4B3E1}" type="presOf" srcId="{D7121BF5-9111-4EC6-987A-200FF5D3E89C}" destId="{60FFB477-1AB9-49B7-B54E-86E83557B97A}" srcOrd="0" destOrd="0" presId="urn:microsoft.com/office/officeart/2008/layout/HalfCircleOrganizationChart"/>
    <dgm:cxn modelId="{BDCCD0C7-4B2A-4231-8997-55EB29A63B3D}" type="presOf" srcId="{77B52B03-E0D7-4C5E-988C-072B4E4ABC17}" destId="{BCD38724-5096-48A4-AA6E-4E0107B82770}" srcOrd="0" destOrd="0" presId="urn:microsoft.com/office/officeart/2008/layout/HalfCircleOrganizationChart"/>
    <dgm:cxn modelId="{725F40CC-95B4-426E-9E75-FEDA49129C10}" type="presOf" srcId="{F04D690C-6941-4F46-9130-13F376E811B2}" destId="{7EF2A483-EEC9-4BFD-AD40-8CAA98AC5F46}" srcOrd="0" destOrd="0" presId="urn:microsoft.com/office/officeart/2008/layout/HalfCircleOrganizationChart"/>
    <dgm:cxn modelId="{3634CCCF-263A-44B5-A810-A6F53EB78F4B}" type="presOf" srcId="{AB3BFCF0-FAE1-486B-90C3-72907B3B6466}" destId="{90EB3C2C-F2B4-4BB8-A872-91BB58253ABF}" srcOrd="0" destOrd="0" presId="urn:microsoft.com/office/officeart/2008/layout/HalfCircleOrganizationChart"/>
    <dgm:cxn modelId="{D677DCD5-6267-4971-8531-27AD99E55F25}" type="presOf" srcId="{B91CA8FB-421D-44CC-83E1-EF2F2F805A55}" destId="{A4E240C0-396A-4E95-A5DB-5C4F52CD6254}" srcOrd="0" destOrd="0" presId="urn:microsoft.com/office/officeart/2008/layout/HalfCircleOrganizationChart"/>
    <dgm:cxn modelId="{ED4F10EC-6300-4626-9FD1-C086B3A9183E}" type="presOf" srcId="{B91CA8FB-421D-44CC-83E1-EF2F2F805A55}" destId="{3F91FC8D-B168-49EA-90C5-6D72914BB265}" srcOrd="1" destOrd="0" presId="urn:microsoft.com/office/officeart/2008/layout/HalfCircleOrganizationChart"/>
    <dgm:cxn modelId="{1706A8F6-C157-4C67-A457-2DC8F250471F}" type="presOf" srcId="{1938744A-ACD3-4060-812A-6FE3C3A1651E}" destId="{198C8AE6-3864-4C8C-AF47-38B2A7B150C6}" srcOrd="1" destOrd="0" presId="urn:microsoft.com/office/officeart/2008/layout/HalfCircleOrganizationChart"/>
    <dgm:cxn modelId="{8FFD48FA-E277-4CC2-8544-CE1F8DB0FC62}" srcId="{1938744A-ACD3-4060-812A-6FE3C3A1651E}" destId="{F3DC01BA-00CC-4665-9E8D-BDD49052B554}" srcOrd="0" destOrd="0" parTransId="{71584119-8862-4407-B5F9-DA8C17349DF7}" sibTransId="{9A5150DA-0B78-419C-AB55-6E8D2FD548CF}"/>
    <dgm:cxn modelId="{B28D41FF-4845-4856-9D83-430FEFCCF214}" srcId="{091BF8D4-AA71-42E2-9C8F-267FDCD5BA9E}" destId="{1938744A-ACD3-4060-812A-6FE3C3A1651E}" srcOrd="1" destOrd="0" parTransId="{DFAB582A-2415-4060-8236-B3CE809F03E4}" sibTransId="{6FA49DC8-A3F1-453C-A9E7-8907302E9A8E}"/>
    <dgm:cxn modelId="{65B86ED4-2E4E-463D-BB83-7E9345EB6522}" type="presParOf" srcId="{705CB617-CE95-4160-98FA-9D92DA27116E}" destId="{0397797B-6F2D-43A9-8EE6-756EA3AEE7AC}" srcOrd="0" destOrd="0" presId="urn:microsoft.com/office/officeart/2008/layout/HalfCircleOrganizationChart"/>
    <dgm:cxn modelId="{5485F067-1133-43AD-9F85-DF69D27C60EE}" type="presParOf" srcId="{0397797B-6F2D-43A9-8EE6-756EA3AEE7AC}" destId="{7A624C83-442C-4482-81BB-46EA78325864}" srcOrd="0" destOrd="0" presId="urn:microsoft.com/office/officeart/2008/layout/HalfCircleOrganizationChart"/>
    <dgm:cxn modelId="{38D13C95-3421-4814-B8E9-759ED475EA4A}" type="presParOf" srcId="{7A624C83-442C-4482-81BB-46EA78325864}" destId="{D15D3992-CC76-43CD-BBF5-DE25950764E3}" srcOrd="0" destOrd="0" presId="urn:microsoft.com/office/officeart/2008/layout/HalfCircleOrganizationChart"/>
    <dgm:cxn modelId="{00FBFCC7-4DE1-41A8-AF6B-60B14C063408}" type="presParOf" srcId="{7A624C83-442C-4482-81BB-46EA78325864}" destId="{0842B669-266F-49A5-9707-CE5196813BE1}" srcOrd="1" destOrd="0" presId="urn:microsoft.com/office/officeart/2008/layout/HalfCircleOrganizationChart"/>
    <dgm:cxn modelId="{9AD8F841-4A14-4DFF-8DC3-A2AF0AB2A29F}" type="presParOf" srcId="{7A624C83-442C-4482-81BB-46EA78325864}" destId="{474D3458-83D8-41E2-A1D7-38D8A631295A}" srcOrd="2" destOrd="0" presId="urn:microsoft.com/office/officeart/2008/layout/HalfCircleOrganizationChart"/>
    <dgm:cxn modelId="{3E77423F-C847-45E6-A7F8-32F109E42426}" type="presParOf" srcId="{7A624C83-442C-4482-81BB-46EA78325864}" destId="{A213D6B3-8558-44AA-B179-40B27C464B7D}" srcOrd="3" destOrd="0" presId="urn:microsoft.com/office/officeart/2008/layout/HalfCircleOrganizationChart"/>
    <dgm:cxn modelId="{DAB1DF35-94E9-4292-9192-0DE7DA42AE2B}" type="presParOf" srcId="{0397797B-6F2D-43A9-8EE6-756EA3AEE7AC}" destId="{C9305D46-6569-437C-B651-C92F18400770}" srcOrd="1" destOrd="0" presId="urn:microsoft.com/office/officeart/2008/layout/HalfCircleOrganizationChart"/>
    <dgm:cxn modelId="{A8B4C234-85E1-4F9E-ABE6-DD20DE3DDDD2}" type="presParOf" srcId="{C9305D46-6569-437C-B651-C92F18400770}" destId="{533AF9A9-5318-4274-B242-EDC3321D95DF}" srcOrd="0" destOrd="0" presId="urn:microsoft.com/office/officeart/2008/layout/HalfCircleOrganizationChart"/>
    <dgm:cxn modelId="{D61E4C2E-1B0E-4681-B4D5-29A6761E38BC}" type="presParOf" srcId="{C9305D46-6569-437C-B651-C92F18400770}" destId="{786EE9B0-2729-4EAC-81D7-FA7C8449C33F}" srcOrd="1" destOrd="0" presId="urn:microsoft.com/office/officeart/2008/layout/HalfCircleOrganizationChart"/>
    <dgm:cxn modelId="{FB9205CE-6C55-428F-8325-354E858F9CBA}" type="presParOf" srcId="{786EE9B0-2729-4EAC-81D7-FA7C8449C33F}" destId="{8FD4D2BE-A052-4B1E-8B3B-167F71A42C2D}" srcOrd="0" destOrd="0" presId="urn:microsoft.com/office/officeart/2008/layout/HalfCircleOrganizationChart"/>
    <dgm:cxn modelId="{9B99AB8D-D458-4711-AC11-817676D92F61}" type="presParOf" srcId="{8FD4D2BE-A052-4B1E-8B3B-167F71A42C2D}" destId="{A4E240C0-396A-4E95-A5DB-5C4F52CD6254}" srcOrd="0" destOrd="0" presId="urn:microsoft.com/office/officeart/2008/layout/HalfCircleOrganizationChart"/>
    <dgm:cxn modelId="{01B7835B-63D3-4475-B9C6-745294F12385}" type="presParOf" srcId="{8FD4D2BE-A052-4B1E-8B3B-167F71A42C2D}" destId="{FADAA9B4-76A7-4BA0-9EFB-805C7CEB5BCA}" srcOrd="1" destOrd="0" presId="urn:microsoft.com/office/officeart/2008/layout/HalfCircleOrganizationChart"/>
    <dgm:cxn modelId="{3B6B7B85-1CA1-463C-9EBA-5E62C3075079}" type="presParOf" srcId="{8FD4D2BE-A052-4B1E-8B3B-167F71A42C2D}" destId="{136BBDCC-DD17-4774-9983-A3B114FE05A9}" srcOrd="2" destOrd="0" presId="urn:microsoft.com/office/officeart/2008/layout/HalfCircleOrganizationChart"/>
    <dgm:cxn modelId="{68BCA82C-DF4E-4A9C-B456-10813B65F95B}" type="presParOf" srcId="{8FD4D2BE-A052-4B1E-8B3B-167F71A42C2D}" destId="{3F91FC8D-B168-49EA-90C5-6D72914BB265}" srcOrd="3" destOrd="0" presId="urn:microsoft.com/office/officeart/2008/layout/HalfCircleOrganizationChart"/>
    <dgm:cxn modelId="{50F66B57-BC86-435D-BAB2-B82AEF3ADD75}" type="presParOf" srcId="{786EE9B0-2729-4EAC-81D7-FA7C8449C33F}" destId="{36AF9D2D-5C28-469B-8C2F-FEF29EF645AD}" srcOrd="1" destOrd="0" presId="urn:microsoft.com/office/officeart/2008/layout/HalfCircleOrganizationChart"/>
    <dgm:cxn modelId="{03D32075-B5CC-4B9D-BC85-E3C3015E377E}" type="presParOf" srcId="{36AF9D2D-5C28-469B-8C2F-FEF29EF645AD}" destId="{3AA1128B-C115-4054-B3DC-557ED11B43E0}" srcOrd="0" destOrd="0" presId="urn:microsoft.com/office/officeart/2008/layout/HalfCircleOrganizationChart"/>
    <dgm:cxn modelId="{DFBFFBA5-3ADD-4DF8-8383-6E861B1AAE3F}" type="presParOf" srcId="{36AF9D2D-5C28-469B-8C2F-FEF29EF645AD}" destId="{EC2976D9-9504-430E-8920-CC0A653912D2}" srcOrd="1" destOrd="0" presId="urn:microsoft.com/office/officeart/2008/layout/HalfCircleOrganizationChart"/>
    <dgm:cxn modelId="{9AD23E88-D77B-4F5D-B591-7D70CC743726}" type="presParOf" srcId="{EC2976D9-9504-430E-8920-CC0A653912D2}" destId="{08181C4B-4C31-4F9F-9A8E-BBAA8C24A712}" srcOrd="0" destOrd="0" presId="urn:microsoft.com/office/officeart/2008/layout/HalfCircleOrganizationChart"/>
    <dgm:cxn modelId="{93B8F9AA-588C-4F49-8830-AF1FF690E0E2}" type="presParOf" srcId="{08181C4B-4C31-4F9F-9A8E-BBAA8C24A712}" destId="{7EF2A483-EEC9-4BFD-AD40-8CAA98AC5F46}" srcOrd="0" destOrd="0" presId="urn:microsoft.com/office/officeart/2008/layout/HalfCircleOrganizationChart"/>
    <dgm:cxn modelId="{888922C2-C613-4FE8-A853-BA7592F762CC}" type="presParOf" srcId="{08181C4B-4C31-4F9F-9A8E-BBAA8C24A712}" destId="{BA5CF80C-850C-4001-9296-C25914A919D0}" srcOrd="1" destOrd="0" presId="urn:microsoft.com/office/officeart/2008/layout/HalfCircleOrganizationChart"/>
    <dgm:cxn modelId="{5C1B6B90-1A25-4B92-90B6-7499682372BD}" type="presParOf" srcId="{08181C4B-4C31-4F9F-9A8E-BBAA8C24A712}" destId="{3DD62592-8CA8-4DEE-B175-D0CEB853B226}" srcOrd="2" destOrd="0" presId="urn:microsoft.com/office/officeart/2008/layout/HalfCircleOrganizationChart"/>
    <dgm:cxn modelId="{7F647AC0-96EC-4A91-8D8C-B4D909174C11}" type="presParOf" srcId="{08181C4B-4C31-4F9F-9A8E-BBAA8C24A712}" destId="{FB4C8DAF-2ABD-48B6-BB64-D93F726B6B9B}" srcOrd="3" destOrd="0" presId="urn:microsoft.com/office/officeart/2008/layout/HalfCircleOrganizationChart"/>
    <dgm:cxn modelId="{43189905-60BC-41B4-940A-8E07366D153B}" type="presParOf" srcId="{EC2976D9-9504-430E-8920-CC0A653912D2}" destId="{1475DA94-2308-4EB3-A779-326F8FB436A5}" srcOrd="1" destOrd="0" presId="urn:microsoft.com/office/officeart/2008/layout/HalfCircleOrganizationChart"/>
    <dgm:cxn modelId="{0AAB555C-2425-4707-B151-FAC929A3910D}" type="presParOf" srcId="{1475DA94-2308-4EB3-A779-326F8FB436A5}" destId="{2DA3A426-BB1E-4277-BA25-AF4CC89406E3}" srcOrd="0" destOrd="0" presId="urn:microsoft.com/office/officeart/2008/layout/HalfCircleOrganizationChart"/>
    <dgm:cxn modelId="{7B1CC684-9764-4FD7-B75F-843717889C31}" type="presParOf" srcId="{1475DA94-2308-4EB3-A779-326F8FB436A5}" destId="{457EF45D-4DB6-4175-A83D-9E8D26A861F2}" srcOrd="1" destOrd="0" presId="urn:microsoft.com/office/officeart/2008/layout/HalfCircleOrganizationChart"/>
    <dgm:cxn modelId="{20808AF0-A4FE-4B29-89DA-41C6042FD2FA}" type="presParOf" srcId="{457EF45D-4DB6-4175-A83D-9E8D26A861F2}" destId="{51D36133-D9A2-4F20-B884-812829CB8FAB}" srcOrd="0" destOrd="0" presId="urn:microsoft.com/office/officeart/2008/layout/HalfCircleOrganizationChart"/>
    <dgm:cxn modelId="{FF294885-E012-4E57-A703-945B21EC5435}" type="presParOf" srcId="{51D36133-D9A2-4F20-B884-812829CB8FAB}" destId="{BCD38724-5096-48A4-AA6E-4E0107B82770}" srcOrd="0" destOrd="0" presId="urn:microsoft.com/office/officeart/2008/layout/HalfCircleOrganizationChart"/>
    <dgm:cxn modelId="{1145DA51-24C7-4016-A615-23E769CCE433}" type="presParOf" srcId="{51D36133-D9A2-4F20-B884-812829CB8FAB}" destId="{344A6CE5-0A92-432A-8513-52B38F86C161}" srcOrd="1" destOrd="0" presId="urn:microsoft.com/office/officeart/2008/layout/HalfCircleOrganizationChart"/>
    <dgm:cxn modelId="{41FC19CC-98AB-4CA6-B371-D1C66463757B}" type="presParOf" srcId="{51D36133-D9A2-4F20-B884-812829CB8FAB}" destId="{F58449A6-5365-411C-B5BC-6F624FD78C95}" srcOrd="2" destOrd="0" presId="urn:microsoft.com/office/officeart/2008/layout/HalfCircleOrganizationChart"/>
    <dgm:cxn modelId="{64D72281-1E7D-40C6-A8A2-86D4295F30FC}" type="presParOf" srcId="{51D36133-D9A2-4F20-B884-812829CB8FAB}" destId="{1FEBBEC8-F927-45D3-8DF7-DC7B8FEBFD51}" srcOrd="3" destOrd="0" presId="urn:microsoft.com/office/officeart/2008/layout/HalfCircleOrganizationChart"/>
    <dgm:cxn modelId="{C2B7F221-100F-402C-97FC-365AD8198404}" type="presParOf" srcId="{457EF45D-4DB6-4175-A83D-9E8D26A861F2}" destId="{3E03E68E-BB96-496B-B3DB-02F27E39D97B}" srcOrd="1" destOrd="0" presId="urn:microsoft.com/office/officeart/2008/layout/HalfCircleOrganizationChart"/>
    <dgm:cxn modelId="{917FC8EE-9B65-4663-AC2B-E67BA5CC43BA}" type="presParOf" srcId="{457EF45D-4DB6-4175-A83D-9E8D26A861F2}" destId="{1479DA9E-4C87-47DA-9BCC-FD39FE480141}" srcOrd="2" destOrd="0" presId="urn:microsoft.com/office/officeart/2008/layout/HalfCircleOrganizationChart"/>
    <dgm:cxn modelId="{06D113A8-926E-49EB-BF3A-36ACF0C70C29}" type="presParOf" srcId="{EC2976D9-9504-430E-8920-CC0A653912D2}" destId="{C14706AF-37F0-402A-AC0B-BCCDE462F81D}" srcOrd="2" destOrd="0" presId="urn:microsoft.com/office/officeart/2008/layout/HalfCircleOrganizationChart"/>
    <dgm:cxn modelId="{1B4B6846-A6F1-4337-811D-03F645A0104F}" type="presParOf" srcId="{36AF9D2D-5C28-469B-8C2F-FEF29EF645AD}" destId="{60FFB477-1AB9-49B7-B54E-86E83557B97A}" srcOrd="2" destOrd="0" presId="urn:microsoft.com/office/officeart/2008/layout/HalfCircleOrganizationChart"/>
    <dgm:cxn modelId="{6F02F92B-564B-4993-97D7-E9EE387A32F0}" type="presParOf" srcId="{36AF9D2D-5C28-469B-8C2F-FEF29EF645AD}" destId="{198D5041-62A4-4B07-8D6B-B39160F55B7C}" srcOrd="3" destOrd="0" presId="urn:microsoft.com/office/officeart/2008/layout/HalfCircleOrganizationChart"/>
    <dgm:cxn modelId="{35856063-F3D1-4000-8DCD-53BEC8C4527C}" type="presParOf" srcId="{198D5041-62A4-4B07-8D6B-B39160F55B7C}" destId="{EBC436B8-AC67-4590-94C7-EE3E23817FD8}" srcOrd="0" destOrd="0" presId="urn:microsoft.com/office/officeart/2008/layout/HalfCircleOrganizationChart"/>
    <dgm:cxn modelId="{2376D908-624F-4908-A450-BFB6D943729C}" type="presParOf" srcId="{EBC436B8-AC67-4590-94C7-EE3E23817FD8}" destId="{BF55E6C9-A6FA-481C-87C1-922DF338B7BD}" srcOrd="0" destOrd="0" presId="urn:microsoft.com/office/officeart/2008/layout/HalfCircleOrganizationChart"/>
    <dgm:cxn modelId="{82760897-EC57-4E3E-A8A0-6569E18A2823}" type="presParOf" srcId="{EBC436B8-AC67-4590-94C7-EE3E23817FD8}" destId="{F84CFAC7-0313-4020-A95B-94275E4E7480}" srcOrd="1" destOrd="0" presId="urn:microsoft.com/office/officeart/2008/layout/HalfCircleOrganizationChart"/>
    <dgm:cxn modelId="{5FC83DAE-77FD-42FC-9A9C-7E4B14EC6E18}" type="presParOf" srcId="{EBC436B8-AC67-4590-94C7-EE3E23817FD8}" destId="{7180520E-08F8-4075-8B6B-AFD75F11D478}" srcOrd="2" destOrd="0" presId="urn:microsoft.com/office/officeart/2008/layout/HalfCircleOrganizationChart"/>
    <dgm:cxn modelId="{3931CF24-8518-4F90-954E-60FE9414B3A5}" type="presParOf" srcId="{EBC436B8-AC67-4590-94C7-EE3E23817FD8}" destId="{4BE6F947-376E-4813-9EF7-F9940060877E}" srcOrd="3" destOrd="0" presId="urn:microsoft.com/office/officeart/2008/layout/HalfCircleOrganizationChart"/>
    <dgm:cxn modelId="{F70EF782-A943-40B8-80BE-F153CFACD91B}" type="presParOf" srcId="{198D5041-62A4-4B07-8D6B-B39160F55B7C}" destId="{530FD58E-BC68-4028-BEB8-9B107936E8BF}" srcOrd="1" destOrd="0" presId="urn:microsoft.com/office/officeart/2008/layout/HalfCircleOrganizationChart"/>
    <dgm:cxn modelId="{1F78CEB1-296E-4B6F-866C-84B6679264C2}" type="presParOf" srcId="{530FD58E-BC68-4028-BEB8-9B107936E8BF}" destId="{55733B93-45E3-4501-9AE0-691ED9EA6263}" srcOrd="0" destOrd="0" presId="urn:microsoft.com/office/officeart/2008/layout/HalfCircleOrganizationChart"/>
    <dgm:cxn modelId="{06440C57-FBB1-4E77-B236-EF7E38F69E4B}" type="presParOf" srcId="{530FD58E-BC68-4028-BEB8-9B107936E8BF}" destId="{8DE2956F-15F4-4C40-9AB9-77A94BFDAC84}" srcOrd="1" destOrd="0" presId="urn:microsoft.com/office/officeart/2008/layout/HalfCircleOrganizationChart"/>
    <dgm:cxn modelId="{1F6A3977-4DB1-465E-B570-84402E5FCA79}" type="presParOf" srcId="{8DE2956F-15F4-4C40-9AB9-77A94BFDAC84}" destId="{76E4CABD-91F6-4646-B25A-60B9FA653C3D}" srcOrd="0" destOrd="0" presId="urn:microsoft.com/office/officeart/2008/layout/HalfCircleOrganizationChart"/>
    <dgm:cxn modelId="{C06F0C14-E23A-4EE5-B749-965FB9D25531}" type="presParOf" srcId="{76E4CABD-91F6-4646-B25A-60B9FA653C3D}" destId="{90EB3C2C-F2B4-4BB8-A872-91BB58253ABF}" srcOrd="0" destOrd="0" presId="urn:microsoft.com/office/officeart/2008/layout/HalfCircleOrganizationChart"/>
    <dgm:cxn modelId="{CE8A7D06-2353-4667-A126-1E5FFC62DB56}" type="presParOf" srcId="{76E4CABD-91F6-4646-B25A-60B9FA653C3D}" destId="{11F5C876-1E0A-42FA-AF0C-FFF614F642E3}" srcOrd="1" destOrd="0" presId="urn:microsoft.com/office/officeart/2008/layout/HalfCircleOrganizationChart"/>
    <dgm:cxn modelId="{E68F43BF-F82C-4913-AA50-17EA0CA35592}" type="presParOf" srcId="{76E4CABD-91F6-4646-B25A-60B9FA653C3D}" destId="{7B67926A-33EF-4AA0-B17B-F5D0A4213458}" srcOrd="2" destOrd="0" presId="urn:microsoft.com/office/officeart/2008/layout/HalfCircleOrganizationChart"/>
    <dgm:cxn modelId="{63EEFDDF-A542-45AF-9E25-8361857592C9}" type="presParOf" srcId="{76E4CABD-91F6-4646-B25A-60B9FA653C3D}" destId="{B73F29B0-28BE-4690-845D-A423E30A3F83}" srcOrd="3" destOrd="0" presId="urn:microsoft.com/office/officeart/2008/layout/HalfCircleOrganizationChart"/>
    <dgm:cxn modelId="{A53F7F74-3F00-47BF-8A82-C4654EED81F7}" type="presParOf" srcId="{8DE2956F-15F4-4C40-9AB9-77A94BFDAC84}" destId="{8AAABBFC-36B8-4DF6-A737-E1DDB6025BE0}" srcOrd="1" destOrd="0" presId="urn:microsoft.com/office/officeart/2008/layout/HalfCircleOrganizationChart"/>
    <dgm:cxn modelId="{E15C8B43-D80F-43F9-8FAC-39EB501458F1}" type="presParOf" srcId="{8DE2956F-15F4-4C40-9AB9-77A94BFDAC84}" destId="{7A62AD0F-D828-4921-98E7-4776BBFBB6C6}" srcOrd="2" destOrd="0" presId="urn:microsoft.com/office/officeart/2008/layout/HalfCircleOrganizationChart"/>
    <dgm:cxn modelId="{25EF4C67-F2BE-4228-858C-E693031A5198}" type="presParOf" srcId="{198D5041-62A4-4B07-8D6B-B39160F55B7C}" destId="{7DE121AA-51C9-468E-AA85-B79C3B33CE94}" srcOrd="2" destOrd="0" presId="urn:microsoft.com/office/officeart/2008/layout/HalfCircleOrganizationChart"/>
    <dgm:cxn modelId="{5D247252-ABBE-4A6B-9F5D-0C26C299E948}" type="presParOf" srcId="{786EE9B0-2729-4EAC-81D7-FA7C8449C33F}" destId="{9CB6B418-EDFD-4801-A387-70F8A8AB0F36}" srcOrd="2" destOrd="0" presId="urn:microsoft.com/office/officeart/2008/layout/HalfCircleOrganizationChart"/>
    <dgm:cxn modelId="{8CB83482-2FF6-46E4-A48F-466B462C7BCE}" type="presParOf" srcId="{C9305D46-6569-437C-B651-C92F18400770}" destId="{BDA3834C-B455-4677-A00D-1DEE3B3222A1}" srcOrd="2" destOrd="0" presId="urn:microsoft.com/office/officeart/2008/layout/HalfCircleOrganizationChart"/>
    <dgm:cxn modelId="{141918A8-38EB-4CEB-8B9A-7D77390F69FE}" type="presParOf" srcId="{C9305D46-6569-437C-B651-C92F18400770}" destId="{D1D43AFA-250A-4FC1-AD67-92A67EE56671}" srcOrd="3" destOrd="0" presId="urn:microsoft.com/office/officeart/2008/layout/HalfCircleOrganizationChart"/>
    <dgm:cxn modelId="{D8232DAB-0C85-47EF-817D-B9B928AFE16D}" type="presParOf" srcId="{D1D43AFA-250A-4FC1-AD67-92A67EE56671}" destId="{8CF8FBD1-29BB-4F80-927D-60778A28F8C0}" srcOrd="0" destOrd="0" presId="urn:microsoft.com/office/officeart/2008/layout/HalfCircleOrganizationChart"/>
    <dgm:cxn modelId="{E3AECE5D-F10B-4170-A509-83DE83040F04}" type="presParOf" srcId="{8CF8FBD1-29BB-4F80-927D-60778A28F8C0}" destId="{7FCC47AA-7562-4783-968D-B0CBDF012CF6}" srcOrd="0" destOrd="0" presId="urn:microsoft.com/office/officeart/2008/layout/HalfCircleOrganizationChart"/>
    <dgm:cxn modelId="{7F9BDC2F-4626-4C12-B687-46A42E6CE284}" type="presParOf" srcId="{8CF8FBD1-29BB-4F80-927D-60778A28F8C0}" destId="{FDF1FB27-BE3B-470C-8D0B-0A161D7D2B48}" srcOrd="1" destOrd="0" presId="urn:microsoft.com/office/officeart/2008/layout/HalfCircleOrganizationChart"/>
    <dgm:cxn modelId="{DCBD0717-4ACC-4E7A-B9CD-2A449543FB9A}" type="presParOf" srcId="{8CF8FBD1-29BB-4F80-927D-60778A28F8C0}" destId="{F708ADCE-B5A1-4639-B959-D66B4E3E2036}" srcOrd="2" destOrd="0" presId="urn:microsoft.com/office/officeart/2008/layout/HalfCircleOrganizationChart"/>
    <dgm:cxn modelId="{31372FBF-3E6B-4487-B95E-186602DEE77F}" type="presParOf" srcId="{8CF8FBD1-29BB-4F80-927D-60778A28F8C0}" destId="{198C8AE6-3864-4C8C-AF47-38B2A7B150C6}" srcOrd="3" destOrd="0" presId="urn:microsoft.com/office/officeart/2008/layout/HalfCircleOrganizationChart"/>
    <dgm:cxn modelId="{D07DCD97-65DC-4F92-B6BF-E898D773BD5F}" type="presParOf" srcId="{D1D43AFA-250A-4FC1-AD67-92A67EE56671}" destId="{FB815B67-D53D-40E1-82A7-B513DEE563FD}" srcOrd="1" destOrd="0" presId="urn:microsoft.com/office/officeart/2008/layout/HalfCircleOrganizationChart"/>
    <dgm:cxn modelId="{F8528A00-1D82-4B24-A47C-4B0E6247AE2F}" type="presParOf" srcId="{FB815B67-D53D-40E1-82A7-B513DEE563FD}" destId="{DFCAC2F9-138F-43C2-9087-04C338BBD777}" srcOrd="0" destOrd="0" presId="urn:microsoft.com/office/officeart/2008/layout/HalfCircleOrganizationChart"/>
    <dgm:cxn modelId="{A04E56A2-A193-4B01-877C-18FCE764068C}" type="presParOf" srcId="{FB815B67-D53D-40E1-82A7-B513DEE563FD}" destId="{BBE809AD-D603-4A2E-9F32-7DB3F996F032}" srcOrd="1" destOrd="0" presId="urn:microsoft.com/office/officeart/2008/layout/HalfCircleOrganizationChart"/>
    <dgm:cxn modelId="{F829DDF0-07B1-4372-BCB2-91E112CD5E35}" type="presParOf" srcId="{BBE809AD-D603-4A2E-9F32-7DB3F996F032}" destId="{652EBB56-A53B-492E-BD8D-57F1428FE91B}" srcOrd="0" destOrd="0" presId="urn:microsoft.com/office/officeart/2008/layout/HalfCircleOrganizationChart"/>
    <dgm:cxn modelId="{17928DCD-F793-49E6-8CC1-B4DA55A8422B}" type="presParOf" srcId="{652EBB56-A53B-492E-BD8D-57F1428FE91B}" destId="{8EDC42E2-89AE-4A47-9F9A-14F6D00A4DAD}" srcOrd="0" destOrd="0" presId="urn:microsoft.com/office/officeart/2008/layout/HalfCircleOrganizationChart"/>
    <dgm:cxn modelId="{9948BEB7-01A2-48D4-B480-81B5BB1E37DC}" type="presParOf" srcId="{652EBB56-A53B-492E-BD8D-57F1428FE91B}" destId="{C4863050-3724-4358-8F5B-614FF55A98AC}" srcOrd="1" destOrd="0" presId="urn:microsoft.com/office/officeart/2008/layout/HalfCircleOrganizationChart"/>
    <dgm:cxn modelId="{FD96CD99-896C-4D41-94EC-E098D5BDAF86}" type="presParOf" srcId="{652EBB56-A53B-492E-BD8D-57F1428FE91B}" destId="{94AB31A7-4FEF-4E0C-B681-B40A646B1A35}" srcOrd="2" destOrd="0" presId="urn:microsoft.com/office/officeart/2008/layout/HalfCircleOrganizationChart"/>
    <dgm:cxn modelId="{BEFE1F9E-26DF-4584-9454-AFD44478838C}" type="presParOf" srcId="{652EBB56-A53B-492E-BD8D-57F1428FE91B}" destId="{59FD139C-45B7-42CB-9010-1429B9FF2C3C}" srcOrd="3" destOrd="0" presId="urn:microsoft.com/office/officeart/2008/layout/HalfCircleOrganizationChart"/>
    <dgm:cxn modelId="{82FCCFB2-1507-4CC4-AA81-21DAB2EE88BD}" type="presParOf" srcId="{BBE809AD-D603-4A2E-9F32-7DB3F996F032}" destId="{EE1338DF-5DE7-4DF7-8F2C-E2DA8FFDE3FF}" srcOrd="1" destOrd="0" presId="urn:microsoft.com/office/officeart/2008/layout/HalfCircleOrganizationChart"/>
    <dgm:cxn modelId="{564381E4-F9B9-4DCF-A09A-AE8FAD4E88CF}" type="presParOf" srcId="{BBE809AD-D603-4A2E-9F32-7DB3F996F032}" destId="{72AF194C-53C3-4499-BA08-677B796220F7}" srcOrd="2" destOrd="0" presId="urn:microsoft.com/office/officeart/2008/layout/HalfCircleOrganizationChart"/>
    <dgm:cxn modelId="{295DF796-0772-4373-9D1A-0E1746F5CE27}" type="presParOf" srcId="{D1D43AFA-250A-4FC1-AD67-92A67EE56671}" destId="{CF25AF7A-E143-47AC-A131-30AE60C5212B}" srcOrd="2" destOrd="0" presId="urn:microsoft.com/office/officeart/2008/layout/HalfCircleOrganizationChart"/>
    <dgm:cxn modelId="{C38B5F88-1EF1-4D19-BB18-E7D3ED229ECE}" type="presParOf" srcId="{0397797B-6F2D-43A9-8EE6-756EA3AEE7AC}" destId="{6160438E-5ACC-45E6-AC62-C2ED11604AD2}" srcOrd="2" destOrd="0" presId="urn:microsoft.com/office/officeart/2008/layout/HalfCircleOrganizationChar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CB1C6-0344-49EC-9769-56C7A03767CC}">
      <dsp:nvSpPr>
        <dsp:cNvPr id="0" name=""/>
        <dsp:cNvSpPr/>
      </dsp:nvSpPr>
      <dsp:spPr>
        <a:xfrm>
          <a:off x="742950" y="800100"/>
          <a:ext cx="2400300" cy="24003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9FAC80F-6B69-443B-A23F-0091E72BCF51}">
      <dsp:nvSpPr>
        <dsp:cNvPr id="0" name=""/>
        <dsp:cNvSpPr/>
      </dsp:nvSpPr>
      <dsp:spPr>
        <a:xfrm>
          <a:off x="1543050" y="1600200"/>
          <a:ext cx="800100" cy="8001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3100588-B8CA-45CC-87CA-90968DFE5C94}">
      <dsp:nvSpPr>
        <dsp:cNvPr id="0" name=""/>
        <dsp:cNvSpPr/>
      </dsp:nvSpPr>
      <dsp:spPr>
        <a:xfrm>
          <a:off x="3543300" y="0"/>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24130" rIns="24130" bIns="24130" numCol="1" spcCol="1270" anchor="ctr" anchorCtr="0">
          <a:noAutofit/>
        </a:bodyPr>
        <a:lstStyle/>
        <a:p>
          <a:pPr marL="0" lvl="0" indent="0" algn="l" defTabSz="844550">
            <a:lnSpc>
              <a:spcPct val="90000"/>
            </a:lnSpc>
            <a:spcBef>
              <a:spcPct val="0"/>
            </a:spcBef>
            <a:spcAft>
              <a:spcPct val="35000"/>
            </a:spcAft>
            <a:buNone/>
          </a:pPr>
          <a:r>
            <a:rPr lang="es-MX" sz="1900" kern="1200"/>
            <a:t>Muestra</a:t>
          </a:r>
        </a:p>
      </dsp:txBody>
      <dsp:txXfrm>
        <a:off x="3543300" y="0"/>
        <a:ext cx="1200150" cy="1000125"/>
      </dsp:txXfrm>
    </dsp:sp>
    <dsp:sp modelId="{13F426E7-F8A7-4C48-A4EA-C768E4A7DC9C}">
      <dsp:nvSpPr>
        <dsp:cNvPr id="0" name=""/>
        <dsp:cNvSpPr/>
      </dsp:nvSpPr>
      <dsp:spPr>
        <a:xfrm>
          <a:off x="3243262" y="500062"/>
          <a:ext cx="300037"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9EE9CB5-334A-424D-8F14-AD6873C85BC5}">
      <dsp:nvSpPr>
        <dsp:cNvPr id="0" name=""/>
        <dsp:cNvSpPr/>
      </dsp:nvSpPr>
      <dsp:spPr>
        <a:xfrm rot="5400000">
          <a:off x="1842187" y="600175"/>
          <a:ext cx="1500987" cy="1299162"/>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32307F2-7FDA-4FA5-8D69-938ED027A00F}">
      <dsp:nvSpPr>
        <dsp:cNvPr id="0" name=""/>
        <dsp:cNvSpPr/>
      </dsp:nvSpPr>
      <dsp:spPr>
        <a:xfrm>
          <a:off x="3543300" y="1000125"/>
          <a:ext cx="1200150"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35128" tIns="24130" rIns="24130" bIns="24130" numCol="1" spcCol="1270" anchor="ctr" anchorCtr="0">
          <a:noAutofit/>
        </a:bodyPr>
        <a:lstStyle/>
        <a:p>
          <a:pPr marL="0" lvl="0" indent="0" algn="l" defTabSz="844550">
            <a:lnSpc>
              <a:spcPct val="90000"/>
            </a:lnSpc>
            <a:spcBef>
              <a:spcPct val="0"/>
            </a:spcBef>
            <a:spcAft>
              <a:spcPct val="35000"/>
            </a:spcAft>
            <a:buNone/>
          </a:pPr>
          <a:r>
            <a:rPr lang="es-MX" sz="1900" kern="1200"/>
            <a:t>Poblacion</a:t>
          </a:r>
        </a:p>
      </dsp:txBody>
      <dsp:txXfrm>
        <a:off x="3543300" y="1000125"/>
        <a:ext cx="1200150" cy="1000125"/>
      </dsp:txXfrm>
    </dsp:sp>
    <dsp:sp modelId="{08E2511C-34B5-4BF3-9D77-0151AAB8C446}">
      <dsp:nvSpPr>
        <dsp:cNvPr id="0" name=""/>
        <dsp:cNvSpPr/>
      </dsp:nvSpPr>
      <dsp:spPr>
        <a:xfrm>
          <a:off x="3243262" y="1500187"/>
          <a:ext cx="300037"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2F84A9-3F1C-4D71-8E25-0F0924C19BB4}">
      <dsp:nvSpPr>
        <dsp:cNvPr id="0" name=""/>
        <dsp:cNvSpPr/>
      </dsp:nvSpPr>
      <dsp:spPr>
        <a:xfrm rot="5400000">
          <a:off x="2353871" y="1663927"/>
          <a:ext cx="1050691" cy="72609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CAC2F9-138F-43C2-9087-04C338BBD777}">
      <dsp:nvSpPr>
        <dsp:cNvPr id="0" name=""/>
        <dsp:cNvSpPr/>
      </dsp:nvSpPr>
      <dsp:spPr>
        <a:xfrm>
          <a:off x="3619658" y="1655480"/>
          <a:ext cx="629241" cy="410374"/>
        </a:xfrm>
        <a:custGeom>
          <a:avLst/>
          <a:gdLst/>
          <a:ahLst/>
          <a:cxnLst/>
          <a:rect l="0" t="0" r="0" b="0"/>
          <a:pathLst>
            <a:path>
              <a:moveTo>
                <a:pt x="0" y="0"/>
              </a:moveTo>
              <a:lnTo>
                <a:pt x="0" y="410374"/>
              </a:lnTo>
              <a:lnTo>
                <a:pt x="629241" y="4103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A3834C-B455-4677-A00D-1DEE3B3222A1}">
      <dsp:nvSpPr>
        <dsp:cNvPr id="0" name=""/>
        <dsp:cNvSpPr/>
      </dsp:nvSpPr>
      <dsp:spPr>
        <a:xfrm>
          <a:off x="2767634" y="684259"/>
          <a:ext cx="852023" cy="287262"/>
        </a:xfrm>
        <a:custGeom>
          <a:avLst/>
          <a:gdLst/>
          <a:ahLst/>
          <a:cxnLst/>
          <a:rect l="0" t="0" r="0" b="0"/>
          <a:pathLst>
            <a:path>
              <a:moveTo>
                <a:pt x="0" y="0"/>
              </a:moveTo>
              <a:lnTo>
                <a:pt x="0" y="143631"/>
              </a:lnTo>
              <a:lnTo>
                <a:pt x="852023" y="143631"/>
              </a:lnTo>
              <a:lnTo>
                <a:pt x="852023" y="2872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733B93-45E3-4501-9AE0-691ED9EA6263}">
      <dsp:nvSpPr>
        <dsp:cNvPr id="0" name=""/>
        <dsp:cNvSpPr/>
      </dsp:nvSpPr>
      <dsp:spPr>
        <a:xfrm>
          <a:off x="2853625" y="2626700"/>
          <a:ext cx="629241" cy="410374"/>
        </a:xfrm>
        <a:custGeom>
          <a:avLst/>
          <a:gdLst/>
          <a:ahLst/>
          <a:cxnLst/>
          <a:rect l="0" t="0" r="0" b="0"/>
          <a:pathLst>
            <a:path>
              <a:moveTo>
                <a:pt x="0" y="0"/>
              </a:moveTo>
              <a:lnTo>
                <a:pt x="0" y="410374"/>
              </a:lnTo>
              <a:lnTo>
                <a:pt x="629241" y="4103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FFB477-1AB9-49B7-B54E-86E83557B97A}">
      <dsp:nvSpPr>
        <dsp:cNvPr id="0" name=""/>
        <dsp:cNvSpPr/>
      </dsp:nvSpPr>
      <dsp:spPr>
        <a:xfrm>
          <a:off x="1915610" y="1655480"/>
          <a:ext cx="938014" cy="287262"/>
        </a:xfrm>
        <a:custGeom>
          <a:avLst/>
          <a:gdLst/>
          <a:ahLst/>
          <a:cxnLst/>
          <a:rect l="0" t="0" r="0" b="0"/>
          <a:pathLst>
            <a:path>
              <a:moveTo>
                <a:pt x="0" y="0"/>
              </a:moveTo>
              <a:lnTo>
                <a:pt x="0" y="143631"/>
              </a:lnTo>
              <a:lnTo>
                <a:pt x="938014" y="143631"/>
              </a:lnTo>
              <a:lnTo>
                <a:pt x="938014" y="2872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A3A426-BB1E-4277-BA25-AF4CC89406E3}">
      <dsp:nvSpPr>
        <dsp:cNvPr id="0" name=""/>
        <dsp:cNvSpPr/>
      </dsp:nvSpPr>
      <dsp:spPr>
        <a:xfrm>
          <a:off x="977595" y="2626700"/>
          <a:ext cx="697705" cy="410374"/>
        </a:xfrm>
        <a:custGeom>
          <a:avLst/>
          <a:gdLst/>
          <a:ahLst/>
          <a:cxnLst/>
          <a:rect l="0" t="0" r="0" b="0"/>
          <a:pathLst>
            <a:path>
              <a:moveTo>
                <a:pt x="0" y="0"/>
              </a:moveTo>
              <a:lnTo>
                <a:pt x="0" y="410374"/>
              </a:lnTo>
              <a:lnTo>
                <a:pt x="697705" y="41037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A1128B-C115-4054-B3DC-557ED11B43E0}">
      <dsp:nvSpPr>
        <dsp:cNvPr id="0" name=""/>
        <dsp:cNvSpPr/>
      </dsp:nvSpPr>
      <dsp:spPr>
        <a:xfrm>
          <a:off x="977595" y="1655480"/>
          <a:ext cx="938014" cy="287262"/>
        </a:xfrm>
        <a:custGeom>
          <a:avLst/>
          <a:gdLst/>
          <a:ahLst/>
          <a:cxnLst/>
          <a:rect l="0" t="0" r="0" b="0"/>
          <a:pathLst>
            <a:path>
              <a:moveTo>
                <a:pt x="938014" y="0"/>
              </a:moveTo>
              <a:lnTo>
                <a:pt x="938014" y="143631"/>
              </a:lnTo>
              <a:lnTo>
                <a:pt x="0" y="143631"/>
              </a:lnTo>
              <a:lnTo>
                <a:pt x="0" y="2872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33AF9A9-5318-4274-B242-EDC3321D95DF}">
      <dsp:nvSpPr>
        <dsp:cNvPr id="0" name=""/>
        <dsp:cNvSpPr/>
      </dsp:nvSpPr>
      <dsp:spPr>
        <a:xfrm>
          <a:off x="1915610" y="684259"/>
          <a:ext cx="852023" cy="287262"/>
        </a:xfrm>
        <a:custGeom>
          <a:avLst/>
          <a:gdLst/>
          <a:ahLst/>
          <a:cxnLst/>
          <a:rect l="0" t="0" r="0" b="0"/>
          <a:pathLst>
            <a:path>
              <a:moveTo>
                <a:pt x="852023" y="0"/>
              </a:moveTo>
              <a:lnTo>
                <a:pt x="852023" y="143631"/>
              </a:lnTo>
              <a:lnTo>
                <a:pt x="0" y="143631"/>
              </a:lnTo>
              <a:lnTo>
                <a:pt x="0" y="2872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842B669-266F-49A5-9707-CE5196813BE1}">
      <dsp:nvSpPr>
        <dsp:cNvPr id="0" name=""/>
        <dsp:cNvSpPr/>
      </dsp:nvSpPr>
      <dsp:spPr>
        <a:xfrm>
          <a:off x="2425655" y="301"/>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4D3458-83D8-41E2-A1D7-38D8A631295A}">
      <dsp:nvSpPr>
        <dsp:cNvPr id="0" name=""/>
        <dsp:cNvSpPr/>
      </dsp:nvSpPr>
      <dsp:spPr>
        <a:xfrm>
          <a:off x="2425655" y="301"/>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15D3992-CC76-43CD-BBF5-DE25950764E3}">
      <dsp:nvSpPr>
        <dsp:cNvPr id="0" name=""/>
        <dsp:cNvSpPr/>
      </dsp:nvSpPr>
      <dsp:spPr>
        <a:xfrm>
          <a:off x="2083676" y="123413"/>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Variables</a:t>
          </a:r>
        </a:p>
      </dsp:txBody>
      <dsp:txXfrm>
        <a:off x="2083676" y="123413"/>
        <a:ext cx="1367916" cy="437733"/>
      </dsp:txXfrm>
    </dsp:sp>
    <dsp:sp modelId="{FADAA9B4-76A7-4BA0-9EFB-805C7CEB5BCA}">
      <dsp:nvSpPr>
        <dsp:cNvPr id="0" name=""/>
        <dsp:cNvSpPr/>
      </dsp:nvSpPr>
      <dsp:spPr>
        <a:xfrm>
          <a:off x="1573631" y="97152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BBDCC-DD17-4774-9983-A3B114FE05A9}">
      <dsp:nvSpPr>
        <dsp:cNvPr id="0" name=""/>
        <dsp:cNvSpPr/>
      </dsp:nvSpPr>
      <dsp:spPr>
        <a:xfrm>
          <a:off x="1573631" y="97152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240C0-396A-4E95-A5DB-5C4F52CD6254}">
      <dsp:nvSpPr>
        <dsp:cNvPr id="0" name=""/>
        <dsp:cNvSpPr/>
      </dsp:nvSpPr>
      <dsp:spPr>
        <a:xfrm>
          <a:off x="1231652" y="1094634"/>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Cuantitativas</a:t>
          </a:r>
        </a:p>
      </dsp:txBody>
      <dsp:txXfrm>
        <a:off x="1231652" y="1094634"/>
        <a:ext cx="1367916" cy="437733"/>
      </dsp:txXfrm>
    </dsp:sp>
    <dsp:sp modelId="{BA5CF80C-850C-4001-9296-C25914A919D0}">
      <dsp:nvSpPr>
        <dsp:cNvPr id="0" name=""/>
        <dsp:cNvSpPr/>
      </dsp:nvSpPr>
      <dsp:spPr>
        <a:xfrm>
          <a:off x="635616" y="194274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D62592-8CA8-4DEE-B175-D0CEB853B226}">
      <dsp:nvSpPr>
        <dsp:cNvPr id="0" name=""/>
        <dsp:cNvSpPr/>
      </dsp:nvSpPr>
      <dsp:spPr>
        <a:xfrm>
          <a:off x="635616" y="194274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F2A483-EEC9-4BFD-AD40-8CAA98AC5F46}">
      <dsp:nvSpPr>
        <dsp:cNvPr id="0" name=""/>
        <dsp:cNvSpPr/>
      </dsp:nvSpPr>
      <dsp:spPr>
        <a:xfrm>
          <a:off x="293637" y="206585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Continuas</a:t>
          </a:r>
          <a:endParaRPr lang="es-MX" sz="900" kern="1200"/>
        </a:p>
      </dsp:txBody>
      <dsp:txXfrm>
        <a:off x="293637" y="2065855"/>
        <a:ext cx="1367916" cy="437733"/>
      </dsp:txXfrm>
    </dsp:sp>
    <dsp:sp modelId="{344A6CE5-0A92-432A-8513-52B38F86C161}">
      <dsp:nvSpPr>
        <dsp:cNvPr id="0" name=""/>
        <dsp:cNvSpPr/>
      </dsp:nvSpPr>
      <dsp:spPr>
        <a:xfrm>
          <a:off x="1579975" y="2913963"/>
          <a:ext cx="794383"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58449A6-5365-411C-B5BC-6F624FD78C95}">
      <dsp:nvSpPr>
        <dsp:cNvPr id="0" name=""/>
        <dsp:cNvSpPr/>
      </dsp:nvSpPr>
      <dsp:spPr>
        <a:xfrm>
          <a:off x="1579975" y="2913963"/>
          <a:ext cx="794383"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D38724-5096-48A4-AA6E-4E0107B82770}">
      <dsp:nvSpPr>
        <dsp:cNvPr id="0" name=""/>
        <dsp:cNvSpPr/>
      </dsp:nvSpPr>
      <dsp:spPr>
        <a:xfrm>
          <a:off x="1182783" y="3037075"/>
          <a:ext cx="158876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Valores infinitos o intermedios entre dos puntos, como el peso o la altura</a:t>
          </a:r>
          <a:endParaRPr lang="es-MX" sz="900" kern="1200"/>
        </a:p>
      </dsp:txBody>
      <dsp:txXfrm>
        <a:off x="1182783" y="3037075"/>
        <a:ext cx="1588766" cy="437733"/>
      </dsp:txXfrm>
    </dsp:sp>
    <dsp:sp modelId="{F84CFAC7-0313-4020-A95B-94275E4E7480}">
      <dsp:nvSpPr>
        <dsp:cNvPr id="0" name=""/>
        <dsp:cNvSpPr/>
      </dsp:nvSpPr>
      <dsp:spPr>
        <a:xfrm>
          <a:off x="2511645" y="194274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80520E-08F8-4075-8B6B-AFD75F11D478}">
      <dsp:nvSpPr>
        <dsp:cNvPr id="0" name=""/>
        <dsp:cNvSpPr/>
      </dsp:nvSpPr>
      <dsp:spPr>
        <a:xfrm>
          <a:off x="2511645" y="194274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55E6C9-A6FA-481C-87C1-922DF338B7BD}">
      <dsp:nvSpPr>
        <dsp:cNvPr id="0" name=""/>
        <dsp:cNvSpPr/>
      </dsp:nvSpPr>
      <dsp:spPr>
        <a:xfrm>
          <a:off x="2169666" y="206585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Discretas </a:t>
          </a:r>
          <a:endParaRPr lang="es-MX" sz="900" kern="1200"/>
        </a:p>
      </dsp:txBody>
      <dsp:txXfrm>
        <a:off x="2169666" y="2065855"/>
        <a:ext cx="1367916" cy="437733"/>
      </dsp:txXfrm>
    </dsp:sp>
    <dsp:sp modelId="{11F5C876-1E0A-42FA-AF0C-FFF614F642E3}">
      <dsp:nvSpPr>
        <dsp:cNvPr id="0" name=""/>
        <dsp:cNvSpPr/>
      </dsp:nvSpPr>
      <dsp:spPr>
        <a:xfrm>
          <a:off x="3400791" y="2913963"/>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67926A-33EF-4AA0-B17B-F5D0A4213458}">
      <dsp:nvSpPr>
        <dsp:cNvPr id="0" name=""/>
        <dsp:cNvSpPr/>
      </dsp:nvSpPr>
      <dsp:spPr>
        <a:xfrm>
          <a:off x="3400791" y="2913963"/>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EB3C2C-F2B4-4BB8-A872-91BB58253ABF}">
      <dsp:nvSpPr>
        <dsp:cNvPr id="0" name=""/>
        <dsp:cNvSpPr/>
      </dsp:nvSpPr>
      <dsp:spPr>
        <a:xfrm>
          <a:off x="3058812" y="303707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Valores contables e intermedios que no existen, como el número de hijos</a:t>
          </a:r>
          <a:endParaRPr lang="es-MX" sz="900" kern="1200"/>
        </a:p>
      </dsp:txBody>
      <dsp:txXfrm>
        <a:off x="3058812" y="3037075"/>
        <a:ext cx="1367916" cy="437733"/>
      </dsp:txXfrm>
    </dsp:sp>
    <dsp:sp modelId="{FDF1FB27-BE3B-470C-8D0B-0A161D7D2B48}">
      <dsp:nvSpPr>
        <dsp:cNvPr id="0" name=""/>
        <dsp:cNvSpPr/>
      </dsp:nvSpPr>
      <dsp:spPr>
        <a:xfrm>
          <a:off x="3277679" y="97152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708ADCE-B5A1-4639-B959-D66B4E3E2036}">
      <dsp:nvSpPr>
        <dsp:cNvPr id="0" name=""/>
        <dsp:cNvSpPr/>
      </dsp:nvSpPr>
      <dsp:spPr>
        <a:xfrm>
          <a:off x="3277679" y="97152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FCC47AA-7562-4783-968D-B0CBDF012CF6}">
      <dsp:nvSpPr>
        <dsp:cNvPr id="0" name=""/>
        <dsp:cNvSpPr/>
      </dsp:nvSpPr>
      <dsp:spPr>
        <a:xfrm>
          <a:off x="2935700" y="1094634"/>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kern="1200"/>
            <a:t>Cualitativas</a:t>
          </a:r>
        </a:p>
      </dsp:txBody>
      <dsp:txXfrm>
        <a:off x="2935700" y="1094634"/>
        <a:ext cx="1367916" cy="437733"/>
      </dsp:txXfrm>
    </dsp:sp>
    <dsp:sp modelId="{C4863050-3724-4358-8F5B-614FF55A98AC}">
      <dsp:nvSpPr>
        <dsp:cNvPr id="0" name=""/>
        <dsp:cNvSpPr/>
      </dsp:nvSpPr>
      <dsp:spPr>
        <a:xfrm>
          <a:off x="4166824" y="1942742"/>
          <a:ext cx="683958" cy="68395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AB31A7-4FEF-4E0C-B681-B40A646B1A35}">
      <dsp:nvSpPr>
        <dsp:cNvPr id="0" name=""/>
        <dsp:cNvSpPr/>
      </dsp:nvSpPr>
      <dsp:spPr>
        <a:xfrm>
          <a:off x="4166824" y="1942742"/>
          <a:ext cx="683958" cy="68395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DC42E2-89AE-4A47-9F9A-14F6D00A4DAD}">
      <dsp:nvSpPr>
        <dsp:cNvPr id="0" name=""/>
        <dsp:cNvSpPr/>
      </dsp:nvSpPr>
      <dsp:spPr>
        <a:xfrm>
          <a:off x="3824845" y="2065855"/>
          <a:ext cx="1367916" cy="43773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MX" sz="900" b="0" i="0" kern="1200"/>
            <a:t>Características que no se miden con números, como el color del pelo</a:t>
          </a:r>
          <a:endParaRPr lang="es-MX" sz="900" kern="1200"/>
        </a:p>
      </dsp:txBody>
      <dsp:txXfrm>
        <a:off x="3824845" y="2065855"/>
        <a:ext cx="1367916" cy="437733"/>
      </dsp:txXfrm>
    </dsp:sp>
  </dsp:spTree>
</dsp:drawing>
</file>

<file path=word/diagrams/layout1.xml><?xml version="1.0" encoding="utf-8"?>
<dgm:layoutDef xmlns:dgm="http://schemas.openxmlformats.org/drawingml/2006/diagram" xmlns:a="http://schemas.openxmlformats.org/drawingml/2006/main" uniqueId="urn:microsoft.com/office/officeart/2005/8/layout/target1">
  <dgm:title val=""/>
  <dgm:desc val=""/>
  <dgm:catLst>
    <dgm:cat type="relationship" pri="25000"/>
    <dgm:cat type="convert" pri="2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ite">
    <dgm:varLst>
      <dgm:chMax val="5"/>
      <dgm:dir/>
      <dgm:resizeHandles val="exact"/>
    </dgm:varLst>
    <dgm:alg type="composite">
      <dgm:param type="ar" val="1.25"/>
    </dgm:alg>
    <dgm:shape xmlns:r="http://schemas.openxmlformats.org/officeDocument/2006/relationships" r:blip="">
      <dgm:adjLst/>
    </dgm:shape>
    <dgm:presOf/>
    <dgm:choose name="Name0">
      <dgm:if name="Name1" func="var" arg="dir" op="equ" val="norm">
        <dgm:choose name="Name2">
          <dgm:if name="Name3" axis="ch" ptType="node" func="cnt" op="equ" val="0">
            <dgm:constrLst/>
          </dgm:if>
          <dgm:if name="Name4"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r" for="ch" forName="line1" refType="l" refFor="ch" refForName="text1"/>
              <dgm:constr type="h" for="ch" forName="line1"/>
              <dgm:constr type="l" for="ch" forName="d1" refType="w" fact="0.3"/>
              <dgm:constr type="b" for="ch" forName="d1" refType="h" fact="0.625"/>
              <dgm:constr type="w" for="ch" forName="d1" refType="w" fact="0.32475"/>
              <dgm:constr type="h" for="ch" forName="d1" refType="h" fact="0.469"/>
            </dgm:constrLst>
          </dgm:if>
          <dgm:if name="Name5"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312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312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44325"/>
              <dgm:constr type="b" for="ch" forName="d2" refType="h" fact="0.7975"/>
              <dgm:constr type="w" for="ch" forName="d2" refType="w" fact="0.1815"/>
              <dgm:constr type="h" for="ch" forName="d2" refType="h" fact="0.3283"/>
            </dgm:constrLst>
          </dgm:if>
          <dgm:if name="Name6"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21875"/>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21875"/>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86"/>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7175"/>
              <dgm:constr type="b" for="ch" forName="d3" refType="h" fact="0.83375"/>
              <dgm:constr type="w" for="ch" forName="d3" refType="w" fact="0.1527"/>
              <dgm:constr type="h" for="ch" forName="d3" refType="h" fact="0.287"/>
            </dgm:constrLst>
          </dgm:if>
          <dgm:if name="Name7"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7938"/>
              <dgm:constr type="r" for="ch" forName="text1" refType="w"/>
              <dgm:constr type="t" for="ch" forName="text1"/>
              <dgm:constr type="l" for="ch" forName="line1" refType="w" fact="0.625"/>
              <dgm:constr type="ctrY" for="ch" forName="line1" refType="ctrY" refFor="ch" refForName="text1"/>
              <dgm:constr type="w" for="ch" forName="line1" refType="w" fact="0.075"/>
              <dgm:constr type="h" for="ch" forName="line1"/>
              <dgm:constr type="l" for="ch" forName="d1" refType="w" fact="0.29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7938"/>
              <dgm:constr type="r" for="ch" forName="text2" refType="w"/>
              <dgm:constr type="t" for="ch" forName="text2" refType="b" refFor="ch" refForName="text1"/>
              <dgm:constr type="l" for="ch" forName="line2" refType="w" fact="0.625"/>
              <dgm:constr type="ctrY" for="ch" forName="line2" refType="ctrY" refFor="ch" refForName="text2"/>
              <dgm:constr type="w" for="ch" forName="line2" refType="w" fact="0.075"/>
              <dgm:constr type="h" for="ch" forName="line2"/>
              <dgm:constr type="l" for="ch" forName="d2" refType="w" fact="0.3662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r" for="ch" forName="text3" refType="w"/>
              <dgm:constr type="t" for="ch" forName="text3" refType="b" refFor="ch" refForName="text2"/>
              <dgm:constr type="l" for="ch" forName="line3" refType="w" fact="0.625"/>
              <dgm:constr type="ctrY" for="ch" forName="line3" refType="ctrY" refFor="ch" refForName="text3"/>
              <dgm:constr type="w" for="ch" forName="line3" refType="w" fact="0.075"/>
              <dgm:constr type="h" for="ch" forName="line3"/>
              <dgm:constr type="l" for="ch" forName="d3" refType="w" fact="0.425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r" for="ch" forName="text4" refType="w"/>
              <dgm:constr type="t" for="ch" forName="text4" refType="b" refFor="ch" refForName="text3"/>
              <dgm:constr type="l" for="ch" forName="line4" refType="w" fact="0.625"/>
              <dgm:constr type="ctrY" for="ch" forName="line4" refType="ctrY" refFor="ch" refForName="text4"/>
              <dgm:constr type="w" for="ch" forName="line4" refType="w" fact="0.075"/>
              <dgm:constr type="h" for="ch" forName="line4"/>
              <dgm:constr type="l" for="ch" forName="d4" refType="w" fact="0.48525"/>
              <dgm:constr type="b" for="ch" forName="d4" refType="h" fact="0.85594"/>
              <dgm:constr type="w" for="ch" forName="d4" refType="w" fact="0.1394"/>
              <dgm:constr type="h" for="ch" forName="d4" refType="h" fact="0.2282"/>
            </dgm:constrLst>
          </dgm:if>
          <dgm:if name="Name8"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3"/>
              <dgm:constr type="ctrY" for="ch" forName="circle1" refType="h" fact="0.625"/>
              <dgm:constr type="w" for="ch" forName="text1" refType="w" fact="0.3"/>
              <dgm:constr type="h" for="ch" forName="text1" refType="h" fact="0.1324"/>
              <dgm:constr type="r" for="ch" forName="text1" refType="w"/>
              <dgm:constr type="ctrY" for="ch" forName="text1" refType="h" fact="0.13"/>
              <dgm:constr type="l" for="ch" forName="line1" refType="w" fact="0.625"/>
              <dgm:constr type="ctrY" for="ch" forName="line1" refType="ctrY" refFor="ch" refForName="text1"/>
              <dgm:constr type="w" for="ch" forName="line1" refType="w" fact="0.075"/>
              <dgm:constr type="h" for="ch" forName="line1"/>
              <dgm:constr type="l" for="ch" forName="d1" refType="w" fact="0.3"/>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3"/>
              <dgm:constr type="ctrY" for="ch" forName="circle2" refType="h" fact="0.625"/>
              <dgm:constr type="w" for="ch" forName="text2" refType="w" fact="0.3"/>
              <dgm:constr type="h" for="ch" forName="text2" refType="h" fact="0.1324"/>
              <dgm:constr type="r" for="ch" forName="text2" refType="w"/>
              <dgm:constr type="ctrY" for="ch" forName="text2" refType="h" fact="0.27"/>
              <dgm:constr type="l" for="ch" forName="line2" refType="w" fact="0.625"/>
              <dgm:constr type="ctrY" for="ch" forName="line2" refType="ctrY" refFor="ch" refForName="text2"/>
              <dgm:constr type="w" for="ch" forName="line2" refType="w" fact="0.075"/>
              <dgm:constr type="h" for="ch" forName="line2"/>
              <dgm:constr type="l" for="ch" forName="d2" refType="w" fact="0.3498"/>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r" for="ch" forName="text3" refType="w"/>
              <dgm:constr type="ctrY" for="ch" forName="text3" refType="h" fact="0.41"/>
              <dgm:constr type="l" for="ch" forName="line3" refType="w" fact="0.625"/>
              <dgm:constr type="ctrY" for="ch" forName="line3" refType="ctrY" refFor="ch" refForName="text3"/>
              <dgm:constr type="w" for="ch" forName="line3" refType="w" fact="0.075"/>
              <dgm:constr type="h" for="ch" forName="line3"/>
              <dgm:constr type="l" for="ch" forName="d3" refType="w" fact="0.394"/>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r" for="ch" forName="text4" refType="w"/>
              <dgm:constr type="ctrY" for="ch" forName="text4" refType="h" fact="0.547"/>
              <dgm:constr type="l" for="ch" forName="line4" refType="w" fact="0.625"/>
              <dgm:constr type="ctrY" for="ch" forName="line4" refType="ctrY" refFor="ch" refForName="text4"/>
              <dgm:constr type="w" for="ch" forName="line4" refType="w" fact="0.075"/>
              <dgm:constr type="h" for="ch" forName="line4"/>
              <dgm:constr type="l" for="ch" forName="d4" refType="w" fact="0.446"/>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r" for="ch" forName="text5" refType="w"/>
              <dgm:constr type="ctrY" for="ch" forName="text5" refType="h" fact="0.68"/>
              <dgm:constr type="l" for="ch" forName="line5" refType="w" fact="0.625"/>
              <dgm:constr type="ctrY" for="ch" forName="line5" refType="ctrY" refFor="ch" refForName="text5"/>
              <dgm:constr type="w" for="ch" forName="line5" refType="w" fact="0.075"/>
              <dgm:constr type="h" for="ch" forName="line5"/>
              <dgm:constr type="l" for="ch" forName="d5" refType="w" fact="0.495"/>
              <dgm:constr type="b" for="ch" forName="d5" refType="h" fact="0.855"/>
              <dgm:constr type="w" for="ch" forName="d5" refType="w" fact="0.13"/>
              <dgm:constr type="h" for="ch" forName="d5" refType="h" fact="0.175"/>
            </dgm:constrLst>
          </dgm:if>
          <dgm:else name="Name9"/>
        </dgm:choose>
      </dgm:if>
      <dgm:else name="Name10">
        <dgm:choose name="Name11">
          <dgm:if name="Name12" axis="ch" ptType="node" func="cnt" op="equ" val="0">
            <dgm:constrLst/>
          </dgm:if>
          <dgm:if name="Name13" axis="ch" ptType="node" func="cnt" op="equ" val="1">
            <dgm:constrLst>
              <dgm:constr type="primFontSz" for="des" ptType="node" op="equ" val="65"/>
              <dgm:constr type="w" for="ch" forName="circle1" refType="w" fact="0.6"/>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Lst>
          </dgm:if>
          <dgm:if name="Name14" axis="ch" ptType="node" func="cnt" op="equ" val="2">
            <dgm:constrLst>
              <dgm:constr type="primFontSz" for="des" ptType="node" op="equ" val="65"/>
              <dgm:constr type="w" for="ch" forName="circle1" refType="w" fact="0.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312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5"/>
              <dgm:constr type="h" for="ch" forName="d1" refType="h" fact="0.469"/>
              <dgm:constr type="w" for="ch" forName="circle2" refType="w" fact="0.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312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55675"/>
              <dgm:constr type="b" for="ch" forName="d2" refType="h" fact="0.7975"/>
              <dgm:constr type="w" for="ch" forName="d2" refType="w" fact="0.1815"/>
              <dgm:constr type="h" for="ch" forName="d2" refType="h" fact="0.3283"/>
            </dgm:constrLst>
          </dgm:if>
          <dgm:if name="Name15" axis="ch" ptType="node" func="cnt" op="equ" val="3">
            <dgm:constrLst>
              <dgm:constr type="primFontSz" for="des" ptType="node" op="equ" val="65"/>
              <dgm:constr type="w" for="ch" forName="circle1" refType="w" fact="0.12"/>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21875"/>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7"/>
              <dgm:constr type="h" for="ch" forName="d1" refType="h" fact="0.5155"/>
              <dgm:constr type="w" for="ch" forName="circle2" refType="w" fact="0.36"/>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21875"/>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14"/>
              <dgm:constr type="b" for="ch" forName="d2" refType="h" fact="0.72969"/>
              <dgm:constr type="w" for="ch" forName="d2" refType="w" fact="0.2387"/>
              <dgm:constr type="h" for="ch" forName="d2" refType="h" fact="0.4017"/>
              <dgm:constr type="w" for="ch" forName="circle3" refType="w" fact="0.6"/>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21875"/>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2825"/>
              <dgm:constr type="b" for="ch" forName="d3" refType="h" fact="0.83375"/>
              <dgm:constr type="w" for="ch" forName="d3" refType="w" fact="0.1527"/>
              <dgm:constr type="h" for="ch" forName="d3" refType="h" fact="0.287"/>
            </dgm:constrLst>
          </dgm:if>
          <dgm:if name="Name16" axis="ch" ptType="node" func="cnt" op="equ" val="4">
            <dgm:constrLst>
              <dgm:constr type="primFontSz" for="des" ptType="node" op="equ" val="65"/>
              <dgm:constr type="w" for="ch" forName="circle1" refType="w" fact="0.085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7938"/>
              <dgm:constr type="l" for="ch" forName="text1"/>
              <dgm:constr type="t" for="ch" forName="text1"/>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05"/>
              <dgm:constr type="b" for="ch" forName="d1" refType="h" fact="0.62"/>
              <dgm:constr type="w" for="ch" forName="d1" refType="w" fact="0.33"/>
              <dgm:constr type="h" for="ch" forName="d1" refType="h" fact="0.53"/>
              <dgm:constr type="w" for="ch" forName="circle2" refType="w" fact="0.2571"/>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7938"/>
              <dgm:constr type="l" for="ch" forName="text2"/>
              <dgm:constr type="t" for="ch" forName="text2" refType="b" refFor="ch" refForName="text1"/>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3375"/>
              <dgm:constr type="b" for="ch" forName="d2" refType="h" fact="0.70438"/>
              <dgm:constr type="w" for="ch" forName="d2" refType="w" fact="0.2585"/>
              <dgm:constr type="h" for="ch" forName="d2" refType="h" fact="0.43525"/>
              <dgm:constr type="w" for="ch" forName="circle3" refType="w" fact="0.4285"/>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7938"/>
              <dgm:constr type="l" for="ch" forName="text3"/>
              <dgm:constr type="t" for="ch" forName="text3" refType="b" refFor="ch" refForName="text2"/>
              <dgm:constr type="l" for="ch" forName="line3" refType="r" refFor="ch" refForName="text3"/>
              <dgm:constr type="ctrY" for="ch" forName="line3" refType="ctrY" refFor="ch" refForName="text3"/>
              <dgm:constr type="r" for="ch" forName="line3" refType="w" fact="0.375"/>
              <dgm:constr type="h" for="ch" forName="line3"/>
              <dgm:constr type="r" for="ch" forName="d3" refType="w" fact="0.5745"/>
              <dgm:constr type="b" for="ch" forName="d3" refType="h" fact="0.78031"/>
              <dgm:constr type="w" for="ch" forName="d3" refType="w" fact="0.1995"/>
              <dgm:constr type="h" for="ch" forName="d3" refType="h" fact="0.332"/>
              <dgm:constr type="w" for="ch" forName="circle4" refType="w" fact="0.6"/>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7938"/>
              <dgm:constr type="l" for="ch" forName="text4"/>
              <dgm:constr type="t" for="ch" forName="text4" refType="b" refFor="ch" refForName="text3"/>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1475"/>
              <dgm:constr type="b" for="ch" forName="d4" refType="h" fact="0.85594"/>
              <dgm:constr type="w" for="ch" forName="d4" refType="w" fact="0.1394"/>
              <dgm:constr type="h" for="ch" forName="d4" refType="h" fact="0.2282"/>
            </dgm:constrLst>
          </dgm:if>
          <dgm:if name="Name17" axis="ch" ptType="node" func="cnt" op="gte" val="5">
            <dgm:constrLst>
              <dgm:constr type="primFontSz" for="des" ptType="node" op="equ" val="65"/>
              <dgm:constr type="w" for="ch" forName="circle1" refType="w" fact="0.0667"/>
              <dgm:constr type="h" for="ch" forName="circle1" refType="w" refFor="ch" refForName="circle1"/>
              <dgm:constr type="ctrX" for="ch" forName="circle1" refType="w" fact="0.7"/>
              <dgm:constr type="ctrY" for="ch" forName="circle1" refType="h" fact="0.625"/>
              <dgm:constr type="w" for="ch" forName="text1" refType="w" fact="0.3"/>
              <dgm:constr type="h" for="ch" forName="text1" refType="h" fact="0.1324"/>
              <dgm:constr type="l" for="ch" forName="text1"/>
              <dgm:constr type="ctrY" for="ch" forName="text1" refType="h" fact="0.13"/>
              <dgm:constr type="l" for="ch" forName="line1" refType="r" refFor="ch" refForName="text1"/>
              <dgm:constr type="ctrY" for="ch" forName="line1" refType="ctrY" refFor="ch" refForName="text1"/>
              <dgm:constr type="r" for="ch" forName="line1" refType="w" fact="0.375"/>
              <dgm:constr type="h" for="ch" forName="line1"/>
              <dgm:constr type="r" for="ch" forName="d1" refType="w" fact="0.7"/>
              <dgm:constr type="b" for="ch" forName="d1" refType="h" fact="0.625"/>
              <dgm:constr type="w" for="ch" forName="d1" refType="w" fact="0.3245"/>
              <dgm:constr type="h" for="ch" forName="d1" refType="h" fact="0.495"/>
              <dgm:constr type="w" for="ch" forName="circle2" refType="w" fact="0.2"/>
              <dgm:constr type="h" for="ch" forName="circle2" refType="w" refFor="ch" refForName="circle2"/>
              <dgm:constr type="ctrX" for="ch" forName="circle2" refType="w" fact="0.7"/>
              <dgm:constr type="ctrY" for="ch" forName="circle2" refType="h" fact="0.625"/>
              <dgm:constr type="w" for="ch" forName="text2" refType="w" fact="0.3"/>
              <dgm:constr type="h" for="ch" forName="text2" refType="h" fact="0.1324"/>
              <dgm:constr type="l" for="ch" forName="text2"/>
              <dgm:constr type="ctrY" for="ch" forName="text2" refType="h" fact="0.27"/>
              <dgm:constr type="l" for="ch" forName="line2" refType="r" refFor="ch" refForName="text2"/>
              <dgm:constr type="ctrY" for="ch" forName="line2" refType="ctrY" refFor="ch" refForName="text2"/>
              <dgm:constr type="r" for="ch" forName="line2" refType="w" fact="0.375"/>
              <dgm:constr type="h" for="ch" forName="line2"/>
              <dgm:constr type="r" for="ch" forName="d2" refType="w" fact="0.6502"/>
              <dgm:constr type="b" for="ch" forName="d2" refType="h" fact="0.682"/>
              <dgm:constr type="w" for="ch" forName="d2" refType="w" fact="0.275"/>
              <dgm:constr type="h" for="ch" forName="d2" refType="h" fact="0.41215"/>
              <dgm:constr type="w" for="ch" forName="circle3" refType="w" fact="0.3334"/>
              <dgm:constr type="h" for="ch" forName="circle3" refType="w" refFor="ch" refForName="circle3"/>
              <dgm:constr type="ctrX" for="ch" forName="circle3" refType="ctrX" refFor="ch" refForName="circle1"/>
              <dgm:constr type="ctrY" for="ch" forName="circle3" refType="ctrY" refFor="ch" refForName="circle1"/>
              <dgm:constr type="w" for="ch" forName="text3" refType="w" fact="0.3"/>
              <dgm:constr type="h" for="ch" forName="text3" refType="h" fact="0.1324"/>
              <dgm:constr type="l" for="ch" forName="text3"/>
              <dgm:constr type="ctrY" for="ch" forName="text3" refType="h" fact="0.41"/>
              <dgm:constr type="l" for="ch" forName="line3" refType="r" refFor="ch" refForName="text3"/>
              <dgm:constr type="ctrY" for="ch" forName="line3" refType="ctrY" refFor="ch" refForName="text3"/>
              <dgm:constr type="r" for="ch" forName="line3" refType="w" fact="0.375"/>
              <dgm:constr type="h" for="ch" forName="line3"/>
              <dgm:constr type="r" for="ch" forName="d3" refType="w" fact="0.606"/>
              <dgm:constr type="b" for="ch" forName="d3" refType="h" fact="0.735"/>
              <dgm:constr type="w" for="ch" forName="d3" refType="w" fact="0.231"/>
              <dgm:constr type="h" for="ch" forName="d3" refType="h" fact="0.325"/>
              <dgm:constr type="w" for="ch" forName="circle4" refType="w" fact="0.4667"/>
              <dgm:constr type="h" for="ch" forName="circle4" refType="w" refFor="ch" refForName="circle4"/>
              <dgm:constr type="ctrX" for="ch" forName="circle4" refType="ctrX" refFor="ch" refForName="circle1"/>
              <dgm:constr type="ctrY" for="ch" forName="circle4" refType="ctrY" refFor="ch" refForName="circle1"/>
              <dgm:constr type="w" for="ch" forName="text4" refType="w" fact="0.3"/>
              <dgm:constr type="h" for="ch" forName="text4" refType="h" fact="0.1324"/>
              <dgm:constr type="l" for="ch" forName="text4"/>
              <dgm:constr type="ctrY" for="ch" forName="text4" refType="h" fact="0.547"/>
              <dgm:constr type="l" for="ch" forName="line4" refType="r" refFor="ch" refForName="text4"/>
              <dgm:constr type="ctrY" for="ch" forName="line4" refType="ctrY" refFor="ch" refForName="text4"/>
              <dgm:constr type="r" for="ch" forName="line4" refType="w" fact="0.375"/>
              <dgm:constr type="h" for="ch" forName="line4"/>
              <dgm:constr type="r" for="ch" forName="d4" refType="w" fact="0.554"/>
              <dgm:constr type="b" for="ch" forName="d4" refType="h" fact="0.795"/>
              <dgm:constr type="w" for="ch" forName="d4" refType="w" fact="0.179"/>
              <dgm:constr type="h" for="ch" forName="d4" refType="h" fact="0.248"/>
              <dgm:constr type="w" for="ch" forName="circle5" refType="w" fact="0.6"/>
              <dgm:constr type="h" for="ch" forName="circle5" refType="w" refFor="ch" refForName="circle5"/>
              <dgm:constr type="ctrX" for="ch" forName="circle5" refType="ctrX" refFor="ch" refForName="circle1"/>
              <dgm:constr type="ctrY" for="ch" forName="circle5" refType="ctrY" refFor="ch" refForName="circle1"/>
              <dgm:constr type="w" for="ch" forName="text5" refType="w" fact="0.3"/>
              <dgm:constr type="h" for="ch" forName="text5" refType="h" fact="0.1324"/>
              <dgm:constr type="l" for="ch" forName="text5"/>
              <dgm:constr type="ctrY" for="ch" forName="text5" refType="h" fact="0.68"/>
              <dgm:constr type="l" for="ch" forName="line5" refType="r" refFor="ch" refForName="text5"/>
              <dgm:constr type="ctrY" for="ch" forName="line5" refType="ctrY" refFor="ch" refForName="text5"/>
              <dgm:constr type="r" for="ch" forName="line5" refType="w" fact="0.375"/>
              <dgm:constr type="h" for="ch" forName="line5"/>
              <dgm:constr type="r" for="ch" forName="d5" refType="w" fact="0.505"/>
              <dgm:constr type="b" for="ch" forName="d5" refType="h" fact="0.855"/>
              <dgm:constr type="w" for="ch" forName="d5" refType="w" fact="0.13"/>
              <dgm:constr type="h" for="ch" forName="d5" refType="h" fact="0.175"/>
            </dgm:constrLst>
          </dgm:if>
          <dgm:else name="Name18"/>
        </dgm:choose>
      </dgm:else>
    </dgm:choose>
    <dgm:ruleLst/>
    <dgm:forEach name="Name19" axis="ch" ptType="node" cnt="1">
      <dgm:layoutNode name="circle1" styleLbl="lnNode1">
        <dgm:alg type="sp"/>
        <dgm:shape xmlns:r="http://schemas.openxmlformats.org/officeDocument/2006/relationships" type="ellipse" r:blip="">
          <dgm:adjLst/>
        </dgm:shape>
        <dgm:presOf/>
        <dgm:constrLst/>
        <dgm:ruleLst/>
      </dgm:layoutNode>
      <dgm:layoutNode name="text1" styleLbl="revTx">
        <dgm:varLst>
          <dgm:bulletEnabled val="1"/>
        </dgm:varLst>
        <dgm:choose name="Name20">
          <dgm:if name="Name21" func="var" arg="dir" op="equ" val="norm">
            <dgm:choose name="Name22">
              <dgm:if name="Name23" axis="root des" ptType="all node" func="maxDepth" op="gt" val="1">
                <dgm:alg type="tx">
                  <dgm:param type="parTxLTRAlign" val="l"/>
                  <dgm:param type="parTxRTLAlign" val="r"/>
                </dgm:alg>
              </dgm:if>
              <dgm:else name="Name24">
                <dgm:alg type="tx">
                  <dgm:param type="parTxLTRAlign" val="l"/>
                  <dgm:param type="parTxRTLAlign" val="l"/>
                </dgm:alg>
              </dgm:else>
            </dgm:choose>
          </dgm:if>
          <dgm:else name="Name25">
            <dgm:choose name="Name26">
              <dgm:if name="Name27" axis="root des" ptType="all node" func="maxDepth" op="gt" val="1">
                <dgm:alg type="tx">
                  <dgm:param type="parTxLTRAlign" val="l"/>
                  <dgm:param type="parTxRTLAlign" val="r"/>
                </dgm:alg>
              </dgm:if>
              <dgm:else name="Name28">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29">
          <dgm:if name="Name30" func="var" arg="dir" op="equ" val="norm">
            <dgm:constrLst>
              <dgm:constr type="tMarg" refType="primFontSz" fact="0.1"/>
              <dgm:constr type="bMarg" refType="primFontSz" fact="0.1"/>
              <dgm:constr type="rMarg" refType="primFontSz" fact="0.1"/>
            </dgm:constrLst>
          </dgm:if>
          <dgm:else name="Name31">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1" styleLbl="callout">
        <dgm:alg type="sp"/>
        <dgm:shape xmlns:r="http://schemas.openxmlformats.org/officeDocument/2006/relationships" type="line" r:blip="">
          <dgm:adjLst/>
        </dgm:shape>
        <dgm:presOf/>
        <dgm:constrLst/>
        <dgm:ruleLst/>
      </dgm:layoutNode>
      <dgm:layoutNode name="d1" styleLbl="callout">
        <dgm:alg type="sp"/>
        <dgm:choose name="Name32">
          <dgm:if name="Name33" func="var" arg="dir" op="equ" val="norm">
            <dgm:shape xmlns:r="http://schemas.openxmlformats.org/officeDocument/2006/relationships" rot="90" type="line" r:blip="">
              <dgm:adjLst/>
            </dgm:shape>
          </dgm:if>
          <dgm:else name="Name34">
            <dgm:shape xmlns:r="http://schemas.openxmlformats.org/officeDocument/2006/relationships" rot="180" type="line" r:blip="">
              <dgm:adjLst/>
            </dgm:shape>
          </dgm:else>
        </dgm:choose>
        <dgm:presOf/>
        <dgm:constrLst/>
        <dgm:ruleLst/>
      </dgm:layoutNode>
    </dgm:forEach>
    <dgm:forEach name="Name35" axis="ch" ptType="node" st="2" cnt="1">
      <dgm:layoutNode name="circle2" styleLbl="lnNode1">
        <dgm:alg type="sp"/>
        <dgm:shape xmlns:r="http://schemas.openxmlformats.org/officeDocument/2006/relationships" type="ellipse" r:blip="" zOrderOff="-5">
          <dgm:adjLst/>
        </dgm:shape>
        <dgm:presOf/>
        <dgm:constrLst/>
        <dgm:ruleLst/>
      </dgm:layoutNode>
      <dgm:layoutNode name="text2" styleLbl="revTx">
        <dgm:varLst>
          <dgm:bulletEnabled val="1"/>
        </dgm:varLst>
        <dgm:choose name="Name36">
          <dgm:if name="Name37" func="var" arg="dir" op="equ" val="norm">
            <dgm:choose name="Name38">
              <dgm:if name="Name39" axis="root des" ptType="all node" func="maxDepth" op="gt" val="1">
                <dgm:alg type="tx">
                  <dgm:param type="parTxLTRAlign" val="l"/>
                  <dgm:param type="parTxRTLAlign" val="r"/>
                </dgm:alg>
              </dgm:if>
              <dgm:else name="Name40">
                <dgm:alg type="tx">
                  <dgm:param type="parTxLTRAlign" val="l"/>
                  <dgm:param type="parTxRTLAlign" val="l"/>
                </dgm:alg>
              </dgm:else>
            </dgm:choose>
          </dgm:if>
          <dgm:else name="Name41">
            <dgm:choose name="Name42">
              <dgm:if name="Name43" axis="root des" ptType="all node" func="maxDepth" op="gt" val="1">
                <dgm:alg type="tx">
                  <dgm:param type="parTxLTRAlign" val="l"/>
                  <dgm:param type="parTxRTLAlign" val="r"/>
                </dgm:alg>
              </dgm:if>
              <dgm:else name="Name44">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45">
          <dgm:if name="Name46" func="var" arg="dir" op="equ" val="norm">
            <dgm:constrLst>
              <dgm:constr type="tMarg" refType="primFontSz" fact="0.1"/>
              <dgm:constr type="bMarg" refType="primFontSz" fact="0.1"/>
              <dgm:constr type="rMarg" refType="primFontSz" fact="0.1"/>
            </dgm:constrLst>
          </dgm:if>
          <dgm:else name="Name47">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2" styleLbl="callout">
        <dgm:alg type="sp"/>
        <dgm:shape xmlns:r="http://schemas.openxmlformats.org/officeDocument/2006/relationships" type="line" r:blip="">
          <dgm:adjLst/>
        </dgm:shape>
        <dgm:presOf/>
        <dgm:constrLst/>
        <dgm:ruleLst/>
      </dgm:layoutNode>
      <dgm:layoutNode name="d2" styleLbl="callout">
        <dgm:alg type="sp"/>
        <dgm:choose name="Name48">
          <dgm:if name="Name49" func="var" arg="dir" op="equ" val="norm">
            <dgm:shape xmlns:r="http://schemas.openxmlformats.org/officeDocument/2006/relationships" rot="90" type="line" r:blip="">
              <dgm:adjLst/>
            </dgm:shape>
          </dgm:if>
          <dgm:else name="Name50">
            <dgm:shape xmlns:r="http://schemas.openxmlformats.org/officeDocument/2006/relationships" rot="180" type="line" r:blip="">
              <dgm:adjLst/>
            </dgm:shape>
          </dgm:else>
        </dgm:choose>
        <dgm:presOf/>
        <dgm:constrLst/>
        <dgm:ruleLst/>
      </dgm:layoutNode>
    </dgm:forEach>
    <dgm:forEach name="Name51" axis="ch" ptType="node" st="3" cnt="1">
      <dgm:layoutNode name="circle3" styleLbl="lnNode1">
        <dgm:alg type="sp"/>
        <dgm:shape xmlns:r="http://schemas.openxmlformats.org/officeDocument/2006/relationships" type="ellipse" r:blip="" zOrderOff="-10">
          <dgm:adjLst/>
        </dgm:shape>
        <dgm:presOf/>
        <dgm:constrLst/>
        <dgm:ruleLst/>
      </dgm:layoutNode>
      <dgm:layoutNode name="text3" styleLbl="revTx">
        <dgm:varLst>
          <dgm:bulletEnabled val="1"/>
        </dgm:varLst>
        <dgm:choose name="Name52">
          <dgm:if name="Name53" func="var" arg="dir" op="equ" val="norm">
            <dgm:choose name="Name54">
              <dgm:if name="Name55" axis="root des" ptType="all node" func="maxDepth" op="gt" val="1">
                <dgm:alg type="tx">
                  <dgm:param type="parTxLTRAlign" val="l"/>
                  <dgm:param type="parTxRTLAlign" val="r"/>
                </dgm:alg>
              </dgm:if>
              <dgm:else name="Name56">
                <dgm:alg type="tx">
                  <dgm:param type="parTxLTRAlign" val="l"/>
                  <dgm:param type="parTxRTLAlign" val="l"/>
                </dgm:alg>
              </dgm:else>
            </dgm:choose>
          </dgm:if>
          <dgm:else name="Name57">
            <dgm:choose name="Name58">
              <dgm:if name="Name59" axis="root des" ptType="all node" func="maxDepth" op="gt" val="1">
                <dgm:alg type="tx">
                  <dgm:param type="parTxLTRAlign" val="l"/>
                  <dgm:param type="parTxRTLAlign" val="r"/>
                </dgm:alg>
              </dgm:if>
              <dgm:else name="Name60">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61">
          <dgm:if name="Name62" func="var" arg="dir" op="equ" val="norm">
            <dgm:constrLst>
              <dgm:constr type="tMarg" refType="primFontSz" fact="0.1"/>
              <dgm:constr type="bMarg" refType="primFontSz" fact="0.1"/>
              <dgm:constr type="rMarg" refType="primFontSz" fact="0.1"/>
            </dgm:constrLst>
          </dgm:if>
          <dgm:else name="Name63">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3" styleLbl="callout">
        <dgm:alg type="sp"/>
        <dgm:shape xmlns:r="http://schemas.openxmlformats.org/officeDocument/2006/relationships" type="line" r:blip="">
          <dgm:adjLst/>
        </dgm:shape>
        <dgm:presOf/>
        <dgm:constrLst/>
        <dgm:ruleLst/>
      </dgm:layoutNode>
      <dgm:layoutNode name="d3" styleLbl="callout">
        <dgm:alg type="sp"/>
        <dgm:choose name="Name64">
          <dgm:if name="Name65" func="var" arg="dir" op="equ" val="norm">
            <dgm:shape xmlns:r="http://schemas.openxmlformats.org/officeDocument/2006/relationships" rot="90" type="line" r:blip="">
              <dgm:adjLst/>
            </dgm:shape>
          </dgm:if>
          <dgm:else name="Name66">
            <dgm:shape xmlns:r="http://schemas.openxmlformats.org/officeDocument/2006/relationships" rot="180" type="line" r:blip="">
              <dgm:adjLst/>
            </dgm:shape>
          </dgm:else>
        </dgm:choose>
        <dgm:presOf/>
        <dgm:constrLst/>
        <dgm:ruleLst/>
      </dgm:layoutNode>
    </dgm:forEach>
    <dgm:forEach name="Name67" axis="ch" ptType="node" st="4" cnt="1">
      <dgm:layoutNode name="circle4" styleLbl="lnNode1">
        <dgm:alg type="sp"/>
        <dgm:shape xmlns:r="http://schemas.openxmlformats.org/officeDocument/2006/relationships" type="ellipse" r:blip="" zOrderOff="-15">
          <dgm:adjLst/>
        </dgm:shape>
        <dgm:presOf/>
        <dgm:constrLst/>
        <dgm:ruleLst/>
      </dgm:layoutNode>
      <dgm:layoutNode name="text4" styleLbl="revTx">
        <dgm:varLst>
          <dgm:bulletEnabled val="1"/>
        </dgm:varLst>
        <dgm:choose name="Name68">
          <dgm:if name="Name69" func="var" arg="dir" op="equ" val="norm">
            <dgm:choose name="Name70">
              <dgm:if name="Name71" axis="root des" ptType="all node" func="maxDepth" op="gt" val="1">
                <dgm:alg type="tx">
                  <dgm:param type="parTxLTRAlign" val="l"/>
                  <dgm:param type="parTxRTLAlign" val="r"/>
                </dgm:alg>
              </dgm:if>
              <dgm:else name="Name72">
                <dgm:alg type="tx">
                  <dgm:param type="parTxLTRAlign" val="l"/>
                  <dgm:param type="parTxRTLAlign" val="l"/>
                </dgm:alg>
              </dgm:else>
            </dgm:choose>
          </dgm:if>
          <dgm:else name="Name73">
            <dgm:choose name="Name74">
              <dgm:if name="Name75" axis="root des" ptType="all node" func="maxDepth" op="gt" val="1">
                <dgm:alg type="tx">
                  <dgm:param type="parTxLTRAlign" val="l"/>
                  <dgm:param type="parTxRTLAlign" val="r"/>
                </dgm:alg>
              </dgm:if>
              <dgm:else name="Name76">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77">
          <dgm:if name="Name78" func="var" arg="dir" op="equ" val="norm">
            <dgm:constrLst>
              <dgm:constr type="tMarg" refType="primFontSz" fact="0.1"/>
              <dgm:constr type="bMarg" refType="primFontSz" fact="0.1"/>
              <dgm:constr type="rMarg" refType="primFontSz" fact="0.1"/>
            </dgm:constrLst>
          </dgm:if>
          <dgm:else name="Name79">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4" styleLbl="callout">
        <dgm:alg type="sp"/>
        <dgm:shape xmlns:r="http://schemas.openxmlformats.org/officeDocument/2006/relationships" type="line" r:blip="">
          <dgm:adjLst/>
        </dgm:shape>
        <dgm:presOf/>
        <dgm:constrLst/>
        <dgm:ruleLst/>
      </dgm:layoutNode>
      <dgm:layoutNode name="d4" styleLbl="callout">
        <dgm:alg type="sp"/>
        <dgm:choose name="Name80">
          <dgm:if name="Name81" func="var" arg="dir" op="equ" val="norm">
            <dgm:shape xmlns:r="http://schemas.openxmlformats.org/officeDocument/2006/relationships" rot="90" type="line" r:blip="">
              <dgm:adjLst/>
            </dgm:shape>
          </dgm:if>
          <dgm:else name="Name82">
            <dgm:shape xmlns:r="http://schemas.openxmlformats.org/officeDocument/2006/relationships" rot="180" type="line" r:blip="">
              <dgm:adjLst/>
            </dgm:shape>
          </dgm:else>
        </dgm:choose>
        <dgm:presOf/>
        <dgm:constrLst/>
        <dgm:ruleLst/>
      </dgm:layoutNode>
    </dgm:forEach>
    <dgm:forEach name="Name83" axis="ch" ptType="node" st="5" cnt="1">
      <dgm:layoutNode name="circle5" styleLbl="lnNode1">
        <dgm:alg type="sp"/>
        <dgm:shape xmlns:r="http://schemas.openxmlformats.org/officeDocument/2006/relationships" type="ellipse" r:blip="" zOrderOff="-20">
          <dgm:adjLst/>
        </dgm:shape>
        <dgm:presOf/>
        <dgm:constrLst/>
        <dgm:ruleLst/>
      </dgm:layoutNode>
      <dgm:layoutNode name="text5" styleLbl="revTx">
        <dgm:varLst>
          <dgm:bulletEnabled val="1"/>
        </dgm:varLst>
        <dgm:choose name="Name84">
          <dgm:if name="Name85" func="var" arg="dir" op="equ" val="norm">
            <dgm:choose name="Name86">
              <dgm:if name="Name87" axis="root des" ptType="all node" func="maxDepth" op="gt" val="1">
                <dgm:alg type="tx">
                  <dgm:param type="parTxLTRAlign" val="l"/>
                  <dgm:param type="parTxRTLAlign" val="r"/>
                </dgm:alg>
              </dgm:if>
              <dgm:else name="Name88">
                <dgm:alg type="tx">
                  <dgm:param type="parTxLTRAlign" val="l"/>
                  <dgm:param type="parTxRTLAlign" val="l"/>
                </dgm:alg>
              </dgm:else>
            </dgm:choose>
          </dgm:if>
          <dgm:else name="Name89">
            <dgm:choose name="Name90">
              <dgm:if name="Name91" axis="root des" ptType="all node" func="maxDepth" op="gt" val="1">
                <dgm:alg type="tx">
                  <dgm:param type="parTxLTRAlign" val="l"/>
                  <dgm:param type="parTxRTLAlign" val="r"/>
                </dgm:alg>
              </dgm:if>
              <dgm:else name="Name92">
                <dgm:alg type="tx">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tMarg" refType="primFontSz" fact="0.1"/>
              <dgm:constr type="bMarg" refType="primFontSz" fact="0.1"/>
              <dgm:constr type="rMarg" refType="primFontSz" fact="0.1"/>
            </dgm:constrLst>
          </dgm:if>
          <dgm:else name="Name95">
            <dgm:constrLst>
              <dgm:constr type="tMarg" refType="primFontSz" fact="0.1"/>
              <dgm:constr type="bMarg" refType="primFontSz" fact="0.1"/>
              <dgm:constr type="lMarg" refType="primFontSz" fact="0.1"/>
            </dgm:constrLst>
          </dgm:else>
        </dgm:choose>
        <dgm:ruleLst>
          <dgm:rule type="primFontSz" val="5" fact="NaN" max="NaN"/>
        </dgm:ruleLst>
      </dgm:layoutNode>
      <dgm:layoutNode name="line5" styleLbl="callout">
        <dgm:alg type="sp"/>
        <dgm:shape xmlns:r="http://schemas.openxmlformats.org/officeDocument/2006/relationships" type="line" r:blip="">
          <dgm:adjLst/>
        </dgm:shape>
        <dgm:presOf/>
        <dgm:constrLst/>
        <dgm:ruleLst/>
      </dgm:layoutNode>
      <dgm:layoutNode name="d5" styleLbl="callout">
        <dgm:alg type="sp"/>
        <dgm:choose name="Name96">
          <dgm:if name="Name97" func="var" arg="dir" op="equ" val="norm">
            <dgm:shape xmlns:r="http://schemas.openxmlformats.org/officeDocument/2006/relationships" rot="90" type="line" r:blip="">
              <dgm:adjLst/>
            </dgm:shape>
          </dgm:if>
          <dgm:else name="Name98">
            <dgm:shape xmlns:r="http://schemas.openxmlformats.org/officeDocument/2006/relationships" rot="180" type="line" r:blip="">
              <dgm:adjLst/>
            </dgm:shape>
          </dgm:else>
        </dgm:choose>
        <dgm:presOf/>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24</Pages>
  <Words>6937</Words>
  <Characters>38156</Characters>
  <Application>Microsoft Office Word</Application>
  <DocSecurity>0</DocSecurity>
  <Lines>317</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REVISOR</cp:lastModifiedBy>
  <cp:revision>55</cp:revision>
  <dcterms:created xsi:type="dcterms:W3CDTF">2025-10-15T20:48:00Z</dcterms:created>
  <dcterms:modified xsi:type="dcterms:W3CDTF">2025-12-09T18:56:00Z</dcterms:modified>
</cp:coreProperties>
</file>