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E2D14"/>
          <w:sz w:val="34"/>
          <w:szCs w:val="34"/>
        </w:rPr>
        <w:t xml:space="preserve">UGOVOR</w:t>
      </w:r>
    </w:p>
    <w:p>
      <w:pPr>
        <w:spacing w:after="40"/>
        <w:jc w:val="center"/>
      </w:pPr>
      <w:r>
        <w:rPr>
          <w:rFonts w:ascii="Calibri" w:cs="Calibri" w:eastAsia="Calibri" w:hAnsi="Calibri"/>
          <w:b/>
          <w:bCs/>
          <w:color w:val="1E2D14"/>
          <w:spacing w:val="14"/>
          <w:sz w:val="22"/>
          <w:szCs w:val="22"/>
        </w:rPr>
        <w:t xml:space="preserve">O LICENCIRANJU SOFTVERA I PRUŽANJU PRATEĆIH USLUGA</w:t>
      </w:r>
    </w:p>
    <w:p>
      <w:pPr>
        <w:pBdr>
          <w:bottom w:val="single" w:color="C8A84B" w:sz="8" w:space="6"/>
        </w:pBdr>
        <w:spacing w:after="300"/>
        <w:jc w:val="center"/>
      </w:pPr>
      <w:r>
        <w:rPr>
          <w:rFonts w:ascii="Calibri" w:cs="Calibri" w:eastAsia="Calibri" w:hAnsi="Calibri"/>
          <w:color w:val="5A6152"/>
          <w:sz w:val="20"/>
          <w:szCs w:val="20"/>
        </w:rPr>
        <w:t xml:space="preserve">AgriX Enterprise</w:t>
      </w:r>
    </w:p>
    <w:p>
      <w:pPr>
        <w:spacing w:after="200" w:line="276"/>
      </w:pPr>
      <w:r>
        <w:rPr>
          <w:rFonts w:ascii="Calibri" w:cs="Calibri" w:eastAsia="Calibri" w:hAnsi="Calibri"/>
          <w:sz w:val="21"/>
          <w:szCs w:val="21"/>
        </w:rPr>
        <w:t xml:space="preserve">Zaključen dana ______________ godine, u ______________, između ugovornih strana:</w:t>
      </w:r>
    </w:p>
    <w:p>
      <w:pPr>
        <w:spacing w:after="100" w:line="276"/>
      </w:pPr>
      <w:r>
        <w:rPr>
          <w:rFonts w:ascii="Calibri" w:cs="Calibri" w:eastAsia="Calibri" w:hAnsi="Calibri"/>
          <w:b/>
          <w:bCs/>
          <w:sz w:val="21"/>
          <w:szCs w:val="21"/>
        </w:rPr>
        <w:t xml:space="preserve">1. DAVALAC LICENCE</w:t>
      </w:r>
    </w:p>
    <w:tbl>
      <w:tblPr>
        <w:tblW w:type="dxa" w:w="9026"/>
        <w:tblBorders>
          <w:top w:val="none"/>
          <w:left w:val="none"/>
          <w:bottom w:val="none"/>
          <w:right w:val="none"/>
          <w:insideH w:val="none"/>
          <w:insideV w:val="none"/>
        </w:tblBorders>
      </w:tblPr>
      <w:tblGrid>
        <w:gridCol w:w="4413"/>
        <w:gridCol w:w="4613"/>
      </w:tblGrid>
      <w:tr>
        <w:tc>
          <w:tcPr>
            <w:tcW w:type="dxa" w:w="44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Poslovno ime:</w:t>
            </w:r>
          </w:p>
        </w:tc>
        <w:tc>
          <w:tcPr>
            <w:tcW w:type="dxa" w:w="46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______________________________________</w:t>
            </w:r>
          </w:p>
        </w:tc>
      </w:tr>
      <w:tr>
        <w:tc>
          <w:tcPr>
            <w:tcW w:type="dxa" w:w="44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Sedište i adresa:</w:t>
            </w:r>
          </w:p>
        </w:tc>
        <w:tc>
          <w:tcPr>
            <w:tcW w:type="dxa" w:w="46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______________________________________</w:t>
            </w:r>
          </w:p>
        </w:tc>
      </w:tr>
      <w:tr>
        <w:tc>
          <w:tcPr>
            <w:tcW w:type="dxa" w:w="44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Matični broj:</w:t>
            </w:r>
          </w:p>
        </w:tc>
        <w:tc>
          <w:tcPr>
            <w:tcW w:type="dxa" w:w="46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______________________________________</w:t>
            </w:r>
          </w:p>
        </w:tc>
      </w:tr>
      <w:tr>
        <w:tc>
          <w:tcPr>
            <w:tcW w:type="dxa" w:w="44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PIB:</w:t>
            </w:r>
          </w:p>
        </w:tc>
        <w:tc>
          <w:tcPr>
            <w:tcW w:type="dxa" w:w="46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______________________________________</w:t>
            </w:r>
          </w:p>
        </w:tc>
      </w:tr>
      <w:tr>
        <w:tc>
          <w:tcPr>
            <w:tcW w:type="dxa" w:w="44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Zastupnik:</w:t>
            </w:r>
          </w:p>
        </w:tc>
        <w:tc>
          <w:tcPr>
            <w:tcW w:type="dxa" w:w="46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______________________________________</w:t>
            </w:r>
          </w:p>
        </w:tc>
      </w:tr>
      <w:tr>
        <w:tc>
          <w:tcPr>
            <w:tcW w:type="dxa" w:w="44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Tekući račun:</w:t>
            </w:r>
          </w:p>
        </w:tc>
        <w:tc>
          <w:tcPr>
            <w:tcW w:type="dxa" w:w="46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______________________________________</w:t>
            </w:r>
          </w:p>
        </w:tc>
      </w:tr>
    </w:tbl>
    <w:p>
      <w:pPr>
        <w:spacing w:after="220" w:line="276"/>
      </w:pPr>
      <w:r>
        <w:rPr>
          <w:rFonts w:ascii="Calibri" w:cs="Calibri" w:eastAsia="Calibri" w:hAnsi="Calibri"/>
          <w:i/>
          <w:iCs/>
          <w:sz w:val="21"/>
          <w:szCs w:val="21"/>
        </w:rPr>
        <w:t xml:space="preserve">(u daljem tekstu: Davalac)</w:t>
      </w:r>
    </w:p>
    <w:p>
      <w:pPr>
        <w:spacing w:after="100" w:line="276"/>
      </w:pPr>
      <w:r>
        <w:rPr>
          <w:rFonts w:ascii="Calibri" w:cs="Calibri" w:eastAsia="Calibri" w:hAnsi="Calibri"/>
          <w:b/>
          <w:bCs/>
          <w:sz w:val="21"/>
          <w:szCs w:val="21"/>
        </w:rPr>
        <w:t xml:space="preserve">2. KORISNIK</w:t>
      </w:r>
    </w:p>
    <w:tbl>
      <w:tblPr>
        <w:tblW w:type="dxa" w:w="9026"/>
        <w:tblBorders>
          <w:top w:val="none"/>
          <w:left w:val="none"/>
          <w:bottom w:val="none"/>
          <w:right w:val="none"/>
          <w:insideH w:val="none"/>
          <w:insideV w:val="none"/>
        </w:tblBorders>
      </w:tblPr>
      <w:tblGrid>
        <w:gridCol w:w="4413"/>
        <w:gridCol w:w="4613"/>
      </w:tblGrid>
      <w:tr>
        <w:tc>
          <w:tcPr>
            <w:tcW w:type="dxa" w:w="44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Poslovno ime:</w:t>
            </w:r>
          </w:p>
        </w:tc>
        <w:tc>
          <w:tcPr>
            <w:tcW w:type="dxa" w:w="46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______________________________________</w:t>
            </w:r>
          </w:p>
        </w:tc>
      </w:tr>
      <w:tr>
        <w:tc>
          <w:tcPr>
            <w:tcW w:type="dxa" w:w="44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Sedište i adresa:</w:t>
            </w:r>
          </w:p>
        </w:tc>
        <w:tc>
          <w:tcPr>
            <w:tcW w:type="dxa" w:w="46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______________________________________</w:t>
            </w:r>
          </w:p>
        </w:tc>
      </w:tr>
      <w:tr>
        <w:tc>
          <w:tcPr>
            <w:tcW w:type="dxa" w:w="44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Matični broj:</w:t>
            </w:r>
          </w:p>
        </w:tc>
        <w:tc>
          <w:tcPr>
            <w:tcW w:type="dxa" w:w="46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______________________________________</w:t>
            </w:r>
          </w:p>
        </w:tc>
      </w:tr>
      <w:tr>
        <w:tc>
          <w:tcPr>
            <w:tcW w:type="dxa" w:w="44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PIB:</w:t>
            </w:r>
          </w:p>
        </w:tc>
        <w:tc>
          <w:tcPr>
            <w:tcW w:type="dxa" w:w="46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______________________________________</w:t>
            </w:r>
          </w:p>
        </w:tc>
      </w:tr>
      <w:tr>
        <w:tc>
          <w:tcPr>
            <w:tcW w:type="dxa" w:w="44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Zastupnik:</w:t>
            </w:r>
          </w:p>
        </w:tc>
        <w:tc>
          <w:tcPr>
            <w:tcW w:type="dxa" w:w="46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______________________________________</w:t>
            </w:r>
          </w:p>
        </w:tc>
      </w:tr>
      <w:tr>
        <w:tc>
          <w:tcPr>
            <w:tcW w:type="dxa" w:w="44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Tekući račun:</w:t>
            </w:r>
          </w:p>
        </w:tc>
        <w:tc>
          <w:tcPr>
            <w:tcW w:type="dxa" w:w="4613"/>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______________________________________</w:t>
            </w:r>
          </w:p>
        </w:tc>
      </w:tr>
    </w:tbl>
    <w:p>
      <w:pPr>
        <w:spacing w:after="260" w:line="276"/>
      </w:pPr>
      <w:r>
        <w:rPr>
          <w:rFonts w:ascii="Calibri" w:cs="Calibri" w:eastAsia="Calibri" w:hAnsi="Calibri"/>
          <w:i/>
          <w:iCs/>
          <w:sz w:val="21"/>
          <w:szCs w:val="21"/>
        </w:rPr>
        <w:t xml:space="preserve">(u daljem tekstu: Korisnik)</w:t>
      </w:r>
    </w:p>
    <w:p>
      <w:pPr>
        <w:spacing w:after="200" w:line="276"/>
      </w:pPr>
      <w:r>
        <w:rPr>
          <w:rFonts w:ascii="Calibri" w:cs="Calibri" w:eastAsia="Calibri" w:hAnsi="Calibri"/>
          <w:sz w:val="21"/>
          <w:szCs w:val="21"/>
        </w:rPr>
        <w:t xml:space="preserve">Ugovorne strane saglasno konstatuju da je Davalac nosilac svih prava na softverskom rešenju AgriX i da Korisnik želi da to rešenje koristi u svom poslovanju, pa zaključuju sledeći ugovor.</w:t>
      </w:r>
    </w:p>
    <w:p>
      <w:pPr>
        <w:keepNext/>
        <w:spacing w:after="40" w:before="320"/>
      </w:pPr>
      <w:r>
        <w:rPr>
          <w:rFonts w:ascii="Calibri" w:cs="Calibri" w:eastAsia="Calibri" w:hAnsi="Calibri"/>
          <w:b/>
          <w:bCs/>
          <w:color w:val="1E2D14"/>
          <w:sz w:val="22"/>
          <w:szCs w:val="22"/>
        </w:rPr>
        <w:t xml:space="preserve">Član 1</w:t>
      </w:r>
    </w:p>
    <w:p>
      <w:pPr>
        <w:keepNext/>
        <w:pBdr>
          <w:bottom w:val="single" w:color="C8A84B" w:sz="6" w:space="4"/>
        </w:pBdr>
        <w:spacing w:after="140"/>
      </w:pPr>
      <w:r>
        <w:rPr>
          <w:rFonts w:ascii="Calibri" w:cs="Calibri" w:eastAsia="Calibri" w:hAnsi="Calibri"/>
          <w:b/>
          <w:bCs/>
          <w:color w:val="1E2D14"/>
          <w:spacing w:val="20"/>
          <w:sz w:val="19"/>
          <w:szCs w:val="19"/>
        </w:rPr>
        <w:t xml:space="preserve">PREDMET UGOVORA</w:t>
      </w:r>
    </w:p>
    <w:p>
      <w:pPr>
        <w:spacing w:after="110" w:line="276"/>
        <w:ind w:left="340" w:hanging="340"/>
      </w:pPr>
      <w:r>
        <w:rPr>
          <w:rFonts w:ascii="Calibri" w:cs="Calibri" w:eastAsia="Calibri" w:hAnsi="Calibri"/>
          <w:sz w:val="21"/>
          <w:szCs w:val="21"/>
        </w:rPr>
        <w:t xml:space="preserve">(1)	</w:t>
      </w:r>
      <w:r>
        <w:rPr>
          <w:rFonts w:ascii="Calibri" w:cs="Calibri" w:eastAsia="Calibri" w:hAnsi="Calibri"/>
          <w:sz w:val="21"/>
          <w:szCs w:val="21"/>
        </w:rPr>
        <w:t xml:space="preserve">Predmet ovog ugovora je davanje prava korišćenja softverskog rešenja AgriX Enterprise (u daljem tekstu: Softver) Korisniku, kao i pružanje pratećih usluga uvođenja, obuke, podrške i održavanja, pod uslovima utvrđenim ovim ugovorom i njegovim prilozima.</w:t>
      </w:r>
    </w:p>
    <w:p>
      <w:pPr>
        <w:spacing w:after="110" w:line="276"/>
        <w:ind w:left="340" w:hanging="340"/>
      </w:pPr>
      <w:r>
        <w:rPr>
          <w:rFonts w:ascii="Calibri" w:cs="Calibri" w:eastAsia="Calibri" w:hAnsi="Calibri"/>
          <w:sz w:val="21"/>
          <w:szCs w:val="21"/>
        </w:rPr>
        <w:t xml:space="preserve">(2)	</w:t>
      </w:r>
      <w:r>
        <w:rPr>
          <w:rFonts w:ascii="Calibri" w:cs="Calibri" w:eastAsia="Calibri" w:hAnsi="Calibri"/>
          <w:sz w:val="21"/>
          <w:szCs w:val="21"/>
        </w:rPr>
        <w:t xml:space="preserve">Sastavni deo ovog ugovora čine: Prilog 1 — Specifikacija ugovorenog obima i cena, Prilog 2 — Opis usluga podrške i Prilog 3 — Obrada podataka o ličnosti.</w:t>
      </w:r>
    </w:p>
    <w:p>
      <w:pPr>
        <w:spacing w:after="110" w:line="276"/>
        <w:ind w:left="340" w:hanging="340"/>
      </w:pPr>
      <w:r>
        <w:rPr>
          <w:rFonts w:ascii="Calibri" w:cs="Calibri" w:eastAsia="Calibri" w:hAnsi="Calibri"/>
          <w:sz w:val="21"/>
          <w:szCs w:val="21"/>
        </w:rPr>
        <w:t xml:space="preserve">(3)	</w:t>
      </w:r>
      <w:r>
        <w:rPr>
          <w:rFonts w:ascii="Calibri" w:cs="Calibri" w:eastAsia="Calibri" w:hAnsi="Calibri"/>
          <w:sz w:val="21"/>
          <w:szCs w:val="21"/>
        </w:rPr>
        <w:t xml:space="preserve">Softver je namenjen vođenju operativnog poslovanja Korisnika u oblasti otkupa, prijema, prerade, skladištenja, logistike i sledljivosti poljoprivrednih proizvoda.</w:t>
      </w:r>
    </w:p>
    <w:p>
      <w:pPr>
        <w:spacing w:after="110" w:line="276"/>
        <w:ind w:left="340" w:hanging="340"/>
      </w:pPr>
      <w:r>
        <w:rPr>
          <w:rFonts w:ascii="Calibri" w:cs="Calibri" w:eastAsia="Calibri" w:hAnsi="Calibri"/>
          <w:sz w:val="21"/>
          <w:szCs w:val="21"/>
        </w:rPr>
        <w:t xml:space="preserve">(4)	</w:t>
      </w:r>
      <w:r>
        <w:rPr>
          <w:rFonts w:ascii="Calibri" w:cs="Calibri" w:eastAsia="Calibri" w:hAnsi="Calibri"/>
          <w:sz w:val="21"/>
          <w:szCs w:val="21"/>
        </w:rPr>
        <w:t xml:space="preserve">Softver nije računovodstveni program i ne zamenjuje sistem finansijskog knjigovodstva Korisnika. Korisnik je saglasan da vođenje poslovnih knjiga, obračun poreza i sastavljanje finansijskih izveštaja ostaju izvan predmeta ovog ugovora.</w:t>
      </w:r>
    </w:p>
    <w:p>
      <w:pPr>
        <w:keepNext/>
        <w:spacing w:after="40" w:before="320"/>
      </w:pPr>
      <w:r>
        <w:rPr>
          <w:rFonts w:ascii="Calibri" w:cs="Calibri" w:eastAsia="Calibri" w:hAnsi="Calibri"/>
          <w:b/>
          <w:bCs/>
          <w:color w:val="1E2D14"/>
          <w:sz w:val="22"/>
          <w:szCs w:val="22"/>
        </w:rPr>
        <w:t xml:space="preserve">Član 2</w:t>
      </w:r>
    </w:p>
    <w:p>
      <w:pPr>
        <w:keepNext/>
        <w:pBdr>
          <w:bottom w:val="single" w:color="C8A84B" w:sz="6" w:space="4"/>
        </w:pBdr>
        <w:spacing w:after="140"/>
      </w:pPr>
      <w:r>
        <w:rPr>
          <w:rFonts w:ascii="Calibri" w:cs="Calibri" w:eastAsia="Calibri" w:hAnsi="Calibri"/>
          <w:b/>
          <w:bCs/>
          <w:color w:val="1E2D14"/>
          <w:spacing w:val="20"/>
          <w:sz w:val="19"/>
          <w:szCs w:val="19"/>
        </w:rPr>
        <w:t xml:space="preserve">OBIM PRAVA KORIŠĆENJA</w:t>
      </w:r>
    </w:p>
    <w:p>
      <w:pPr>
        <w:spacing w:after="110" w:line="276"/>
        <w:ind w:left="340" w:hanging="340"/>
      </w:pPr>
      <w:r>
        <w:rPr>
          <w:rFonts w:ascii="Calibri" w:cs="Calibri" w:eastAsia="Calibri" w:hAnsi="Calibri"/>
          <w:sz w:val="21"/>
          <w:szCs w:val="21"/>
        </w:rPr>
        <w:t xml:space="preserve">(1)	</w:t>
      </w:r>
      <w:r>
        <w:rPr>
          <w:rFonts w:ascii="Calibri" w:cs="Calibri" w:eastAsia="Calibri" w:hAnsi="Calibri"/>
          <w:sz w:val="21"/>
          <w:szCs w:val="21"/>
        </w:rPr>
        <w:t xml:space="preserve">Davalac ustupa Korisniku neisključivo, neprenosivo i vremenski ograničeno pravo korišćenja Softvera, za sopstvene poslovne potrebe Korisnika, u obimu utvrđenom Prilogom 1.</w:t>
      </w:r>
    </w:p>
    <w:p>
      <w:pPr>
        <w:spacing w:after="110" w:line="276"/>
        <w:ind w:left="340" w:hanging="340"/>
      </w:pPr>
      <w:r>
        <w:rPr>
          <w:rFonts w:ascii="Calibri" w:cs="Calibri" w:eastAsia="Calibri" w:hAnsi="Calibri"/>
          <w:sz w:val="21"/>
          <w:szCs w:val="21"/>
        </w:rPr>
        <w:t xml:space="preserve">(2)	</w:t>
      </w:r>
      <w:r>
        <w:rPr>
          <w:rFonts w:ascii="Calibri" w:cs="Calibri" w:eastAsia="Calibri" w:hAnsi="Calibri"/>
          <w:sz w:val="21"/>
          <w:szCs w:val="21"/>
        </w:rPr>
        <w:t xml:space="preserve">Pravo korišćenja daje se za jedno pravno lice. Ako Korisnik posluje kroz više pravnih lica, za svako od njih zaključuje se poseban ugovor.</w:t>
      </w:r>
    </w:p>
    <w:p>
      <w:pPr>
        <w:spacing w:after="110" w:line="276"/>
        <w:ind w:left="340" w:hanging="340"/>
      </w:pPr>
      <w:r>
        <w:rPr>
          <w:rFonts w:ascii="Calibri" w:cs="Calibri" w:eastAsia="Calibri" w:hAnsi="Calibri"/>
          <w:sz w:val="21"/>
          <w:szCs w:val="21"/>
        </w:rPr>
        <w:t xml:space="preserve">(3)	</w:t>
      </w:r>
      <w:r>
        <w:rPr>
          <w:rFonts w:ascii="Calibri" w:cs="Calibri" w:eastAsia="Calibri" w:hAnsi="Calibri"/>
          <w:sz w:val="21"/>
          <w:szCs w:val="21"/>
        </w:rPr>
        <w:t xml:space="preserve">Broj korisnika i uređaja kod Korisnika nije ograničen i ne utiče na cenu.</w:t>
      </w:r>
    </w:p>
    <w:p>
      <w:pPr>
        <w:spacing w:after="110" w:line="276"/>
        <w:ind w:left="340" w:hanging="340"/>
      </w:pPr>
      <w:r>
        <w:rPr>
          <w:rFonts w:ascii="Calibri" w:cs="Calibri" w:eastAsia="Calibri" w:hAnsi="Calibri"/>
          <w:sz w:val="21"/>
          <w:szCs w:val="21"/>
        </w:rPr>
        <w:t xml:space="preserve">(4)	</w:t>
      </w:r>
      <w:r>
        <w:rPr>
          <w:rFonts w:ascii="Calibri" w:cs="Calibri" w:eastAsia="Calibri" w:hAnsi="Calibri"/>
          <w:sz w:val="21"/>
          <w:szCs w:val="21"/>
        </w:rPr>
        <w:t xml:space="preserve">Osnovni obim obuhvata do pet aktivnih otkupnih stanica. Aktivnom otkupnom stanicom smatra se svaka stanica na kojoj je u toku ugovorne godine evidentiran najmanje jedan otkupni blok.</w:t>
      </w:r>
    </w:p>
    <w:p>
      <w:pPr>
        <w:spacing w:after="110" w:line="276"/>
        <w:ind w:left="340" w:hanging="340"/>
      </w:pPr>
      <w:r>
        <w:rPr>
          <w:rFonts w:ascii="Calibri" w:cs="Calibri" w:eastAsia="Calibri" w:hAnsi="Calibri"/>
          <w:sz w:val="21"/>
          <w:szCs w:val="21"/>
        </w:rPr>
        <w:t xml:space="preserve">(5)	</w:t>
      </w:r>
      <w:r>
        <w:rPr>
          <w:rFonts w:ascii="Calibri" w:cs="Calibri" w:eastAsia="Calibri" w:hAnsi="Calibri"/>
          <w:sz w:val="21"/>
          <w:szCs w:val="21"/>
        </w:rPr>
        <w:t xml:space="preserve">Korisnik je dužan da broj stanica prijavi unapred. Stvarni broj aktivnih stanica utvrđuje se po završetku sezone i usklađuje prilikom obnove ugovora. Smanjenje broja stanica u toku ugovorne godine ne utiče na ugovorenu cenu ako je stanica u toj godini bila aktivna.</w:t>
      </w:r>
    </w:p>
    <w:p>
      <w:pPr>
        <w:spacing w:after="110" w:line="276"/>
        <w:ind w:left="340" w:hanging="340"/>
      </w:pPr>
      <w:r>
        <w:rPr>
          <w:rFonts w:ascii="Calibri" w:cs="Calibri" w:eastAsia="Calibri" w:hAnsi="Calibri"/>
          <w:sz w:val="21"/>
          <w:szCs w:val="21"/>
        </w:rPr>
        <w:t xml:space="preserve">(6)	</w:t>
      </w:r>
      <w:r>
        <w:rPr>
          <w:rFonts w:ascii="Calibri" w:cs="Calibri" w:eastAsia="Calibri" w:hAnsi="Calibri"/>
          <w:sz w:val="21"/>
          <w:szCs w:val="21"/>
        </w:rPr>
        <w:t xml:space="preserve">Korisniku nije dozvoljeno da Softver ustupa trećim licima, iznajmljuje ga, prodaje pravo korišćenja, niti da ga koristi za pružanje usluga trećim licima, bez prethodne pisane saglasnosti Davaoca.</w:t>
      </w:r>
    </w:p>
    <w:p>
      <w:pPr>
        <w:spacing w:after="110" w:line="276"/>
        <w:ind w:left="340" w:hanging="340"/>
      </w:pPr>
      <w:r>
        <w:rPr>
          <w:rFonts w:ascii="Calibri" w:cs="Calibri" w:eastAsia="Calibri" w:hAnsi="Calibri"/>
          <w:sz w:val="21"/>
          <w:szCs w:val="21"/>
        </w:rPr>
        <w:t xml:space="preserve">(7)	</w:t>
      </w:r>
      <w:r>
        <w:rPr>
          <w:rFonts w:ascii="Calibri" w:cs="Calibri" w:eastAsia="Calibri" w:hAnsi="Calibri"/>
          <w:sz w:val="21"/>
          <w:szCs w:val="21"/>
        </w:rPr>
        <w:t xml:space="preserve">Korisniku nije dozvoljeno da vrši dekompilaciju, obrnuti inženjering ili druge radnje usmerene na pribavljanje izvornog koda, osim u obimu koji je izričito dopušten prinudnim propisima.</w:t>
      </w:r>
    </w:p>
    <w:p>
      <w:pPr>
        <w:keepNext/>
        <w:spacing w:after="40" w:before="320"/>
      </w:pPr>
      <w:r>
        <w:rPr>
          <w:rFonts w:ascii="Calibri" w:cs="Calibri" w:eastAsia="Calibri" w:hAnsi="Calibri"/>
          <w:b/>
          <w:bCs/>
          <w:color w:val="1E2D14"/>
          <w:sz w:val="22"/>
          <w:szCs w:val="22"/>
        </w:rPr>
        <w:t xml:space="preserve">Član 3</w:t>
      </w:r>
    </w:p>
    <w:p>
      <w:pPr>
        <w:keepNext/>
        <w:pBdr>
          <w:bottom w:val="single" w:color="C8A84B" w:sz="6" w:space="4"/>
        </w:pBdr>
        <w:spacing w:after="140"/>
      </w:pPr>
      <w:r>
        <w:rPr>
          <w:rFonts w:ascii="Calibri" w:cs="Calibri" w:eastAsia="Calibri" w:hAnsi="Calibri"/>
          <w:b/>
          <w:bCs/>
          <w:color w:val="1E2D14"/>
          <w:spacing w:val="20"/>
          <w:sz w:val="19"/>
          <w:szCs w:val="19"/>
        </w:rPr>
        <w:t xml:space="preserve">CENA I USLOVI PLAĆANJA</w:t>
      </w:r>
    </w:p>
    <w:p>
      <w:pPr>
        <w:spacing w:after="110" w:line="276"/>
        <w:ind w:left="340" w:hanging="340"/>
      </w:pPr>
      <w:r>
        <w:rPr>
          <w:rFonts w:ascii="Calibri" w:cs="Calibri" w:eastAsia="Calibri" w:hAnsi="Calibri"/>
          <w:sz w:val="21"/>
          <w:szCs w:val="21"/>
        </w:rPr>
        <w:t xml:space="preserve">(1)	</w:t>
      </w:r>
      <w:r>
        <w:rPr>
          <w:rFonts w:ascii="Calibri" w:cs="Calibri" w:eastAsia="Calibri" w:hAnsi="Calibri"/>
          <w:sz w:val="21"/>
          <w:szCs w:val="21"/>
        </w:rPr>
        <w:t xml:space="preserve">Cena se ugovara na godišnjem nivou, prema Prilogu 1, i iskazuje se u evrima (EUR).</w:t>
      </w:r>
    </w:p>
    <w:p>
      <w:pPr>
        <w:spacing w:after="110" w:line="276"/>
        <w:ind w:left="340" w:hanging="340"/>
      </w:pPr>
      <w:r>
        <w:rPr>
          <w:rFonts w:ascii="Calibri" w:cs="Calibri" w:eastAsia="Calibri" w:hAnsi="Calibri"/>
          <w:sz w:val="21"/>
          <w:szCs w:val="21"/>
        </w:rPr>
        <w:t xml:space="preserve">(2)	</w:t>
      </w:r>
      <w:r>
        <w:rPr>
          <w:rFonts w:ascii="Calibri" w:cs="Calibri" w:eastAsia="Calibri" w:hAnsi="Calibri"/>
          <w:sz w:val="21"/>
          <w:szCs w:val="21"/>
        </w:rPr>
        <w:t xml:space="preserve">Plaćanje se vrši u dinarima, u protivvrednosti po srednjem kursu Narodne banke Srbije na dan uplate.</w:t>
      </w:r>
    </w:p>
    <w:p>
      <w:pPr>
        <w:spacing w:after="110" w:line="276"/>
        <w:ind w:left="340" w:hanging="340"/>
      </w:pPr>
      <w:r>
        <w:rPr>
          <w:rFonts w:ascii="Calibri" w:cs="Calibri" w:eastAsia="Calibri" w:hAnsi="Calibri"/>
          <w:sz w:val="21"/>
          <w:szCs w:val="21"/>
        </w:rPr>
        <w:t xml:space="preserve">(3)	</w:t>
      </w:r>
      <w:r>
        <w:rPr>
          <w:rFonts w:ascii="Calibri" w:cs="Calibri" w:eastAsia="Calibri" w:hAnsi="Calibri"/>
          <w:sz w:val="21"/>
          <w:szCs w:val="21"/>
        </w:rPr>
        <w:t xml:space="preserve">Cena ne sadrži porez na dodatu vrednost, koji se obračunava u skladu sa propisima.</w:t>
      </w:r>
    </w:p>
    <w:p>
      <w:pPr>
        <w:spacing w:after="110" w:line="276"/>
        <w:ind w:left="340" w:hanging="340"/>
      </w:pPr>
      <w:r>
        <w:rPr>
          <w:rFonts w:ascii="Calibri" w:cs="Calibri" w:eastAsia="Calibri" w:hAnsi="Calibri"/>
          <w:sz w:val="21"/>
          <w:szCs w:val="21"/>
        </w:rPr>
        <w:t xml:space="preserve">(4)	</w:t>
      </w:r>
      <w:r>
        <w:rPr>
          <w:rFonts w:ascii="Calibri" w:cs="Calibri" w:eastAsia="Calibri" w:hAnsi="Calibri"/>
          <w:sz w:val="21"/>
          <w:szCs w:val="21"/>
        </w:rPr>
        <w:t xml:space="preserve">Korisnik koji prvi put zaključuje ugovor plaća ugovorenu godišnju naknadu pre aktivacije Softvera. Prilikom obnove, Davalac ispostavlja fakturu sa rokom plaćanja od 30 dana.</w:t>
      </w:r>
    </w:p>
    <w:p>
      <w:pPr>
        <w:spacing w:after="110" w:line="276"/>
        <w:ind w:left="340" w:hanging="340"/>
      </w:pPr>
      <w:r>
        <w:rPr>
          <w:rFonts w:ascii="Calibri" w:cs="Calibri" w:eastAsia="Calibri" w:hAnsi="Calibri"/>
          <w:sz w:val="21"/>
          <w:szCs w:val="21"/>
        </w:rPr>
        <w:t xml:space="preserve">(5)	</w:t>
      </w:r>
      <w:r>
        <w:rPr>
          <w:rFonts w:ascii="Calibri" w:cs="Calibri" w:eastAsia="Calibri" w:hAnsi="Calibri"/>
          <w:sz w:val="21"/>
          <w:szCs w:val="21"/>
        </w:rPr>
        <w:t xml:space="preserve">Ugovor se zaključuje i naknada plaća pre početka sezone. Ugovorne strane su saglasne da se datum obnove usklađuje tako da uvek pada pre početka sezone iz člana 7. stav 3.</w:t>
      </w:r>
    </w:p>
    <w:p>
      <w:pPr>
        <w:spacing w:after="110" w:line="276"/>
        <w:ind w:left="340" w:hanging="340"/>
      </w:pPr>
      <w:r>
        <w:rPr>
          <w:rFonts w:ascii="Calibri" w:cs="Calibri" w:eastAsia="Calibri" w:hAnsi="Calibri"/>
          <w:sz w:val="21"/>
          <w:szCs w:val="21"/>
        </w:rPr>
        <w:t xml:space="preserve">(6)	</w:t>
      </w:r>
      <w:r>
        <w:rPr>
          <w:rFonts w:ascii="Calibri" w:cs="Calibri" w:eastAsia="Calibri" w:hAnsi="Calibri"/>
          <w:sz w:val="21"/>
          <w:szCs w:val="21"/>
        </w:rPr>
        <w:t xml:space="preserve">Ugovorena osnovna naknada ne menja se tokom plaćenog perioda. Naknadno ugovoreni moduli, stanice ili prelazak na viši paket obračunavaju se srazmerno preostalom trajanju ugovorne godine.</w:t>
      </w:r>
    </w:p>
    <w:p>
      <w:pPr>
        <w:spacing w:after="110" w:line="276"/>
        <w:ind w:left="340" w:hanging="340"/>
      </w:pPr>
      <w:r>
        <w:rPr>
          <w:rFonts w:ascii="Calibri" w:cs="Calibri" w:eastAsia="Calibri" w:hAnsi="Calibri"/>
          <w:sz w:val="21"/>
          <w:szCs w:val="21"/>
        </w:rPr>
        <w:t xml:space="preserve">(7)	</w:t>
      </w:r>
      <w:r>
        <w:rPr>
          <w:rFonts w:ascii="Calibri" w:cs="Calibri" w:eastAsia="Calibri" w:hAnsi="Calibri"/>
          <w:sz w:val="21"/>
          <w:szCs w:val="21"/>
        </w:rPr>
        <w:t xml:space="preserve">U slučaju docnje sa plaćanjem, Davalac ima pravo na zakonsku zateznu kamatu.</w:t>
      </w:r>
    </w:p>
    <w:p>
      <w:pPr>
        <w:keepNext/>
        <w:spacing w:after="40" w:before="320"/>
      </w:pPr>
      <w:r>
        <w:rPr>
          <w:rFonts w:ascii="Calibri" w:cs="Calibri" w:eastAsia="Calibri" w:hAnsi="Calibri"/>
          <w:b/>
          <w:bCs/>
          <w:color w:val="1E2D14"/>
          <w:sz w:val="22"/>
          <w:szCs w:val="22"/>
        </w:rPr>
        <w:t xml:space="preserve">Član 4</w:t>
      </w:r>
    </w:p>
    <w:p>
      <w:pPr>
        <w:keepNext/>
        <w:pBdr>
          <w:bottom w:val="single" w:color="C8A84B" w:sz="6" w:space="4"/>
        </w:pBdr>
        <w:spacing w:after="140"/>
      </w:pPr>
      <w:r>
        <w:rPr>
          <w:rFonts w:ascii="Calibri" w:cs="Calibri" w:eastAsia="Calibri" w:hAnsi="Calibri"/>
          <w:b/>
          <w:bCs/>
          <w:color w:val="1E2D14"/>
          <w:spacing w:val="20"/>
          <w:sz w:val="19"/>
          <w:szCs w:val="19"/>
        </w:rPr>
        <w:t xml:space="preserve">UVOĐENJE SISTEMA</w:t>
      </w:r>
    </w:p>
    <w:p>
      <w:pPr>
        <w:spacing w:after="110" w:line="276"/>
        <w:ind w:left="340" w:hanging="340"/>
      </w:pPr>
      <w:r>
        <w:rPr>
          <w:rFonts w:ascii="Calibri" w:cs="Calibri" w:eastAsia="Calibri" w:hAnsi="Calibri"/>
          <w:sz w:val="21"/>
          <w:szCs w:val="21"/>
        </w:rPr>
        <w:t xml:space="preserve">(1)	</w:t>
      </w:r>
      <w:r>
        <w:rPr>
          <w:rFonts w:ascii="Calibri" w:cs="Calibri" w:eastAsia="Calibri" w:hAnsi="Calibri"/>
          <w:sz w:val="21"/>
          <w:szCs w:val="21"/>
        </w:rPr>
        <w:t xml:space="preserve">Uvođenje obuhvata instalaciju Softvera, povezivanje njegovih komponenti, uvoz pripremljenih matičnih podataka i implementacionu obuku u trajanju do pet sati. Navedeno je uključeno u ugovorenu naknadu.</w:t>
      </w:r>
    </w:p>
    <w:p>
      <w:pPr>
        <w:spacing w:after="110" w:line="276"/>
        <w:ind w:left="340" w:hanging="340"/>
      </w:pPr>
      <w:r>
        <w:rPr>
          <w:rFonts w:ascii="Calibri" w:cs="Calibri" w:eastAsia="Calibri" w:hAnsi="Calibri"/>
          <w:sz w:val="21"/>
          <w:szCs w:val="21"/>
        </w:rPr>
        <w:t xml:space="preserve">(2)	</w:t>
      </w:r>
      <w:r>
        <w:rPr>
          <w:rFonts w:ascii="Calibri" w:cs="Calibri" w:eastAsia="Calibri" w:hAnsi="Calibri"/>
          <w:sz w:val="21"/>
          <w:szCs w:val="21"/>
        </w:rPr>
        <w:t xml:space="preserve">Obuka preko pet sati, obuka novih zaposlenih, dodatne radionice i složena migracija istorijskih podataka naplaćuju se posebno, prema Prilogu 1.</w:t>
      </w:r>
    </w:p>
    <w:p>
      <w:pPr>
        <w:spacing w:after="110" w:line="276"/>
        <w:ind w:left="340" w:hanging="340"/>
      </w:pPr>
      <w:r>
        <w:rPr>
          <w:rFonts w:ascii="Calibri" w:cs="Calibri" w:eastAsia="Calibri" w:hAnsi="Calibri"/>
          <w:sz w:val="21"/>
          <w:szCs w:val="21"/>
        </w:rPr>
        <w:t xml:space="preserve">(3)	</w:t>
      </w:r>
      <w:r>
        <w:rPr>
          <w:rFonts w:ascii="Calibri" w:cs="Calibri" w:eastAsia="Calibri" w:hAnsi="Calibri"/>
          <w:sz w:val="21"/>
          <w:szCs w:val="21"/>
        </w:rPr>
        <w:t xml:space="preserve">Korisnik je dužan da odredi odgovorno lice koje poznaje njegove poslovne procese i koje je ovlašćeno da donosi operativne odluke tokom uvođenja.</w:t>
      </w:r>
    </w:p>
    <w:p>
      <w:pPr>
        <w:spacing w:after="110" w:line="276"/>
        <w:ind w:left="340" w:hanging="340"/>
      </w:pPr>
      <w:r>
        <w:rPr>
          <w:rFonts w:ascii="Calibri" w:cs="Calibri" w:eastAsia="Calibri" w:hAnsi="Calibri"/>
          <w:sz w:val="21"/>
          <w:szCs w:val="21"/>
        </w:rPr>
        <w:t xml:space="preserve">(4)	</w:t>
      </w:r>
      <w:r>
        <w:rPr>
          <w:rFonts w:ascii="Calibri" w:cs="Calibri" w:eastAsia="Calibri" w:hAnsi="Calibri"/>
          <w:sz w:val="21"/>
          <w:szCs w:val="21"/>
        </w:rPr>
        <w:t xml:space="preserve">Korisnik priprema i potvrđuje poslovnu tačnost matičnih podataka, naročito šifarnika, podataka o proizvođačima, stanicama, artiklima, cenama i početnim stanjima. Davalac obezbeđuje obrasce, tehnički uvoz i tehničku validaciju i dužan je da prijavi uočene nelogičnosti, ali ne odgovara za istinitost dostavljenih podataka.</w:t>
      </w:r>
    </w:p>
    <w:p>
      <w:pPr>
        <w:spacing w:after="110" w:line="276"/>
        <w:ind w:left="340" w:hanging="340"/>
      </w:pPr>
      <w:r>
        <w:rPr>
          <w:rFonts w:ascii="Calibri" w:cs="Calibri" w:eastAsia="Calibri" w:hAnsi="Calibri"/>
          <w:sz w:val="21"/>
          <w:szCs w:val="21"/>
        </w:rPr>
        <w:t xml:space="preserve">(5)	</w:t>
      </w:r>
      <w:r>
        <w:rPr>
          <w:rFonts w:ascii="Calibri" w:cs="Calibri" w:eastAsia="Calibri" w:hAnsi="Calibri"/>
          <w:sz w:val="21"/>
          <w:szCs w:val="21"/>
        </w:rPr>
        <w:t xml:space="preserve">Produkcijski rad počinje tek nakon što Davalac potvrdi tehničku spremnost sistema, uspešnost uvoza i ispravnost ključnih tokova, a odgovorno lice Korisnika potvrdi poslovnu tačnost podataka, podešavanja i spremnost zaposlenih.</w:t>
      </w:r>
    </w:p>
    <w:p>
      <w:pPr>
        <w:spacing w:after="110" w:line="276"/>
        <w:ind w:left="340" w:hanging="340"/>
      </w:pPr>
      <w:r>
        <w:rPr>
          <w:rFonts w:ascii="Calibri" w:cs="Calibri" w:eastAsia="Calibri" w:hAnsi="Calibri"/>
          <w:sz w:val="21"/>
          <w:szCs w:val="21"/>
        </w:rPr>
        <w:t xml:space="preserve">(6)	</w:t>
      </w:r>
      <w:r>
        <w:rPr>
          <w:rFonts w:ascii="Calibri" w:cs="Calibri" w:eastAsia="Calibri" w:hAnsi="Calibri"/>
          <w:sz w:val="21"/>
          <w:szCs w:val="21"/>
        </w:rPr>
        <w:t xml:space="preserve">Izuzetno, kada Korisnik započinje korišćenje neposredno pred sezonu, potvrda iz stava 5. može se dati u skraćenom obliku, uz izričito prihvatanje rizika od strane Korisnika. U tom slučaju ne izvodi se razvoj po zahtevu Korisnika pre početka produkcijskog rada.</w:t>
      </w:r>
    </w:p>
    <w:p>
      <w:pPr>
        <w:spacing w:after="110" w:line="276"/>
        <w:ind w:left="340" w:hanging="340"/>
      </w:pPr>
      <w:r>
        <w:rPr>
          <w:rFonts w:ascii="Calibri" w:cs="Calibri" w:eastAsia="Calibri" w:hAnsi="Calibri"/>
          <w:sz w:val="21"/>
          <w:szCs w:val="21"/>
        </w:rPr>
        <w:t xml:space="preserve">(7)	</w:t>
      </w:r>
      <w:r>
        <w:rPr>
          <w:rFonts w:ascii="Calibri" w:cs="Calibri" w:eastAsia="Calibri" w:hAnsi="Calibri"/>
          <w:sz w:val="21"/>
          <w:szCs w:val="21"/>
        </w:rPr>
        <w:t xml:space="preserve">Ako uvođenje kasni iz razloga na strani Korisnika, naročito zbog nedostavljanja podataka, neodređivanja odgovornog lica ili nepripremljenosti zaposlenih, uvođenje se privremeno obustavlja, a ugovorni rok nastavlja da teče. Ako do početka produkcijskog rada ne dođe iz razloga na strani Korisnika, neiskorišćeni deo perioda prenosi se jednokratno u narednu ugovornu godinu.</w:t>
      </w:r>
    </w:p>
    <w:p>
      <w:pPr>
        <w:keepNext/>
        <w:spacing w:after="40" w:before="320"/>
      </w:pPr>
      <w:r>
        <w:rPr>
          <w:rFonts w:ascii="Calibri" w:cs="Calibri" w:eastAsia="Calibri" w:hAnsi="Calibri"/>
          <w:b/>
          <w:bCs/>
          <w:color w:val="1E2D14"/>
          <w:sz w:val="22"/>
          <w:szCs w:val="22"/>
        </w:rPr>
        <w:t xml:space="preserve">Član 5</w:t>
      </w:r>
    </w:p>
    <w:p>
      <w:pPr>
        <w:keepNext/>
        <w:pBdr>
          <w:bottom w:val="single" w:color="C8A84B" w:sz="6" w:space="4"/>
        </w:pBdr>
        <w:spacing w:after="140"/>
      </w:pPr>
      <w:r>
        <w:rPr>
          <w:rFonts w:ascii="Calibri" w:cs="Calibri" w:eastAsia="Calibri" w:hAnsi="Calibri"/>
          <w:b/>
          <w:bCs/>
          <w:color w:val="1E2D14"/>
          <w:spacing w:val="20"/>
          <w:sz w:val="19"/>
          <w:szCs w:val="19"/>
        </w:rPr>
        <w:t xml:space="preserve">PODRŠKA I ODRŽAVANJE</w:t>
      </w:r>
    </w:p>
    <w:p>
      <w:pPr>
        <w:spacing w:after="110" w:line="276"/>
        <w:ind w:left="340" w:hanging="340"/>
      </w:pPr>
      <w:r>
        <w:rPr>
          <w:rFonts w:ascii="Calibri" w:cs="Calibri" w:eastAsia="Calibri" w:hAnsi="Calibri"/>
          <w:sz w:val="21"/>
          <w:szCs w:val="21"/>
        </w:rPr>
        <w:t xml:space="preserve">(1)	</w:t>
      </w:r>
      <w:r>
        <w:rPr>
          <w:rFonts w:ascii="Calibri" w:cs="Calibri" w:eastAsia="Calibri" w:hAnsi="Calibri"/>
          <w:sz w:val="21"/>
          <w:szCs w:val="21"/>
        </w:rPr>
        <w:t xml:space="preserve">U ugovorenu naknadu uključeni su: otklanjanje grešaka u radu Softvera, bezbednosne ispravke, redovna ažuriranja i nove verzije, kao i standardna korisnička podrška putem telefona, elektronske pošte i daljinske dijagnostike.</w:t>
      </w:r>
    </w:p>
    <w:p>
      <w:pPr>
        <w:spacing w:after="110" w:line="276"/>
        <w:ind w:left="340" w:hanging="340"/>
      </w:pPr>
      <w:r>
        <w:rPr>
          <w:rFonts w:ascii="Calibri" w:cs="Calibri" w:eastAsia="Calibri" w:hAnsi="Calibri"/>
          <w:sz w:val="21"/>
          <w:szCs w:val="21"/>
        </w:rPr>
        <w:t xml:space="preserve">(2)	</w:t>
      </w:r>
      <w:r>
        <w:rPr>
          <w:rFonts w:ascii="Calibri" w:cs="Calibri" w:eastAsia="Calibri" w:hAnsi="Calibri"/>
          <w:sz w:val="21"/>
          <w:szCs w:val="21"/>
        </w:rPr>
        <w:t xml:space="preserve">Davalac o svom trošku prilagođava Softver izmenama propisa koje utiču na njegovo funkcionisanje, nezavisno od broja Korisnika na koje se izmena odnosi.</w:t>
      </w:r>
    </w:p>
    <w:p>
      <w:pPr>
        <w:spacing w:after="110" w:line="276"/>
        <w:ind w:left="340" w:hanging="340"/>
      </w:pPr>
      <w:r>
        <w:rPr>
          <w:rFonts w:ascii="Calibri" w:cs="Calibri" w:eastAsia="Calibri" w:hAnsi="Calibri"/>
          <w:sz w:val="21"/>
          <w:szCs w:val="21"/>
        </w:rPr>
        <w:t xml:space="preserve">(3)	</w:t>
      </w:r>
      <w:r>
        <w:rPr>
          <w:rFonts w:ascii="Calibri" w:cs="Calibri" w:eastAsia="Calibri" w:hAnsi="Calibri"/>
          <w:sz w:val="21"/>
          <w:szCs w:val="21"/>
        </w:rPr>
        <w:t xml:space="preserve">Standardno radno vreme podrške je radnim danima od 08.00 do 16.00 časova.</w:t>
      </w:r>
    </w:p>
    <w:p>
      <w:pPr>
        <w:spacing w:after="110" w:line="276"/>
        <w:ind w:left="340" w:hanging="340"/>
      </w:pPr>
      <w:r>
        <w:rPr>
          <w:rFonts w:ascii="Calibri" w:cs="Calibri" w:eastAsia="Calibri" w:hAnsi="Calibri"/>
          <w:sz w:val="21"/>
          <w:szCs w:val="21"/>
        </w:rPr>
        <w:t xml:space="preserve">(4)	</w:t>
      </w:r>
      <w:r>
        <w:rPr>
          <w:rFonts w:ascii="Calibri" w:cs="Calibri" w:eastAsia="Calibri" w:hAnsi="Calibri"/>
          <w:sz w:val="21"/>
          <w:szCs w:val="21"/>
        </w:rPr>
        <w:t xml:space="preserve">Tokom sezone, koja traje od 1. juna do 30. novembra, podrška za kritične incidente pruža se i vikendom.</w:t>
      </w:r>
    </w:p>
    <w:p>
      <w:pPr>
        <w:spacing w:after="110" w:line="276"/>
        <w:ind w:left="340" w:hanging="340"/>
      </w:pPr>
      <w:r>
        <w:rPr>
          <w:rFonts w:ascii="Calibri" w:cs="Calibri" w:eastAsia="Calibri" w:hAnsi="Calibri"/>
          <w:sz w:val="21"/>
          <w:szCs w:val="21"/>
        </w:rPr>
        <w:t xml:space="preserve">(5)	</w:t>
      </w:r>
      <w:r>
        <w:rPr>
          <w:rFonts w:ascii="Calibri" w:cs="Calibri" w:eastAsia="Calibri" w:hAnsi="Calibri"/>
          <w:sz w:val="21"/>
          <w:szCs w:val="21"/>
        </w:rPr>
        <w:t xml:space="preserve">Kritičnim incidentom smatra se događaj usled kojeg većina korisnika ili stanica ne može da radi, nije moguće evidentirati otkup ili izdati osnovni dokument, postoji ozbiljan rizik od gubitka ili oštećenja podataka, centralna aplikacija je neupotrebljiva, ili je sinhronizacija potpuno blokirana.</w:t>
      </w:r>
    </w:p>
    <w:p>
      <w:pPr>
        <w:spacing w:after="110" w:line="276"/>
        <w:ind w:left="340" w:hanging="340"/>
      </w:pPr>
      <w:r>
        <w:rPr>
          <w:rFonts w:ascii="Calibri" w:cs="Calibri" w:eastAsia="Calibri" w:hAnsi="Calibri"/>
          <w:sz w:val="21"/>
          <w:szCs w:val="21"/>
        </w:rPr>
        <w:t xml:space="preserve">(6)	</w:t>
      </w:r>
      <w:r>
        <w:rPr>
          <w:rFonts w:ascii="Calibri" w:cs="Calibri" w:eastAsia="Calibri" w:hAnsi="Calibri"/>
          <w:sz w:val="21"/>
          <w:szCs w:val="21"/>
        </w:rPr>
        <w:t xml:space="preserve">Za kritične incidente Davalac potvrđuje prijem i započinje dijagnostiku u roku od jednog sata, u okviru vremenskog prozora utvrđenog Prilogom 2. Za ostale incidente Davalac odgovara u roku od jednog radnog dana.</w:t>
      </w:r>
    </w:p>
    <w:p>
      <w:pPr>
        <w:spacing w:after="110" w:line="276"/>
        <w:ind w:left="340" w:hanging="340"/>
      </w:pPr>
      <w:r>
        <w:rPr>
          <w:rFonts w:ascii="Calibri" w:cs="Calibri" w:eastAsia="Calibri" w:hAnsi="Calibri"/>
          <w:sz w:val="21"/>
          <w:szCs w:val="21"/>
        </w:rPr>
        <w:t xml:space="preserve">(7)	</w:t>
      </w:r>
      <w:r>
        <w:rPr>
          <w:rFonts w:ascii="Calibri" w:cs="Calibri" w:eastAsia="Calibri" w:hAnsi="Calibri"/>
          <w:sz w:val="21"/>
          <w:szCs w:val="21"/>
        </w:rPr>
        <w:t xml:space="preserve">Podrškom nisu obuhvaćeni i posebno se naplaćuju: čišćenje i ispravljanje podataka nastalih greškom Korisnika, masovne korekcije, izrada izveštaja i funkcija specifičnih za Korisnika, podešavanje računara, mreže i štampača, savetovanje o internim poslovnim procesima Korisnika i izlazak na lokaciju.</w:t>
      </w:r>
    </w:p>
    <w:p>
      <w:pPr>
        <w:keepNext/>
        <w:spacing w:after="40" w:before="320"/>
      </w:pPr>
      <w:r>
        <w:rPr>
          <w:rFonts w:ascii="Calibri" w:cs="Calibri" w:eastAsia="Calibri" w:hAnsi="Calibri"/>
          <w:b/>
          <w:bCs/>
          <w:color w:val="1E2D14"/>
          <w:sz w:val="22"/>
          <w:szCs w:val="22"/>
        </w:rPr>
        <w:t xml:space="preserve">Član 6</w:t>
      </w:r>
    </w:p>
    <w:p>
      <w:pPr>
        <w:keepNext/>
        <w:pBdr>
          <w:bottom w:val="single" w:color="C8A84B" w:sz="6" w:space="4"/>
        </w:pBdr>
        <w:spacing w:after="140"/>
      </w:pPr>
      <w:r>
        <w:rPr>
          <w:rFonts w:ascii="Calibri" w:cs="Calibri" w:eastAsia="Calibri" w:hAnsi="Calibri"/>
          <w:b/>
          <w:bCs/>
          <w:color w:val="1E2D14"/>
          <w:spacing w:val="20"/>
          <w:sz w:val="19"/>
          <w:szCs w:val="19"/>
        </w:rPr>
        <w:t xml:space="preserve">DOSTUPNOST I INCIDENTI</w:t>
      </w:r>
    </w:p>
    <w:p>
      <w:pPr>
        <w:spacing w:after="110" w:line="276"/>
        <w:ind w:left="340" w:hanging="340"/>
      </w:pPr>
      <w:r>
        <w:rPr>
          <w:rFonts w:ascii="Calibri" w:cs="Calibri" w:eastAsia="Calibri" w:hAnsi="Calibri"/>
          <w:sz w:val="21"/>
          <w:szCs w:val="21"/>
        </w:rPr>
        <w:t xml:space="preserve">(1)	</w:t>
      </w:r>
      <w:r>
        <w:rPr>
          <w:rFonts w:ascii="Calibri" w:cs="Calibri" w:eastAsia="Calibri" w:hAnsi="Calibri"/>
          <w:sz w:val="21"/>
          <w:szCs w:val="21"/>
        </w:rPr>
        <w:t xml:space="preserve">Davalac ne garantuje određeni procenat dostupnosti Softvera. Davalac interno prati dostupnost ključnih poslovnih tokova i preduzima mere radi njenog održavanja.</w:t>
      </w:r>
    </w:p>
    <w:p>
      <w:pPr>
        <w:spacing w:after="110" w:line="276"/>
        <w:ind w:left="340" w:hanging="340"/>
      </w:pPr>
      <w:r>
        <w:rPr>
          <w:rFonts w:ascii="Calibri" w:cs="Calibri" w:eastAsia="Calibri" w:hAnsi="Calibri"/>
          <w:sz w:val="21"/>
          <w:szCs w:val="21"/>
        </w:rPr>
        <w:t xml:space="preserve">(2)	</w:t>
      </w:r>
      <w:r>
        <w:rPr>
          <w:rFonts w:ascii="Calibri" w:cs="Calibri" w:eastAsia="Calibri" w:hAnsi="Calibri"/>
          <w:sz w:val="21"/>
          <w:szCs w:val="21"/>
        </w:rPr>
        <w:t xml:space="preserve">Planirano održavanje Davalac najavljuje unapred i ono se ne smatra incidentom.</w:t>
      </w:r>
    </w:p>
    <w:p>
      <w:pPr>
        <w:spacing w:after="110" w:line="276"/>
        <w:ind w:left="340" w:hanging="340"/>
      </w:pPr>
      <w:r>
        <w:rPr>
          <w:rFonts w:ascii="Calibri" w:cs="Calibri" w:eastAsia="Calibri" w:hAnsi="Calibri"/>
          <w:sz w:val="21"/>
          <w:szCs w:val="21"/>
        </w:rPr>
        <w:t xml:space="preserve">(3)	</w:t>
      </w:r>
      <w:r>
        <w:rPr>
          <w:rFonts w:ascii="Calibri" w:cs="Calibri" w:eastAsia="Calibri" w:hAnsi="Calibri"/>
          <w:sz w:val="21"/>
          <w:szCs w:val="21"/>
        </w:rPr>
        <w:t xml:space="preserve">Nedostupnost usluga trećih lica, naročito sistema elektronskih faktura, bankarskih servisa i servisa dobavljača infrastrukture, ne smatra se neispunjenjem obaveza Davaoca.</w:t>
      </w:r>
    </w:p>
    <w:p>
      <w:pPr>
        <w:spacing w:after="110" w:line="276"/>
        <w:ind w:left="340" w:hanging="340"/>
      </w:pPr>
      <w:r>
        <w:rPr>
          <w:rFonts w:ascii="Calibri" w:cs="Calibri" w:eastAsia="Calibri" w:hAnsi="Calibri"/>
          <w:sz w:val="21"/>
          <w:szCs w:val="21"/>
        </w:rPr>
        <w:t xml:space="preserve">(4)	</w:t>
      </w:r>
      <w:r>
        <w:rPr>
          <w:rFonts w:ascii="Calibri" w:cs="Calibri" w:eastAsia="Calibri" w:hAnsi="Calibri"/>
          <w:sz w:val="21"/>
          <w:szCs w:val="21"/>
        </w:rPr>
        <w:t xml:space="preserve">Davalac obaveštava Korisnika bez nepotrebnog odlaganja o incidentu koji je značajno uticao na dostupnost, obradu, tačnost ili integritet njegovih podataka, uz sažetak uzroka, posledica i preduzetih mera.</w:t>
      </w:r>
    </w:p>
    <w:p>
      <w:pPr>
        <w:keepNext/>
        <w:spacing w:after="40" w:before="320"/>
      </w:pPr>
      <w:r>
        <w:rPr>
          <w:rFonts w:ascii="Calibri" w:cs="Calibri" w:eastAsia="Calibri" w:hAnsi="Calibri"/>
          <w:b/>
          <w:bCs/>
          <w:color w:val="1E2D14"/>
          <w:sz w:val="22"/>
          <w:szCs w:val="22"/>
        </w:rPr>
        <w:t xml:space="preserve">Član 7</w:t>
      </w:r>
    </w:p>
    <w:p>
      <w:pPr>
        <w:keepNext/>
        <w:pBdr>
          <w:bottom w:val="single" w:color="C8A84B" w:sz="6" w:space="4"/>
        </w:pBdr>
        <w:spacing w:after="140"/>
      </w:pPr>
      <w:r>
        <w:rPr>
          <w:rFonts w:ascii="Calibri" w:cs="Calibri" w:eastAsia="Calibri" w:hAnsi="Calibri"/>
          <w:b/>
          <w:bCs/>
          <w:color w:val="1E2D14"/>
          <w:spacing w:val="20"/>
          <w:sz w:val="19"/>
          <w:szCs w:val="19"/>
        </w:rPr>
        <w:t xml:space="preserve">TRAJANJE, OBNOVA I RASKID</w:t>
      </w:r>
    </w:p>
    <w:p>
      <w:pPr>
        <w:spacing w:after="110" w:line="276"/>
        <w:ind w:left="340" w:hanging="340"/>
      </w:pPr>
      <w:r>
        <w:rPr>
          <w:rFonts w:ascii="Calibri" w:cs="Calibri" w:eastAsia="Calibri" w:hAnsi="Calibri"/>
          <w:sz w:val="21"/>
          <w:szCs w:val="21"/>
        </w:rPr>
        <w:t xml:space="preserve">(1)	</w:t>
      </w:r>
      <w:r>
        <w:rPr>
          <w:rFonts w:ascii="Calibri" w:cs="Calibri" w:eastAsia="Calibri" w:hAnsi="Calibri"/>
          <w:sz w:val="21"/>
          <w:szCs w:val="21"/>
        </w:rPr>
        <w:t xml:space="preserve">Ugovor se zaključuje na period od 12 meseci.</w:t>
      </w:r>
    </w:p>
    <w:p>
      <w:pPr>
        <w:spacing w:after="110" w:line="276"/>
        <w:ind w:left="340" w:hanging="340"/>
      </w:pPr>
      <w:r>
        <w:rPr>
          <w:rFonts w:ascii="Calibri" w:cs="Calibri" w:eastAsia="Calibri" w:hAnsi="Calibri"/>
          <w:sz w:val="21"/>
          <w:szCs w:val="21"/>
        </w:rPr>
        <w:t xml:space="preserve">(2)	</w:t>
      </w:r>
      <w:r>
        <w:rPr>
          <w:rFonts w:ascii="Calibri" w:cs="Calibri" w:eastAsia="Calibri" w:hAnsi="Calibri"/>
          <w:sz w:val="21"/>
          <w:szCs w:val="21"/>
        </w:rPr>
        <w:t xml:space="preserve">Obnova nije automatska. Davalac obaveštava Korisnika o isteku najkasnije 30 dana pre isteka ugovorenog perioda. Ugovor se obnavlja potvrdom Korisnika i plaćanjem naknade za naredni period.</w:t>
      </w:r>
    </w:p>
    <w:p>
      <w:pPr>
        <w:spacing w:after="110" w:line="276"/>
        <w:ind w:left="340" w:hanging="340"/>
      </w:pPr>
      <w:r>
        <w:rPr>
          <w:rFonts w:ascii="Calibri" w:cs="Calibri" w:eastAsia="Calibri" w:hAnsi="Calibri"/>
          <w:sz w:val="21"/>
          <w:szCs w:val="21"/>
        </w:rPr>
        <w:t xml:space="preserve">(3)	</w:t>
      </w:r>
      <w:r>
        <w:rPr>
          <w:rFonts w:ascii="Calibri" w:cs="Calibri" w:eastAsia="Calibri" w:hAnsi="Calibri"/>
          <w:sz w:val="21"/>
          <w:szCs w:val="21"/>
        </w:rPr>
        <w:t xml:space="preserve">Sezonom se, u smislu ovog ugovora, smatra period od 1. juna do 30. novembra.</w:t>
      </w:r>
    </w:p>
    <w:p>
      <w:pPr>
        <w:spacing w:after="110" w:line="276"/>
        <w:ind w:left="340" w:hanging="340"/>
      </w:pPr>
      <w:r>
        <w:rPr>
          <w:rFonts w:ascii="Calibri" w:cs="Calibri" w:eastAsia="Calibri" w:hAnsi="Calibri"/>
          <w:sz w:val="21"/>
          <w:szCs w:val="21"/>
        </w:rPr>
        <w:t xml:space="preserve">(4)	</w:t>
      </w:r>
      <w:r>
        <w:rPr>
          <w:rFonts w:ascii="Calibri" w:cs="Calibri" w:eastAsia="Calibri" w:hAnsi="Calibri"/>
          <w:sz w:val="21"/>
          <w:szCs w:val="21"/>
        </w:rPr>
        <w:t xml:space="preserve">Ako ugovor ne bude obnovljen, Korisnik u roku od 30 dana od isteka zadržava pristup Softveru u režimu pregleda i izvoza podataka, bez mogućnosti unosa i obrade.</w:t>
      </w:r>
    </w:p>
    <w:p>
      <w:pPr>
        <w:spacing w:after="110" w:line="276"/>
        <w:ind w:left="340" w:hanging="340"/>
      </w:pPr>
      <w:r>
        <w:rPr>
          <w:rFonts w:ascii="Calibri" w:cs="Calibri" w:eastAsia="Calibri" w:hAnsi="Calibri"/>
          <w:sz w:val="21"/>
          <w:szCs w:val="21"/>
        </w:rPr>
        <w:t xml:space="preserve">(5)	</w:t>
      </w:r>
      <w:r>
        <w:rPr>
          <w:rFonts w:ascii="Calibri" w:cs="Calibri" w:eastAsia="Calibri" w:hAnsi="Calibri"/>
          <w:sz w:val="21"/>
          <w:szCs w:val="21"/>
        </w:rPr>
        <w:t xml:space="preserve">Korisnik može raskinuti ugovor pre isteka ugovorenog perioda samo u slučaju bitne povrede ugovornih obaveza od strane Davaoca, uz prethodni pisani poziv da povredu otkloni u primerenom roku koji ne može biti kraći od 15 dana.</w:t>
      </w:r>
    </w:p>
    <w:p>
      <w:pPr>
        <w:spacing w:after="110" w:line="276"/>
        <w:ind w:left="340" w:hanging="340"/>
      </w:pPr>
      <w:r>
        <w:rPr>
          <w:rFonts w:ascii="Calibri" w:cs="Calibri" w:eastAsia="Calibri" w:hAnsi="Calibri"/>
          <w:sz w:val="21"/>
          <w:szCs w:val="21"/>
        </w:rPr>
        <w:t xml:space="preserve">(6)	</w:t>
      </w:r>
      <w:r>
        <w:rPr>
          <w:rFonts w:ascii="Calibri" w:cs="Calibri" w:eastAsia="Calibri" w:hAnsi="Calibri"/>
          <w:sz w:val="21"/>
          <w:szCs w:val="21"/>
        </w:rPr>
        <w:t xml:space="preserve">Davalac može raskinuti ugovor ako Korisnik ne izmiri dospelu naknadu ni u naknadnom roku od 15 dana od pisane opomene, kao i u slučaju bitne povrede obaveza iz člana 2. ovog ugovora.</w:t>
      </w:r>
    </w:p>
    <w:p>
      <w:pPr>
        <w:spacing w:after="110" w:line="276"/>
        <w:ind w:left="340" w:hanging="340"/>
      </w:pPr>
      <w:r>
        <w:rPr>
          <w:rFonts w:ascii="Calibri" w:cs="Calibri" w:eastAsia="Calibri" w:hAnsi="Calibri"/>
          <w:sz w:val="21"/>
          <w:szCs w:val="21"/>
        </w:rPr>
        <w:t xml:space="preserve">(7)	</w:t>
      </w:r>
      <w:r>
        <w:rPr>
          <w:rFonts w:ascii="Calibri" w:cs="Calibri" w:eastAsia="Calibri" w:hAnsi="Calibri"/>
          <w:sz w:val="21"/>
          <w:szCs w:val="21"/>
        </w:rPr>
        <w:t xml:space="preserve">Prestanak ugovora ne utiče na dospele a neizmirene obaveze, niti na odredbe koje po svojoj prirodi nadživljavaju ugovor, naročito odredbe o poverljivosti, intelektualnoj svojini i ograničenju odgovornosti.</w:t>
      </w:r>
    </w:p>
    <w:p>
      <w:pPr>
        <w:keepNext/>
        <w:spacing w:after="40" w:before="320"/>
      </w:pPr>
      <w:r>
        <w:rPr>
          <w:rFonts w:ascii="Calibri" w:cs="Calibri" w:eastAsia="Calibri" w:hAnsi="Calibri"/>
          <w:b/>
          <w:bCs/>
          <w:color w:val="1E2D14"/>
          <w:sz w:val="22"/>
          <w:szCs w:val="22"/>
        </w:rPr>
        <w:t xml:space="preserve">Član 8</w:t>
      </w:r>
    </w:p>
    <w:p>
      <w:pPr>
        <w:keepNext/>
        <w:pBdr>
          <w:bottom w:val="single" w:color="C8A84B" w:sz="6" w:space="4"/>
        </w:pBdr>
        <w:spacing w:after="140"/>
      </w:pPr>
      <w:r>
        <w:rPr>
          <w:rFonts w:ascii="Calibri" w:cs="Calibri" w:eastAsia="Calibri" w:hAnsi="Calibri"/>
          <w:b/>
          <w:bCs/>
          <w:color w:val="1E2D14"/>
          <w:spacing w:val="20"/>
          <w:sz w:val="19"/>
          <w:szCs w:val="19"/>
        </w:rPr>
        <w:t xml:space="preserve">PODACI KORISNIKA</w:t>
      </w:r>
    </w:p>
    <w:p>
      <w:pPr>
        <w:spacing w:after="110" w:line="276"/>
        <w:ind w:left="340" w:hanging="340"/>
      </w:pPr>
      <w:r>
        <w:rPr>
          <w:rFonts w:ascii="Calibri" w:cs="Calibri" w:eastAsia="Calibri" w:hAnsi="Calibri"/>
          <w:sz w:val="21"/>
          <w:szCs w:val="21"/>
        </w:rPr>
        <w:t xml:space="preserve">(1)	</w:t>
      </w:r>
      <w:r>
        <w:rPr>
          <w:rFonts w:ascii="Calibri" w:cs="Calibri" w:eastAsia="Calibri" w:hAnsi="Calibri"/>
          <w:sz w:val="21"/>
          <w:szCs w:val="21"/>
        </w:rPr>
        <w:t xml:space="preserve">Poslovni podaci uneti u Softver svojina su Korisnika. Davalac ih obrađuje isključivo radi izvršenja ovog ugovora i pružanja podrške.</w:t>
      </w:r>
    </w:p>
    <w:p>
      <w:pPr>
        <w:spacing w:after="110" w:line="276"/>
        <w:ind w:left="340" w:hanging="340"/>
      </w:pPr>
      <w:r>
        <w:rPr>
          <w:rFonts w:ascii="Calibri" w:cs="Calibri" w:eastAsia="Calibri" w:hAnsi="Calibri"/>
          <w:sz w:val="21"/>
          <w:szCs w:val="21"/>
        </w:rPr>
        <w:t xml:space="preserve">(2)	</w:t>
      </w:r>
      <w:r>
        <w:rPr>
          <w:rFonts w:ascii="Calibri" w:cs="Calibri" w:eastAsia="Calibri" w:hAnsi="Calibri"/>
          <w:sz w:val="21"/>
          <w:szCs w:val="21"/>
        </w:rPr>
        <w:t xml:space="preserve">Podaci Korisnika čuvaju se odvojeno od podataka drugih korisnika. Ovlašćena lica Davaoca imaju pristup podacima Korisnika radi podrške i održavanja, u obimu koji odgovara njihovoj ulozi, uz evidentiranje pristupa. Spisak ovlašćenih lica Davalac vodi i stavlja na uvid Korisniku na zahtev.</w:t>
      </w:r>
    </w:p>
    <w:p>
      <w:pPr>
        <w:spacing w:after="110" w:line="276"/>
        <w:ind w:left="340" w:hanging="340"/>
      </w:pPr>
      <w:r>
        <w:rPr>
          <w:rFonts w:ascii="Calibri" w:cs="Calibri" w:eastAsia="Calibri" w:hAnsi="Calibri"/>
          <w:sz w:val="21"/>
          <w:szCs w:val="21"/>
        </w:rPr>
        <w:t xml:space="preserve">(3)	</w:t>
      </w:r>
      <w:r>
        <w:rPr>
          <w:rFonts w:ascii="Calibri" w:cs="Calibri" w:eastAsia="Calibri" w:hAnsi="Calibri"/>
          <w:sz w:val="21"/>
          <w:szCs w:val="21"/>
        </w:rPr>
        <w:t xml:space="preserve">Stvarni podaci Korisnika ne koriste se u razvojnim i testnim okruženjima Davaoca.</w:t>
      </w:r>
    </w:p>
    <w:p>
      <w:pPr>
        <w:spacing w:after="110" w:line="276"/>
        <w:ind w:left="340" w:hanging="340"/>
      </w:pPr>
      <w:r>
        <w:rPr>
          <w:rFonts w:ascii="Calibri" w:cs="Calibri" w:eastAsia="Calibri" w:hAnsi="Calibri"/>
          <w:sz w:val="21"/>
          <w:szCs w:val="21"/>
        </w:rPr>
        <w:t xml:space="preserve">(4)	</w:t>
      </w:r>
      <w:r>
        <w:rPr>
          <w:rFonts w:ascii="Calibri" w:cs="Calibri" w:eastAsia="Calibri" w:hAnsi="Calibri"/>
          <w:sz w:val="21"/>
          <w:szCs w:val="21"/>
        </w:rPr>
        <w:t xml:space="preserve">Davalac obezbeđuje redovnu izradu rezervnih kopija. Dnevne kopije čuvaju se 30 dana, a mesečne najmanje 12 meseci.</w:t>
      </w:r>
    </w:p>
    <w:p>
      <w:pPr>
        <w:spacing w:after="110" w:line="276"/>
        <w:ind w:left="340" w:hanging="340"/>
      </w:pPr>
      <w:r>
        <w:rPr>
          <w:rFonts w:ascii="Calibri" w:cs="Calibri" w:eastAsia="Calibri" w:hAnsi="Calibri"/>
          <w:sz w:val="21"/>
          <w:szCs w:val="21"/>
        </w:rPr>
        <w:t xml:space="preserve">(5)	</w:t>
      </w:r>
      <w:r>
        <w:rPr>
          <w:rFonts w:ascii="Calibri" w:cs="Calibri" w:eastAsia="Calibri" w:hAnsi="Calibri"/>
          <w:sz w:val="21"/>
          <w:szCs w:val="21"/>
        </w:rPr>
        <w:t xml:space="preserve">Korisnik može u svakom trenutku samostalno izvoziti osnovne podatke i dokumente u standardnim formatima. Kompletan arhivski izvoz svih podataka, veza i priloga Davalac obezbeđuje na zahtev Korisnika.</w:t>
      </w:r>
    </w:p>
    <w:p>
      <w:pPr>
        <w:spacing w:after="110" w:line="276"/>
        <w:ind w:left="340" w:hanging="340"/>
      </w:pPr>
      <w:r>
        <w:rPr>
          <w:rFonts w:ascii="Calibri" w:cs="Calibri" w:eastAsia="Calibri" w:hAnsi="Calibri"/>
          <w:sz w:val="21"/>
          <w:szCs w:val="21"/>
        </w:rPr>
        <w:t xml:space="preserve">(6)	</w:t>
      </w:r>
      <w:r>
        <w:rPr>
          <w:rFonts w:ascii="Calibri" w:cs="Calibri" w:eastAsia="Calibri" w:hAnsi="Calibri"/>
          <w:sz w:val="21"/>
          <w:szCs w:val="21"/>
        </w:rPr>
        <w:t xml:space="preserve">Po prestanku ugovora Korisnik dobija standardni izvoz podataka i dokumenata. Posebno mapiranje i prenos podataka u drugi softverski sistem ugovaraju se i naplaćuju odvojeno.</w:t>
      </w:r>
    </w:p>
    <w:p>
      <w:pPr>
        <w:spacing w:after="110" w:line="276"/>
        <w:ind w:left="340" w:hanging="340"/>
      </w:pPr>
      <w:r>
        <w:rPr>
          <w:rFonts w:ascii="Calibri" w:cs="Calibri" w:eastAsia="Calibri" w:hAnsi="Calibri"/>
          <w:sz w:val="21"/>
          <w:szCs w:val="21"/>
        </w:rPr>
        <w:t xml:space="preserve">(7)	</w:t>
      </w:r>
      <w:r>
        <w:rPr>
          <w:rFonts w:ascii="Calibri" w:cs="Calibri" w:eastAsia="Calibri" w:hAnsi="Calibri"/>
          <w:sz w:val="21"/>
          <w:szCs w:val="21"/>
        </w:rPr>
        <w:t xml:space="preserve">Na zahtev Korisnika, Davalac briše njegove podatke iz aktivnih sistema. Rezervne kopije ostaju nepromenjene do isteka roka čuvanja iz stava 4, nakon čega se brišu u redovnom postupku. Ako se rezervna kopija privremeno vrati u upotrebu, Davalac ponovo primenjuje izvršena brisanja i o tome sačinjava zabelešku.</w:t>
      </w:r>
    </w:p>
    <w:p>
      <w:pPr>
        <w:spacing w:after="110" w:line="276"/>
        <w:ind w:left="340" w:hanging="340"/>
      </w:pPr>
      <w:r>
        <w:rPr>
          <w:rFonts w:ascii="Calibri" w:cs="Calibri" w:eastAsia="Calibri" w:hAnsi="Calibri"/>
          <w:sz w:val="21"/>
          <w:szCs w:val="21"/>
        </w:rPr>
        <w:t xml:space="preserve">(8)	</w:t>
      </w:r>
      <w:r>
        <w:rPr>
          <w:rFonts w:ascii="Calibri" w:cs="Calibri" w:eastAsia="Calibri" w:hAnsi="Calibri"/>
          <w:sz w:val="21"/>
          <w:szCs w:val="21"/>
        </w:rPr>
        <w:t xml:space="preserve">Davalac može trajno zadržati podatke koji su nepovratno anonimizovani i koji se više ne mogu povezati sa Korisnikom, radi statističke obrade, praćenja pouzdanosti sistema i razvoja proizvoda. Način takvog korišćenja bliže se uređuje Prilogom 3.</w:t>
      </w:r>
    </w:p>
    <w:p>
      <w:pPr>
        <w:keepNext/>
        <w:spacing w:after="40" w:before="320"/>
      </w:pPr>
      <w:r>
        <w:rPr>
          <w:rFonts w:ascii="Calibri" w:cs="Calibri" w:eastAsia="Calibri" w:hAnsi="Calibri"/>
          <w:b/>
          <w:bCs/>
          <w:color w:val="1E2D14"/>
          <w:sz w:val="22"/>
          <w:szCs w:val="22"/>
        </w:rPr>
        <w:t xml:space="preserve">Član 9</w:t>
      </w:r>
    </w:p>
    <w:p>
      <w:pPr>
        <w:keepNext/>
        <w:pBdr>
          <w:bottom w:val="single" w:color="C8A84B" w:sz="6" w:space="4"/>
        </w:pBdr>
        <w:spacing w:after="140"/>
      </w:pPr>
      <w:r>
        <w:rPr>
          <w:rFonts w:ascii="Calibri" w:cs="Calibri" w:eastAsia="Calibri" w:hAnsi="Calibri"/>
          <w:b/>
          <w:bCs/>
          <w:color w:val="1E2D14"/>
          <w:spacing w:val="20"/>
          <w:sz w:val="19"/>
          <w:szCs w:val="19"/>
        </w:rPr>
        <w:t xml:space="preserve">PODACI O LIČNOSTI</w:t>
      </w:r>
    </w:p>
    <w:p>
      <w:pPr>
        <w:spacing w:after="110" w:line="276"/>
        <w:ind w:left="340" w:hanging="340"/>
      </w:pPr>
      <w:r>
        <w:rPr>
          <w:rFonts w:ascii="Calibri" w:cs="Calibri" w:eastAsia="Calibri" w:hAnsi="Calibri"/>
          <w:sz w:val="21"/>
          <w:szCs w:val="21"/>
        </w:rPr>
        <w:t xml:space="preserve">(1)	</w:t>
      </w:r>
      <w:r>
        <w:rPr>
          <w:rFonts w:ascii="Calibri" w:cs="Calibri" w:eastAsia="Calibri" w:hAnsi="Calibri"/>
          <w:sz w:val="21"/>
          <w:szCs w:val="21"/>
        </w:rPr>
        <w:t xml:space="preserve">U meri u kojoj se prilikom izvršenja ovog ugovora obrađuju podaci o ličnosti, ugovorne strane postupaju u skladu sa Zakonom o zaštiti podataka o ličnosti.</w:t>
      </w:r>
    </w:p>
    <w:p>
      <w:pPr>
        <w:spacing w:after="110" w:line="276"/>
        <w:ind w:left="340" w:hanging="340"/>
      </w:pPr>
      <w:r>
        <w:rPr>
          <w:rFonts w:ascii="Calibri" w:cs="Calibri" w:eastAsia="Calibri" w:hAnsi="Calibri"/>
          <w:sz w:val="21"/>
          <w:szCs w:val="21"/>
        </w:rPr>
        <w:t xml:space="preserve">(2)	</w:t>
      </w:r>
      <w:r>
        <w:rPr>
          <w:rFonts w:ascii="Calibri" w:cs="Calibri" w:eastAsia="Calibri" w:hAnsi="Calibri"/>
          <w:sz w:val="21"/>
          <w:szCs w:val="21"/>
        </w:rPr>
        <w:t xml:space="preserve">Uloge ugovornih strana u pogledu obrade podataka o ličnosti, vrste podataka, svrhe i trajanje obrade, mere zaštite i uslovi angažovanja drugih obrađivača uređuju se Prilogom 3, koji čini sastavni deo ovog ugovora.</w:t>
      </w:r>
    </w:p>
    <w:p>
      <w:pPr>
        <w:spacing w:after="110" w:line="276"/>
        <w:ind w:left="340" w:hanging="340"/>
      </w:pPr>
      <w:r>
        <w:rPr>
          <w:rFonts w:ascii="Calibri" w:cs="Calibri" w:eastAsia="Calibri" w:hAnsi="Calibri"/>
          <w:sz w:val="21"/>
          <w:szCs w:val="21"/>
        </w:rPr>
        <w:t xml:space="preserve">(3)	</w:t>
      </w:r>
      <w:r>
        <w:rPr>
          <w:rFonts w:ascii="Calibri" w:cs="Calibri" w:eastAsia="Calibri" w:hAnsi="Calibri"/>
          <w:sz w:val="21"/>
          <w:szCs w:val="21"/>
        </w:rPr>
        <w:t xml:space="preserve">Davalac obaveštava Korisnika bez nepotrebnog odlaganja o svakom incidentu koji može dovesti do povrede podataka o ličnosti i pruža mu podatke potrebne za ispunjenje njegovih zakonskih obaveza.</w:t>
      </w:r>
    </w:p>
    <w:p>
      <w:pPr>
        <w:keepNext/>
        <w:spacing w:after="40" w:before="320"/>
      </w:pPr>
      <w:r>
        <w:rPr>
          <w:rFonts w:ascii="Calibri" w:cs="Calibri" w:eastAsia="Calibri" w:hAnsi="Calibri"/>
          <w:b/>
          <w:bCs/>
          <w:color w:val="1E2D14"/>
          <w:sz w:val="22"/>
          <w:szCs w:val="22"/>
        </w:rPr>
        <w:t xml:space="preserve">Član 10</w:t>
      </w:r>
    </w:p>
    <w:p>
      <w:pPr>
        <w:keepNext/>
        <w:pBdr>
          <w:bottom w:val="single" w:color="C8A84B" w:sz="6" w:space="4"/>
        </w:pBdr>
        <w:spacing w:after="140"/>
      </w:pPr>
      <w:r>
        <w:rPr>
          <w:rFonts w:ascii="Calibri" w:cs="Calibri" w:eastAsia="Calibri" w:hAnsi="Calibri"/>
          <w:b/>
          <w:bCs/>
          <w:color w:val="1E2D14"/>
          <w:spacing w:val="20"/>
          <w:sz w:val="19"/>
          <w:szCs w:val="19"/>
        </w:rPr>
        <w:t xml:space="preserve">INTELEKTUALNA SVOJINA</w:t>
      </w:r>
    </w:p>
    <w:p>
      <w:pPr>
        <w:spacing w:after="110" w:line="276"/>
        <w:ind w:left="340" w:hanging="340"/>
      </w:pPr>
      <w:r>
        <w:rPr>
          <w:rFonts w:ascii="Calibri" w:cs="Calibri" w:eastAsia="Calibri" w:hAnsi="Calibri"/>
          <w:sz w:val="21"/>
          <w:szCs w:val="21"/>
        </w:rPr>
        <w:t xml:space="preserve">(1)	</w:t>
      </w:r>
      <w:r>
        <w:rPr>
          <w:rFonts w:ascii="Calibri" w:cs="Calibri" w:eastAsia="Calibri" w:hAnsi="Calibri"/>
          <w:sz w:val="21"/>
          <w:szCs w:val="21"/>
        </w:rPr>
        <w:t xml:space="preserve">Softver, njegov izvorni kod, arhitektura, dokumentacija i sva prateća rešenja predstavljaju autorsko delo i svojinu su Davaoca, u skladu sa Zakonom o autorskom i srodnim pravima.</w:t>
      </w:r>
    </w:p>
    <w:p>
      <w:pPr>
        <w:spacing w:after="110" w:line="276"/>
        <w:ind w:left="340" w:hanging="340"/>
      </w:pPr>
      <w:r>
        <w:rPr>
          <w:rFonts w:ascii="Calibri" w:cs="Calibri" w:eastAsia="Calibri" w:hAnsi="Calibri"/>
          <w:sz w:val="21"/>
          <w:szCs w:val="21"/>
        </w:rPr>
        <w:t xml:space="preserve">(2)	</w:t>
      </w:r>
      <w:r>
        <w:rPr>
          <w:rFonts w:ascii="Calibri" w:cs="Calibri" w:eastAsia="Calibri" w:hAnsi="Calibri"/>
          <w:sz w:val="21"/>
          <w:szCs w:val="21"/>
        </w:rPr>
        <w:t xml:space="preserve">Zaključenjem ovog ugovora Korisnik ne stiče svojinu nad Softverom, već isključivo pravo korišćenja iz člana 2.</w:t>
      </w:r>
    </w:p>
    <w:p>
      <w:pPr>
        <w:spacing w:after="110" w:line="276"/>
        <w:ind w:left="340" w:hanging="340"/>
      </w:pPr>
      <w:r>
        <w:rPr>
          <w:rFonts w:ascii="Calibri" w:cs="Calibri" w:eastAsia="Calibri" w:hAnsi="Calibri"/>
          <w:sz w:val="21"/>
          <w:szCs w:val="21"/>
        </w:rPr>
        <w:t xml:space="preserve">(3)	</w:t>
      </w:r>
      <w:r>
        <w:rPr>
          <w:rFonts w:ascii="Calibri" w:cs="Calibri" w:eastAsia="Calibri" w:hAnsi="Calibri"/>
          <w:sz w:val="21"/>
          <w:szCs w:val="21"/>
        </w:rPr>
        <w:t xml:space="preserve">Izvorni kod Softvera ne ustupa se Korisniku, ni po osnovu posebne licence ni deponovanjem kod trećeg lica.</w:t>
      </w:r>
    </w:p>
    <w:p>
      <w:pPr>
        <w:spacing w:after="110" w:line="276"/>
        <w:ind w:left="340" w:hanging="340"/>
      </w:pPr>
      <w:r>
        <w:rPr>
          <w:rFonts w:ascii="Calibri" w:cs="Calibri" w:eastAsia="Calibri" w:hAnsi="Calibri"/>
          <w:sz w:val="21"/>
          <w:szCs w:val="21"/>
        </w:rPr>
        <w:t xml:space="preserve">(4)	</w:t>
      </w:r>
      <w:r>
        <w:rPr>
          <w:rFonts w:ascii="Calibri" w:cs="Calibri" w:eastAsia="Calibri" w:hAnsi="Calibri"/>
          <w:sz w:val="21"/>
          <w:szCs w:val="21"/>
        </w:rPr>
        <w:t xml:space="preserve">Funkcionalnost čiji je razvoj finansirao Korisnik ostaje u svojini Davaoca. Korisnik po tom osnovu stiče prioritet u izradi i prilagođavanju svom procesu, kao i pravo besplatnog korišćenja te funkcionalnosti tokom prve godine od njenog puštanja u produkciju.</w:t>
      </w:r>
    </w:p>
    <w:p>
      <w:pPr>
        <w:spacing w:after="110" w:line="276"/>
        <w:ind w:left="340" w:hanging="340"/>
      </w:pPr>
      <w:r>
        <w:rPr>
          <w:rFonts w:ascii="Calibri" w:cs="Calibri" w:eastAsia="Calibri" w:hAnsi="Calibri"/>
          <w:sz w:val="21"/>
          <w:szCs w:val="21"/>
        </w:rPr>
        <w:t xml:space="preserve">(5)	</w:t>
      </w:r>
      <w:r>
        <w:rPr>
          <w:rFonts w:ascii="Calibri" w:cs="Calibri" w:eastAsia="Calibri" w:hAnsi="Calibri"/>
          <w:sz w:val="21"/>
          <w:szCs w:val="21"/>
        </w:rPr>
        <w:t xml:space="preserve">Davalac može finansiranu funkcionalnost uključiti u standardni proizvod. Poverljive procedure i poslovne tajne Korisnika ne smeju se pri tome otkriti niti prenositi trećim licima.</w:t>
      </w:r>
    </w:p>
    <w:p>
      <w:pPr>
        <w:spacing w:after="110" w:line="276"/>
        <w:ind w:left="340" w:hanging="340"/>
      </w:pPr>
      <w:r>
        <w:rPr>
          <w:rFonts w:ascii="Calibri" w:cs="Calibri" w:eastAsia="Calibri" w:hAnsi="Calibri"/>
          <w:sz w:val="21"/>
          <w:szCs w:val="21"/>
        </w:rPr>
        <w:t xml:space="preserve">(6)	</w:t>
      </w:r>
      <w:r>
        <w:rPr>
          <w:rFonts w:ascii="Calibri" w:cs="Calibri" w:eastAsia="Calibri" w:hAnsi="Calibri"/>
          <w:sz w:val="21"/>
          <w:szCs w:val="21"/>
        </w:rPr>
        <w:t xml:space="preserve">Isključivost u korišćenju finansirane funkcionalnosti može se ugovoriti samo posebnim pisanim sporazumom, vremenski i funkcionalno ograničeno i uz posebnu naknadu.</w:t>
      </w:r>
    </w:p>
    <w:p>
      <w:pPr>
        <w:keepNext/>
        <w:spacing w:after="40" w:before="320"/>
      </w:pPr>
      <w:r>
        <w:rPr>
          <w:rFonts w:ascii="Calibri" w:cs="Calibri" w:eastAsia="Calibri" w:hAnsi="Calibri"/>
          <w:b/>
          <w:bCs/>
          <w:color w:val="1E2D14"/>
          <w:sz w:val="22"/>
          <w:szCs w:val="22"/>
        </w:rPr>
        <w:t xml:space="preserve">Član 11</w:t>
      </w:r>
    </w:p>
    <w:p>
      <w:pPr>
        <w:keepNext/>
        <w:pBdr>
          <w:bottom w:val="single" w:color="C8A84B" w:sz="6" w:space="4"/>
        </w:pBdr>
        <w:spacing w:after="140"/>
      </w:pPr>
      <w:r>
        <w:rPr>
          <w:rFonts w:ascii="Calibri" w:cs="Calibri" w:eastAsia="Calibri" w:hAnsi="Calibri"/>
          <w:b/>
          <w:bCs/>
          <w:color w:val="1E2D14"/>
          <w:spacing w:val="20"/>
          <w:sz w:val="19"/>
          <w:szCs w:val="19"/>
        </w:rPr>
        <w:t xml:space="preserve">POVERLJIVOST</w:t>
      </w:r>
    </w:p>
    <w:p>
      <w:pPr>
        <w:spacing w:after="110" w:line="276"/>
        <w:ind w:left="340" w:hanging="340"/>
      </w:pPr>
      <w:r>
        <w:rPr>
          <w:rFonts w:ascii="Calibri" w:cs="Calibri" w:eastAsia="Calibri" w:hAnsi="Calibri"/>
          <w:sz w:val="21"/>
          <w:szCs w:val="21"/>
        </w:rPr>
        <w:t xml:space="preserve">(1)	</w:t>
      </w:r>
      <w:r>
        <w:rPr>
          <w:rFonts w:ascii="Calibri" w:cs="Calibri" w:eastAsia="Calibri" w:hAnsi="Calibri"/>
          <w:sz w:val="21"/>
          <w:szCs w:val="21"/>
        </w:rPr>
        <w:t xml:space="preserve">Ugovorne strane obavezuju se da podatke koje saznaju u vezi sa izvršenjem ovog ugovora, a koji imaju karakter poslovne tajne, čuvaju kao poverljive i ne saopštavaju ih trećim licima bez pisane saglasnosti druge strane.</w:t>
      </w:r>
    </w:p>
    <w:p>
      <w:pPr>
        <w:spacing w:after="110" w:line="276"/>
        <w:ind w:left="340" w:hanging="340"/>
      </w:pPr>
      <w:r>
        <w:rPr>
          <w:rFonts w:ascii="Calibri" w:cs="Calibri" w:eastAsia="Calibri" w:hAnsi="Calibri"/>
          <w:sz w:val="21"/>
          <w:szCs w:val="21"/>
        </w:rPr>
        <w:t xml:space="preserve">(2)	</w:t>
      </w:r>
      <w:r>
        <w:rPr>
          <w:rFonts w:ascii="Calibri" w:cs="Calibri" w:eastAsia="Calibri" w:hAnsi="Calibri"/>
          <w:sz w:val="21"/>
          <w:szCs w:val="21"/>
        </w:rPr>
        <w:t xml:space="preserve">Obaveza čuvanja poverljivosti traje i pet godina nakon prestanka ovog ugovora.</w:t>
      </w:r>
    </w:p>
    <w:p>
      <w:pPr>
        <w:spacing w:after="110" w:line="276"/>
        <w:ind w:left="340" w:hanging="340"/>
      </w:pPr>
      <w:r>
        <w:rPr>
          <w:rFonts w:ascii="Calibri" w:cs="Calibri" w:eastAsia="Calibri" w:hAnsi="Calibri"/>
          <w:sz w:val="21"/>
          <w:szCs w:val="21"/>
        </w:rPr>
        <w:t xml:space="preserve">(3)	</w:t>
      </w:r>
      <w:r>
        <w:rPr>
          <w:rFonts w:ascii="Calibri" w:cs="Calibri" w:eastAsia="Calibri" w:hAnsi="Calibri"/>
          <w:sz w:val="21"/>
          <w:szCs w:val="21"/>
        </w:rPr>
        <w:t xml:space="preserve">Obaveza iz stava 1. ne odnosi se na podatke koji su javno dostupni, koji su strani bili poznati pre saopštavanja, niti na podatke čije je saopštavanje obavezno po zakonu ili nalogu nadležnog organa.</w:t>
      </w:r>
    </w:p>
    <w:p>
      <w:pPr>
        <w:keepNext/>
        <w:spacing w:after="40" w:before="320"/>
      </w:pPr>
      <w:r>
        <w:rPr>
          <w:rFonts w:ascii="Calibri" w:cs="Calibri" w:eastAsia="Calibri" w:hAnsi="Calibri"/>
          <w:b/>
          <w:bCs/>
          <w:color w:val="1E2D14"/>
          <w:sz w:val="22"/>
          <w:szCs w:val="22"/>
        </w:rPr>
        <w:t xml:space="preserve">Član 12</w:t>
      </w:r>
    </w:p>
    <w:p>
      <w:pPr>
        <w:keepNext/>
        <w:pBdr>
          <w:bottom w:val="single" w:color="C8A84B" w:sz="6" w:space="4"/>
        </w:pBdr>
        <w:spacing w:after="140"/>
      </w:pPr>
      <w:r>
        <w:rPr>
          <w:rFonts w:ascii="Calibri" w:cs="Calibri" w:eastAsia="Calibri" w:hAnsi="Calibri"/>
          <w:b/>
          <w:bCs/>
          <w:color w:val="1E2D14"/>
          <w:spacing w:val="20"/>
          <w:sz w:val="19"/>
          <w:szCs w:val="19"/>
        </w:rPr>
        <w:t xml:space="preserve">REFERENCE</w:t>
      </w:r>
    </w:p>
    <w:p>
      <w:pPr>
        <w:spacing w:after="110" w:line="276"/>
        <w:ind w:left="340" w:hanging="340"/>
      </w:pPr>
      <w:r>
        <w:rPr>
          <w:rFonts w:ascii="Calibri" w:cs="Calibri" w:eastAsia="Calibri" w:hAnsi="Calibri"/>
          <w:sz w:val="21"/>
          <w:szCs w:val="21"/>
        </w:rPr>
        <w:t xml:space="preserve">(1)	</w:t>
      </w:r>
      <w:r>
        <w:rPr>
          <w:rFonts w:ascii="Calibri" w:cs="Calibri" w:eastAsia="Calibri" w:hAnsi="Calibri"/>
          <w:sz w:val="21"/>
          <w:szCs w:val="21"/>
        </w:rPr>
        <w:t xml:space="preserve">Davalac može javno navesti Korisnika kao referencu, koristiti njegovo poslovno ime i znak, objaviti studiju slučaja, fotografije ili video zapise isključivo uz prethodnu izričitu pisanu saglasnost Korisnika.</w:t>
      </w:r>
    </w:p>
    <w:p>
      <w:pPr>
        <w:spacing w:after="110" w:line="276"/>
        <w:ind w:left="340" w:hanging="340"/>
      </w:pPr>
      <w:r>
        <w:rPr>
          <w:rFonts w:ascii="Calibri" w:cs="Calibri" w:eastAsia="Calibri" w:hAnsi="Calibri"/>
          <w:sz w:val="21"/>
          <w:szCs w:val="21"/>
        </w:rPr>
        <w:t xml:space="preserve">(2)	</w:t>
      </w:r>
      <w:r>
        <w:rPr>
          <w:rFonts w:ascii="Calibri" w:cs="Calibri" w:eastAsia="Calibri" w:hAnsi="Calibri"/>
          <w:sz w:val="21"/>
          <w:szCs w:val="21"/>
        </w:rPr>
        <w:t xml:space="preserve">Saglasnost se daje za svaku pojedinačnu vrstu i način objavljivanja i može se opozvati za buduće objave.</w:t>
      </w:r>
    </w:p>
    <w:p>
      <w:pPr>
        <w:keepNext/>
        <w:spacing w:after="40" w:before="320"/>
      </w:pPr>
      <w:r>
        <w:rPr>
          <w:rFonts w:ascii="Calibri" w:cs="Calibri" w:eastAsia="Calibri" w:hAnsi="Calibri"/>
          <w:b/>
          <w:bCs/>
          <w:color w:val="1E2D14"/>
          <w:sz w:val="22"/>
          <w:szCs w:val="22"/>
        </w:rPr>
        <w:t xml:space="preserve">Član 13</w:t>
      </w:r>
    </w:p>
    <w:p>
      <w:pPr>
        <w:keepNext/>
        <w:pBdr>
          <w:bottom w:val="single" w:color="C8A84B" w:sz="6" w:space="4"/>
        </w:pBdr>
        <w:spacing w:after="140"/>
      </w:pPr>
      <w:r>
        <w:rPr>
          <w:rFonts w:ascii="Calibri" w:cs="Calibri" w:eastAsia="Calibri" w:hAnsi="Calibri"/>
          <w:b/>
          <w:bCs/>
          <w:color w:val="1E2D14"/>
          <w:spacing w:val="20"/>
          <w:sz w:val="19"/>
          <w:szCs w:val="19"/>
        </w:rPr>
        <w:t xml:space="preserve">ODGOVORNOST</w:t>
      </w:r>
    </w:p>
    <w:p>
      <w:pPr>
        <w:spacing w:after="110" w:line="276"/>
        <w:ind w:left="340" w:hanging="340"/>
      </w:pPr>
      <w:r>
        <w:rPr>
          <w:rFonts w:ascii="Calibri" w:cs="Calibri" w:eastAsia="Calibri" w:hAnsi="Calibri"/>
          <w:sz w:val="21"/>
          <w:szCs w:val="21"/>
        </w:rPr>
        <w:t xml:space="preserve">(1)	</w:t>
      </w:r>
      <w:r>
        <w:rPr>
          <w:rFonts w:ascii="Calibri" w:cs="Calibri" w:eastAsia="Calibri" w:hAnsi="Calibri"/>
          <w:sz w:val="21"/>
          <w:szCs w:val="21"/>
        </w:rPr>
        <w:t xml:space="preserve">Davalac odgovara za pravilno funkcionisanje Softvera u skladu sa njegovom dokumentovanom namenom i obavezuje se da uočene greške otkloni u najkraćem mogućem roku, srazmerno njihovoj ozbiljnosti.</w:t>
      </w:r>
    </w:p>
    <w:p>
      <w:pPr>
        <w:spacing w:after="110" w:line="276"/>
        <w:ind w:left="340" w:hanging="340"/>
      </w:pPr>
      <w:r>
        <w:rPr>
          <w:rFonts w:ascii="Calibri" w:cs="Calibri" w:eastAsia="Calibri" w:hAnsi="Calibri"/>
          <w:sz w:val="21"/>
          <w:szCs w:val="21"/>
        </w:rPr>
        <w:t xml:space="preserve">(2)	</w:t>
      </w:r>
      <w:r>
        <w:rPr>
          <w:rFonts w:ascii="Calibri" w:cs="Calibri" w:eastAsia="Calibri" w:hAnsi="Calibri"/>
          <w:sz w:val="21"/>
          <w:szCs w:val="21"/>
        </w:rPr>
        <w:t xml:space="preserve">Korisnik je dužan da kontroliše sadržaj dokumenata koje izdaje putem Softvera i da bez odlaganja prijavi svaku uočenu nepravilnost. Davalac ne odgovara za posledice nastale time što Korisnik nije izvršio tu kontrolu.</w:t>
      </w:r>
    </w:p>
    <w:p>
      <w:pPr>
        <w:spacing w:after="110" w:line="276"/>
        <w:ind w:left="340" w:hanging="340"/>
      </w:pPr>
      <w:r>
        <w:rPr>
          <w:rFonts w:ascii="Calibri" w:cs="Calibri" w:eastAsia="Calibri" w:hAnsi="Calibri"/>
          <w:sz w:val="21"/>
          <w:szCs w:val="21"/>
        </w:rPr>
        <w:t xml:space="preserve">(3)	</w:t>
      </w:r>
      <w:r>
        <w:rPr>
          <w:rFonts w:ascii="Calibri" w:cs="Calibri" w:eastAsia="Calibri" w:hAnsi="Calibri"/>
          <w:sz w:val="21"/>
          <w:szCs w:val="21"/>
        </w:rPr>
        <w:t xml:space="preserve">Ukupna odgovornost Davaoca prema Korisniku po svim osnovima, za sve štete nastale u toku jedne ugovorne godine, ograničena je na iznos naknada koje je Korisnik platio Davaocu u prethodnih 12 meseci.</w:t>
      </w:r>
    </w:p>
    <w:p>
      <w:pPr>
        <w:spacing w:after="110" w:line="276"/>
        <w:ind w:left="340" w:hanging="340"/>
      </w:pPr>
      <w:r>
        <w:rPr>
          <w:rFonts w:ascii="Calibri" w:cs="Calibri" w:eastAsia="Calibri" w:hAnsi="Calibri"/>
          <w:sz w:val="21"/>
          <w:szCs w:val="21"/>
        </w:rPr>
        <w:t xml:space="preserve">(4)	</w:t>
      </w:r>
      <w:r>
        <w:rPr>
          <w:rFonts w:ascii="Calibri" w:cs="Calibri" w:eastAsia="Calibri" w:hAnsi="Calibri"/>
          <w:sz w:val="21"/>
          <w:szCs w:val="21"/>
        </w:rPr>
        <w:t xml:space="preserve">Davalac ne odgovara za izmaklu korist, gubitak dobiti, gubitak poslovne prilike niti za posrednu štetu.</w:t>
      </w:r>
    </w:p>
    <w:p>
      <w:pPr>
        <w:spacing w:after="110" w:line="276"/>
        <w:ind w:left="340" w:hanging="340"/>
      </w:pPr>
      <w:r>
        <w:rPr>
          <w:rFonts w:ascii="Calibri" w:cs="Calibri" w:eastAsia="Calibri" w:hAnsi="Calibri"/>
          <w:sz w:val="21"/>
          <w:szCs w:val="21"/>
        </w:rPr>
        <w:t xml:space="preserve">(5)	</w:t>
      </w:r>
      <w:r>
        <w:rPr>
          <w:rFonts w:ascii="Calibri" w:cs="Calibri" w:eastAsia="Calibri" w:hAnsi="Calibri"/>
          <w:sz w:val="21"/>
          <w:szCs w:val="21"/>
        </w:rPr>
        <w:t xml:space="preserve">Ograničenja iz st. 3. i 4. ne primenjuju se na štetu prouzrokovanu namerno ili krajnjom nepažnjom, kao ni u drugim slučajevima u kojima se odgovornost po prinudnim propisima ne može ograničiti.</w:t>
      </w:r>
    </w:p>
    <w:p>
      <w:pPr>
        <w:keepNext/>
        <w:spacing w:after="40" w:before="320"/>
      </w:pPr>
      <w:r>
        <w:rPr>
          <w:rFonts w:ascii="Calibri" w:cs="Calibri" w:eastAsia="Calibri" w:hAnsi="Calibri"/>
          <w:b/>
          <w:bCs/>
          <w:color w:val="1E2D14"/>
          <w:sz w:val="22"/>
          <w:szCs w:val="22"/>
        </w:rPr>
        <w:t xml:space="preserve">Član 14</w:t>
      </w:r>
    </w:p>
    <w:p>
      <w:pPr>
        <w:keepNext/>
        <w:pBdr>
          <w:bottom w:val="single" w:color="C8A84B" w:sz="6" w:space="4"/>
        </w:pBdr>
        <w:spacing w:after="140"/>
      </w:pPr>
      <w:r>
        <w:rPr>
          <w:rFonts w:ascii="Calibri" w:cs="Calibri" w:eastAsia="Calibri" w:hAnsi="Calibri"/>
          <w:b/>
          <w:bCs/>
          <w:color w:val="1E2D14"/>
          <w:spacing w:val="20"/>
          <w:sz w:val="19"/>
          <w:szCs w:val="19"/>
        </w:rPr>
        <w:t xml:space="preserve">VIŠA SILA</w:t>
      </w:r>
    </w:p>
    <w:p>
      <w:pPr>
        <w:spacing w:after="110" w:line="276"/>
        <w:ind w:left="340" w:hanging="340"/>
      </w:pPr>
      <w:r>
        <w:rPr>
          <w:rFonts w:ascii="Calibri" w:cs="Calibri" w:eastAsia="Calibri" w:hAnsi="Calibri"/>
          <w:sz w:val="21"/>
          <w:szCs w:val="21"/>
        </w:rPr>
        <w:t xml:space="preserve">(1)	</w:t>
      </w:r>
      <w:r>
        <w:rPr>
          <w:rFonts w:ascii="Calibri" w:cs="Calibri" w:eastAsia="Calibri" w:hAnsi="Calibri"/>
          <w:sz w:val="21"/>
          <w:szCs w:val="21"/>
        </w:rPr>
        <w:t xml:space="preserve">Ugovorna strana ne odgovara za neizvršenje obaveza prouzrokovano događajem više sile, pod uslovom da o nastupanju takvog događaja bez odlaganja obavesti drugu stranu.</w:t>
      </w:r>
    </w:p>
    <w:p>
      <w:pPr>
        <w:spacing w:after="110" w:line="276"/>
        <w:ind w:left="340" w:hanging="340"/>
      </w:pPr>
      <w:r>
        <w:rPr>
          <w:rFonts w:ascii="Calibri" w:cs="Calibri" w:eastAsia="Calibri" w:hAnsi="Calibri"/>
          <w:sz w:val="21"/>
          <w:szCs w:val="21"/>
        </w:rPr>
        <w:t xml:space="preserve">(2)	</w:t>
      </w:r>
      <w:r>
        <w:rPr>
          <w:rFonts w:ascii="Calibri" w:cs="Calibri" w:eastAsia="Calibri" w:hAnsi="Calibri"/>
          <w:sz w:val="21"/>
          <w:szCs w:val="21"/>
        </w:rPr>
        <w:t xml:space="preserve">Ako događaj više sile traje duže od 60 dana, svaka strana može raskinuti ugovor pisanim obaveštenjem, bez obaveze naknade štete.</w:t>
      </w:r>
    </w:p>
    <w:p>
      <w:pPr>
        <w:keepNext/>
        <w:spacing w:after="40" w:before="320"/>
      </w:pPr>
      <w:r>
        <w:rPr>
          <w:rFonts w:ascii="Calibri" w:cs="Calibri" w:eastAsia="Calibri" w:hAnsi="Calibri"/>
          <w:b/>
          <w:bCs/>
          <w:color w:val="1E2D14"/>
          <w:sz w:val="22"/>
          <w:szCs w:val="22"/>
        </w:rPr>
        <w:t xml:space="preserve">Član 15</w:t>
      </w:r>
    </w:p>
    <w:p>
      <w:pPr>
        <w:keepNext/>
        <w:pBdr>
          <w:bottom w:val="single" w:color="C8A84B" w:sz="6" w:space="4"/>
        </w:pBdr>
        <w:spacing w:after="140"/>
      </w:pPr>
      <w:r>
        <w:rPr>
          <w:rFonts w:ascii="Calibri" w:cs="Calibri" w:eastAsia="Calibri" w:hAnsi="Calibri"/>
          <w:b/>
          <w:bCs/>
          <w:color w:val="1E2D14"/>
          <w:spacing w:val="20"/>
          <w:sz w:val="19"/>
          <w:szCs w:val="19"/>
        </w:rPr>
        <w:t xml:space="preserve">ZAVRŠNE ODREDBE</w:t>
      </w:r>
    </w:p>
    <w:p>
      <w:pPr>
        <w:spacing w:after="110" w:line="276"/>
        <w:ind w:left="340" w:hanging="340"/>
      </w:pPr>
      <w:r>
        <w:rPr>
          <w:rFonts w:ascii="Calibri" w:cs="Calibri" w:eastAsia="Calibri" w:hAnsi="Calibri"/>
          <w:sz w:val="21"/>
          <w:szCs w:val="21"/>
        </w:rPr>
        <w:t xml:space="preserve">(1)	</w:t>
      </w:r>
      <w:r>
        <w:rPr>
          <w:rFonts w:ascii="Calibri" w:cs="Calibri" w:eastAsia="Calibri" w:hAnsi="Calibri"/>
          <w:sz w:val="21"/>
          <w:szCs w:val="21"/>
        </w:rPr>
        <w:t xml:space="preserve">Na sve što nije uređeno ovim ugovorom primenjuju se odredbe Zakona o obligacionim odnosima i drugih propisa Republike Srbije.</w:t>
      </w:r>
    </w:p>
    <w:p>
      <w:pPr>
        <w:spacing w:after="110" w:line="276"/>
        <w:ind w:left="340" w:hanging="340"/>
      </w:pPr>
      <w:r>
        <w:rPr>
          <w:rFonts w:ascii="Calibri" w:cs="Calibri" w:eastAsia="Calibri" w:hAnsi="Calibri"/>
          <w:sz w:val="21"/>
          <w:szCs w:val="21"/>
        </w:rPr>
        <w:t xml:space="preserve">(2)	</w:t>
      </w:r>
      <w:r>
        <w:rPr>
          <w:rFonts w:ascii="Calibri" w:cs="Calibri" w:eastAsia="Calibri" w:hAnsi="Calibri"/>
          <w:sz w:val="21"/>
          <w:szCs w:val="21"/>
        </w:rPr>
        <w:t xml:space="preserve">Izmene i dopune ovog ugovora punovažne su samo ako su sačinjene u pisanoj formi i potpisane od strane ovlašćenih lica obe ugovorne strane.</w:t>
      </w:r>
    </w:p>
    <w:p>
      <w:pPr>
        <w:spacing w:after="110" w:line="276"/>
        <w:ind w:left="340" w:hanging="340"/>
      </w:pPr>
      <w:r>
        <w:rPr>
          <w:rFonts w:ascii="Calibri" w:cs="Calibri" w:eastAsia="Calibri" w:hAnsi="Calibri"/>
          <w:sz w:val="21"/>
          <w:szCs w:val="21"/>
        </w:rPr>
        <w:t xml:space="preserve">(3)	</w:t>
      </w:r>
      <w:r>
        <w:rPr>
          <w:rFonts w:ascii="Calibri" w:cs="Calibri" w:eastAsia="Calibri" w:hAnsi="Calibri"/>
          <w:sz w:val="21"/>
          <w:szCs w:val="21"/>
        </w:rPr>
        <w:t xml:space="preserve">Obaveštenja se dostavljaju pisanim putem, na adrese navedene u uvodu ovog ugovora, ili elektronskom poštom na adrese koje strane međusobno saopšte.</w:t>
      </w:r>
    </w:p>
    <w:p>
      <w:pPr>
        <w:spacing w:after="110" w:line="276"/>
        <w:ind w:left="340" w:hanging="340"/>
      </w:pPr>
      <w:r>
        <w:rPr>
          <w:rFonts w:ascii="Calibri" w:cs="Calibri" w:eastAsia="Calibri" w:hAnsi="Calibri"/>
          <w:sz w:val="21"/>
          <w:szCs w:val="21"/>
        </w:rPr>
        <w:t xml:space="preserve">(4)	</w:t>
      </w:r>
      <w:r>
        <w:rPr>
          <w:rFonts w:ascii="Calibri" w:cs="Calibri" w:eastAsia="Calibri" w:hAnsi="Calibri"/>
          <w:sz w:val="21"/>
          <w:szCs w:val="21"/>
        </w:rPr>
        <w:t xml:space="preserve">Ugovorne strane će eventualne sporove rešavati sporazumno. Ako sporazum ne bude postignut, ugovara se nadležnost stvarno nadležnog suda u ______________.</w:t>
      </w:r>
    </w:p>
    <w:p>
      <w:pPr>
        <w:spacing w:after="110" w:line="276"/>
        <w:ind w:left="340" w:hanging="340"/>
      </w:pPr>
      <w:r>
        <w:rPr>
          <w:rFonts w:ascii="Calibri" w:cs="Calibri" w:eastAsia="Calibri" w:hAnsi="Calibri"/>
          <w:sz w:val="21"/>
          <w:szCs w:val="21"/>
        </w:rPr>
        <w:t xml:space="preserve">(5)	</w:t>
      </w:r>
      <w:r>
        <w:rPr>
          <w:rFonts w:ascii="Calibri" w:cs="Calibri" w:eastAsia="Calibri" w:hAnsi="Calibri"/>
          <w:sz w:val="21"/>
          <w:szCs w:val="21"/>
        </w:rPr>
        <w:t xml:space="preserve">Ako pojedina odredba ovog ugovora bude ništava, to ne utiče na punovažnost ostalih odredaba. Ništava odredba zameniće se odredbom koja najbliže odgovara njenoj svrsi.</w:t>
      </w:r>
    </w:p>
    <w:p>
      <w:pPr>
        <w:spacing w:after="110" w:line="276"/>
        <w:ind w:left="340" w:hanging="340"/>
      </w:pPr>
      <w:r>
        <w:rPr>
          <w:rFonts w:ascii="Calibri" w:cs="Calibri" w:eastAsia="Calibri" w:hAnsi="Calibri"/>
          <w:sz w:val="21"/>
          <w:szCs w:val="21"/>
        </w:rPr>
        <w:t xml:space="preserve">(6)	</w:t>
      </w:r>
      <w:r>
        <w:rPr>
          <w:rFonts w:ascii="Calibri" w:cs="Calibri" w:eastAsia="Calibri" w:hAnsi="Calibri"/>
          <w:sz w:val="21"/>
          <w:szCs w:val="21"/>
        </w:rPr>
        <w:t xml:space="preserve">Ugovor je sačinjen u dva istovetna primerka, po jedan za svaku ugovornu stranu, i stupa na snagu danom potpisivanja.</w:t>
      </w:r>
    </w:p>
    <w:p>
      <w:pPr>
        <w:spacing w:after="300" w:before="500"/>
      </w:pPr>
    </w:p>
    <w:tbl>
      <w:tblPr>
        <w:tblW w:type="dxa" w:w="9026"/>
        <w:tblBorders>
          <w:top w:val="none"/>
          <w:left w:val="none"/>
          <w:bottom w:val="none"/>
          <w:right w:val="none"/>
          <w:insideH w:val="none"/>
          <w:insideV w:val="none"/>
        </w:tblBorders>
      </w:tblPr>
      <w:tblGrid>
        <w:gridCol w:w="4413"/>
        <w:gridCol w:w="4613"/>
      </w:tblGrid>
      <w:tr>
        <w:tc>
          <w:tcPr>
            <w:tcW w:type="dxa" w:w="4413"/>
          </w:tcPr>
          <w:p>
            <w:pPr>
              <w:spacing w:after="60"/>
              <w:jc w:val="center"/>
            </w:pPr>
            <w:r>
              <w:rPr>
                <w:rFonts w:ascii="Calibri" w:cs="Calibri" w:eastAsia="Calibri" w:hAnsi="Calibri"/>
                <w:sz w:val="21"/>
                <w:szCs w:val="21"/>
              </w:rPr>
              <w:t xml:space="preserve">_______________________</w:t>
            </w:r>
          </w:p>
          <w:p>
            <w:pPr>
              <w:jc w:val="center"/>
            </w:pPr>
            <w:r>
              <w:rPr>
                <w:rFonts w:ascii="Calibri" w:cs="Calibri" w:eastAsia="Calibri" w:hAnsi="Calibri"/>
                <w:color w:val="5A6152"/>
                <w:sz w:val="19"/>
                <w:szCs w:val="19"/>
              </w:rPr>
              <w:t xml:space="preserve">za Davaoca</w:t>
            </w:r>
          </w:p>
        </w:tc>
        <w:tc>
          <w:tcPr>
            <w:tcW w:type="dxa" w:w="4613"/>
          </w:tcPr>
          <w:p>
            <w:pPr>
              <w:spacing w:after="60"/>
              <w:jc w:val="center"/>
            </w:pPr>
            <w:r>
              <w:rPr>
                <w:rFonts w:ascii="Calibri" w:cs="Calibri" w:eastAsia="Calibri" w:hAnsi="Calibri"/>
                <w:sz w:val="21"/>
                <w:szCs w:val="21"/>
              </w:rPr>
              <w:t xml:space="preserve">_______________________</w:t>
            </w:r>
          </w:p>
          <w:p>
            <w:pPr>
              <w:jc w:val="center"/>
            </w:pPr>
            <w:r>
              <w:rPr>
                <w:rFonts w:ascii="Calibri" w:cs="Calibri" w:eastAsia="Calibri" w:hAnsi="Calibri"/>
                <w:color w:val="5A6152"/>
                <w:sz w:val="19"/>
                <w:szCs w:val="19"/>
              </w:rPr>
              <w:t xml:space="preserve">za Korisnika</w:t>
            </w:r>
          </w:p>
        </w:tc>
      </w:tr>
    </w:tbl>
    <w:p>
      <w:r>
        <w:br w:type="page"/>
      </w:r>
    </w:p>
    <w:p>
      <w:pPr>
        <w:spacing w:after="40"/>
      </w:pPr>
      <w:r>
        <w:rPr>
          <w:rFonts w:ascii="Calibri" w:cs="Calibri" w:eastAsia="Calibri" w:hAnsi="Calibri"/>
          <w:b/>
          <w:bCs/>
          <w:color w:val="1E2D14"/>
          <w:sz w:val="26"/>
          <w:szCs w:val="26"/>
        </w:rPr>
        <w:t xml:space="preserve">PRILOG 1</w:t>
      </w:r>
    </w:p>
    <w:p>
      <w:pPr>
        <w:pBdr>
          <w:bottom w:val="single" w:color="C8A84B" w:sz="8" w:space="5"/>
        </w:pBdr>
        <w:spacing w:after="220"/>
      </w:pPr>
      <w:r>
        <w:rPr>
          <w:rFonts w:ascii="Calibri" w:cs="Calibri" w:eastAsia="Calibri" w:hAnsi="Calibri"/>
          <w:b/>
          <w:bCs/>
          <w:color w:val="1E2D14"/>
          <w:spacing w:val="14"/>
          <w:sz w:val="20"/>
          <w:szCs w:val="20"/>
        </w:rPr>
        <w:t xml:space="preserve">SPECIFIKACIJA UGOVORENOG OBIMA I CENA</w:t>
      </w:r>
    </w:p>
    <w:p>
      <w:pPr>
        <w:spacing w:after="100" w:line="276"/>
      </w:pPr>
      <w:r>
        <w:rPr>
          <w:rFonts w:ascii="Calibri" w:cs="Calibri" w:eastAsia="Calibri" w:hAnsi="Calibri"/>
          <w:b/>
          <w:bCs/>
          <w:sz w:val="21"/>
          <w:szCs w:val="21"/>
        </w:rPr>
        <w:t xml:space="preserve">1. Ugovoreni paket i moduli</w:t>
      </w:r>
    </w:p>
    <w:p>
      <w:pPr>
        <w:spacing w:after="140" w:line="276"/>
      </w:pPr>
      <w:r>
        <w:rPr>
          <w:rFonts w:ascii="Calibri" w:cs="Calibri" w:eastAsia="Calibri" w:hAnsi="Calibri"/>
          <w:sz w:val="21"/>
          <w:szCs w:val="21"/>
        </w:rPr>
        <w:t xml:space="preserve">Cene su iskazane u evrima, na godišnjem nivou, bez poreza na dodatu vrednost.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2100"/>
        <w:gridCol w:w="2326"/>
      </w:tblGrid>
      <w:tr>
        <w:trPr>
          <w:tblHeader/>
        </w:trPr>
        <w:tc>
          <w:tcPr>
            <w:tcW w:type="dxa" w:w="4600"/>
            <w:shd w:fill="EFEBE1" w:color="auto" w:val="clear"/>
            <w:tcMar>
              <w:top w:type="dxa" w:w="90"/>
              <w:left w:type="dxa" w:w="130"/>
              <w:bottom w:type="dxa" w:w="90"/>
              <w:right w:type="dxa" w:w="130"/>
            </w:tcMar>
          </w:tcPr>
          <w:p>
            <w:pPr>
              <w:spacing w:after="0"/>
            </w:pPr>
            <w:r>
              <w:rPr>
                <w:rFonts w:ascii="Calibri" w:cs="Calibri" w:eastAsia="Calibri" w:hAnsi="Calibri"/>
                <w:b/>
                <w:bCs/>
                <w:sz w:val="20"/>
                <w:szCs w:val="20"/>
              </w:rPr>
              <w:t xml:space="preserve">Stavka</w:t>
            </w:r>
          </w:p>
        </w:tc>
        <w:tc>
          <w:tcPr>
            <w:tcW w:type="dxa" w:w="2100"/>
            <w:shd w:fill="EFEBE1" w:color="auto" w:val="clear"/>
            <w:tcMar>
              <w:top w:type="dxa" w:w="90"/>
              <w:left w:type="dxa" w:w="130"/>
              <w:bottom w:type="dxa" w:w="90"/>
              <w:right w:type="dxa" w:w="130"/>
            </w:tcMar>
          </w:tcPr>
          <w:p>
            <w:pPr>
              <w:spacing w:after="0"/>
              <w:jc w:val="right"/>
            </w:pPr>
            <w:r>
              <w:rPr>
                <w:rFonts w:ascii="Calibri" w:cs="Calibri" w:eastAsia="Calibri" w:hAnsi="Calibri"/>
                <w:b/>
                <w:bCs/>
                <w:sz w:val="20"/>
                <w:szCs w:val="20"/>
              </w:rPr>
              <w:t xml:space="preserve">Cena (EUR)</w:t>
            </w:r>
          </w:p>
        </w:tc>
        <w:tc>
          <w:tcPr>
            <w:tcW w:type="dxa" w:w="2326"/>
            <w:shd w:fill="EFEBE1" w:color="auto" w:val="clear"/>
            <w:tcMar>
              <w:top w:type="dxa" w:w="90"/>
              <w:left w:type="dxa" w:w="130"/>
              <w:bottom w:type="dxa" w:w="90"/>
              <w:right w:type="dxa" w:w="130"/>
            </w:tcMar>
          </w:tcPr>
          <w:p>
            <w:pPr>
              <w:spacing w:after="0"/>
            </w:pPr>
            <w:r>
              <w:rPr>
                <w:rFonts w:ascii="Calibri" w:cs="Calibri" w:eastAsia="Calibri" w:hAnsi="Calibri"/>
                <w:b/>
                <w:bCs/>
                <w:sz w:val="20"/>
                <w:szCs w:val="20"/>
              </w:rPr>
              <w:t xml:space="preserve">Osnov obračuna</w:t>
            </w:r>
          </w:p>
        </w:tc>
      </w:tr>
      <w:tr>
        <w:tc>
          <w:tcPr>
            <w:tcW w:type="dxa" w:w="4600"/>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AgriX Desktop</w:t>
            </w:r>
          </w:p>
        </w:tc>
        <w:tc>
          <w:tcPr>
            <w:tcW w:type="dxa" w:w="2100"/>
            <w:tcMar>
              <w:top w:type="dxa" w:w="90"/>
              <w:left w:type="dxa" w:w="130"/>
              <w:bottom w:type="dxa" w:w="90"/>
              <w:right w:type="dxa" w:w="130"/>
            </w:tcMar>
          </w:tcPr>
          <w:p>
            <w:pPr>
              <w:spacing w:after="0"/>
              <w:jc w:val="right"/>
            </w:pPr>
            <w:r>
              <w:rPr>
                <w:rFonts w:ascii="Calibri" w:cs="Calibri" w:eastAsia="Calibri" w:hAnsi="Calibri"/>
                <w:b w:val="false"/>
                <w:bCs w:val="false"/>
                <w:sz w:val="20"/>
                <w:szCs w:val="20"/>
              </w:rPr>
              <w:t xml:space="preserve">500</w:t>
            </w:r>
          </w:p>
        </w:tc>
        <w:tc>
          <w:tcPr>
            <w:tcW w:type="dxa" w:w="2326"/>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godišnje, po pravnom licu</w:t>
            </w:r>
          </w:p>
        </w:tc>
      </w:tr>
      <w:tr>
        <w:tc>
          <w:tcPr>
            <w:tcW w:type="dxa" w:w="4600"/>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AgriX Desktop all-in</w:t>
            </w:r>
          </w:p>
        </w:tc>
        <w:tc>
          <w:tcPr>
            <w:tcW w:type="dxa" w:w="2100"/>
            <w:tcMar>
              <w:top w:type="dxa" w:w="90"/>
              <w:left w:type="dxa" w:w="130"/>
              <w:bottom w:type="dxa" w:w="90"/>
              <w:right w:type="dxa" w:w="130"/>
            </w:tcMar>
          </w:tcPr>
          <w:p>
            <w:pPr>
              <w:spacing w:after="0"/>
              <w:jc w:val="right"/>
            </w:pPr>
            <w:r>
              <w:rPr>
                <w:rFonts w:ascii="Calibri" w:cs="Calibri" w:eastAsia="Calibri" w:hAnsi="Calibri"/>
                <w:b w:val="false"/>
                <w:bCs w:val="false"/>
                <w:sz w:val="20"/>
                <w:szCs w:val="20"/>
              </w:rPr>
              <w:t xml:space="preserve">1.100</w:t>
            </w:r>
          </w:p>
        </w:tc>
        <w:tc>
          <w:tcPr>
            <w:tcW w:type="dxa" w:w="2326"/>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godišnje, sa sva tri modula</w:t>
            </w:r>
          </w:p>
        </w:tc>
      </w:tr>
      <w:tr>
        <w:tc>
          <w:tcPr>
            <w:tcW w:type="dxa" w:w="4600"/>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AgriX Mobile</w:t>
            </w:r>
          </w:p>
        </w:tc>
        <w:tc>
          <w:tcPr>
            <w:tcW w:type="dxa" w:w="2100"/>
            <w:tcMar>
              <w:top w:type="dxa" w:w="90"/>
              <w:left w:type="dxa" w:w="130"/>
              <w:bottom w:type="dxa" w:w="90"/>
              <w:right w:type="dxa" w:w="130"/>
            </w:tcMar>
          </w:tcPr>
          <w:p>
            <w:pPr>
              <w:spacing w:after="0"/>
              <w:jc w:val="right"/>
            </w:pPr>
            <w:r>
              <w:rPr>
                <w:rFonts w:ascii="Calibri" w:cs="Calibri" w:eastAsia="Calibri" w:hAnsi="Calibri"/>
                <w:b w:val="false"/>
                <w:bCs w:val="false"/>
                <w:sz w:val="20"/>
                <w:szCs w:val="20"/>
              </w:rPr>
              <w:t xml:space="preserve">1.500</w:t>
            </w:r>
          </w:p>
        </w:tc>
        <w:tc>
          <w:tcPr>
            <w:tcW w:type="dxa" w:w="2326"/>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godišnje, po pravnom licu</w:t>
            </w:r>
          </w:p>
        </w:tc>
      </w:tr>
      <w:tr>
        <w:tc>
          <w:tcPr>
            <w:tcW w:type="dxa" w:w="4600"/>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AgriX Mobile all-in</w:t>
            </w:r>
          </w:p>
        </w:tc>
        <w:tc>
          <w:tcPr>
            <w:tcW w:type="dxa" w:w="2100"/>
            <w:tcMar>
              <w:top w:type="dxa" w:w="90"/>
              <w:left w:type="dxa" w:w="130"/>
              <w:bottom w:type="dxa" w:w="90"/>
              <w:right w:type="dxa" w:w="130"/>
            </w:tcMar>
          </w:tcPr>
          <w:p>
            <w:pPr>
              <w:spacing w:after="0"/>
              <w:jc w:val="right"/>
            </w:pPr>
            <w:r>
              <w:rPr>
                <w:rFonts w:ascii="Calibri" w:cs="Calibri" w:eastAsia="Calibri" w:hAnsi="Calibri"/>
                <w:b w:val="false"/>
                <w:bCs w:val="false"/>
                <w:sz w:val="20"/>
                <w:szCs w:val="20"/>
              </w:rPr>
              <w:t xml:space="preserve">2.100</w:t>
            </w:r>
          </w:p>
        </w:tc>
        <w:tc>
          <w:tcPr>
            <w:tcW w:type="dxa" w:w="2326"/>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godišnje, sa sva četiri modula</w:t>
            </w:r>
          </w:p>
        </w:tc>
      </w:tr>
      <w:tr>
        <w:tc>
          <w:tcPr>
            <w:tcW w:type="dxa" w:w="4600"/>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Aktivna otkupna stanica preko pet</w:t>
            </w:r>
          </w:p>
        </w:tc>
        <w:tc>
          <w:tcPr>
            <w:tcW w:type="dxa" w:w="2100"/>
            <w:tcMar>
              <w:top w:type="dxa" w:w="90"/>
              <w:left w:type="dxa" w:w="130"/>
              <w:bottom w:type="dxa" w:w="90"/>
              <w:right w:type="dxa" w:w="130"/>
            </w:tcMar>
          </w:tcPr>
          <w:p>
            <w:pPr>
              <w:spacing w:after="0"/>
              <w:jc w:val="right"/>
            </w:pPr>
            <w:r>
              <w:rPr>
                <w:rFonts w:ascii="Calibri" w:cs="Calibri" w:eastAsia="Calibri" w:hAnsi="Calibri"/>
                <w:b w:val="false"/>
                <w:bCs w:val="false"/>
                <w:sz w:val="20"/>
                <w:szCs w:val="20"/>
              </w:rPr>
              <w:t xml:space="preserve">50</w:t>
            </w:r>
          </w:p>
        </w:tc>
        <w:tc>
          <w:tcPr>
            <w:tcW w:type="dxa" w:w="2326"/>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godišnje, po stanici</w:t>
            </w:r>
          </w:p>
        </w:tc>
      </w:tr>
      <w:tr>
        <w:tc>
          <w:tcPr>
            <w:tcW w:type="dxa" w:w="4600"/>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Modul Hladnjača / Proizvodnja</w:t>
            </w:r>
          </w:p>
        </w:tc>
        <w:tc>
          <w:tcPr>
            <w:tcW w:type="dxa" w:w="2100"/>
            <w:tcMar>
              <w:top w:type="dxa" w:w="90"/>
              <w:left w:type="dxa" w:w="130"/>
              <w:bottom w:type="dxa" w:w="90"/>
              <w:right w:type="dxa" w:w="130"/>
            </w:tcMar>
          </w:tcPr>
          <w:p>
            <w:pPr>
              <w:spacing w:after="0"/>
              <w:jc w:val="right"/>
            </w:pPr>
            <w:r>
              <w:rPr>
                <w:rFonts w:ascii="Calibri" w:cs="Calibri" w:eastAsia="Calibri" w:hAnsi="Calibri"/>
                <w:b w:val="false"/>
                <w:bCs w:val="false"/>
                <w:sz w:val="20"/>
                <w:szCs w:val="20"/>
              </w:rPr>
              <w:t xml:space="preserve">400</w:t>
            </w:r>
          </w:p>
        </w:tc>
        <w:tc>
          <w:tcPr>
            <w:tcW w:type="dxa" w:w="2326"/>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godišnje, po pravnom licu</w:t>
            </w:r>
          </w:p>
        </w:tc>
      </w:tr>
      <w:tr>
        <w:tc>
          <w:tcPr>
            <w:tcW w:type="dxa" w:w="4600"/>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Modul SEF</w:t>
            </w:r>
          </w:p>
        </w:tc>
        <w:tc>
          <w:tcPr>
            <w:tcW w:type="dxa" w:w="2100"/>
            <w:tcMar>
              <w:top w:type="dxa" w:w="90"/>
              <w:left w:type="dxa" w:w="130"/>
              <w:bottom w:type="dxa" w:w="90"/>
              <w:right w:type="dxa" w:w="130"/>
            </w:tcMar>
          </w:tcPr>
          <w:p>
            <w:pPr>
              <w:spacing w:after="0"/>
              <w:jc w:val="right"/>
            </w:pPr>
            <w:r>
              <w:rPr>
                <w:rFonts w:ascii="Calibri" w:cs="Calibri" w:eastAsia="Calibri" w:hAnsi="Calibri"/>
                <w:b w:val="false"/>
                <w:bCs w:val="false"/>
                <w:sz w:val="20"/>
                <w:szCs w:val="20"/>
              </w:rPr>
              <w:t xml:space="preserve">200</w:t>
            </w:r>
          </w:p>
        </w:tc>
        <w:tc>
          <w:tcPr>
            <w:tcW w:type="dxa" w:w="2326"/>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godišnje, po pravnom licu</w:t>
            </w:r>
          </w:p>
        </w:tc>
      </w:tr>
      <w:tr>
        <w:tc>
          <w:tcPr>
            <w:tcW w:type="dxa" w:w="4600"/>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Modul Banka</w:t>
            </w:r>
          </w:p>
        </w:tc>
        <w:tc>
          <w:tcPr>
            <w:tcW w:type="dxa" w:w="2100"/>
            <w:tcMar>
              <w:top w:type="dxa" w:w="90"/>
              <w:left w:type="dxa" w:w="130"/>
              <w:bottom w:type="dxa" w:w="90"/>
              <w:right w:type="dxa" w:w="130"/>
            </w:tcMar>
          </w:tcPr>
          <w:p>
            <w:pPr>
              <w:spacing w:after="0"/>
              <w:jc w:val="right"/>
            </w:pPr>
            <w:r>
              <w:rPr>
                <w:rFonts w:ascii="Calibri" w:cs="Calibri" w:eastAsia="Calibri" w:hAnsi="Calibri"/>
                <w:b w:val="false"/>
                <w:bCs w:val="false"/>
                <w:sz w:val="20"/>
                <w:szCs w:val="20"/>
              </w:rPr>
              <w:t xml:space="preserve">200</w:t>
            </w:r>
          </w:p>
        </w:tc>
        <w:tc>
          <w:tcPr>
            <w:tcW w:type="dxa" w:w="2326"/>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godišnje, po pravnom licu</w:t>
            </w:r>
          </w:p>
        </w:tc>
      </w:tr>
      <w:tr>
        <w:tc>
          <w:tcPr>
            <w:tcW w:type="dxa" w:w="4600"/>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Modul Dispatch (samo uz Mobile)</w:t>
            </w:r>
          </w:p>
        </w:tc>
        <w:tc>
          <w:tcPr>
            <w:tcW w:type="dxa" w:w="2100"/>
            <w:tcMar>
              <w:top w:type="dxa" w:w="90"/>
              <w:left w:type="dxa" w:w="130"/>
              <w:bottom w:type="dxa" w:w="90"/>
              <w:right w:type="dxa" w:w="130"/>
            </w:tcMar>
          </w:tcPr>
          <w:p>
            <w:pPr>
              <w:spacing w:after="0"/>
              <w:jc w:val="right"/>
            </w:pPr>
            <w:r>
              <w:rPr>
                <w:rFonts w:ascii="Calibri" w:cs="Calibri" w:eastAsia="Calibri" w:hAnsi="Calibri"/>
                <w:b w:val="false"/>
                <w:bCs w:val="false"/>
                <w:sz w:val="20"/>
                <w:szCs w:val="20"/>
              </w:rPr>
              <w:t xml:space="preserve">200</w:t>
            </w:r>
          </w:p>
        </w:tc>
        <w:tc>
          <w:tcPr>
            <w:tcW w:type="dxa" w:w="2326"/>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godišnje, po pravnom licu</w:t>
            </w:r>
          </w:p>
        </w:tc>
      </w:tr>
      <w:tr>
        <w:tc>
          <w:tcPr>
            <w:tcW w:type="dxa" w:w="4600"/>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Modul GGAP</w:t>
            </w:r>
          </w:p>
        </w:tc>
        <w:tc>
          <w:tcPr>
            <w:tcW w:type="dxa" w:w="2100"/>
            <w:tcMar>
              <w:top w:type="dxa" w:w="90"/>
              <w:left w:type="dxa" w:w="130"/>
              <w:bottom w:type="dxa" w:w="90"/>
              <w:right w:type="dxa" w:w="130"/>
            </w:tcMar>
          </w:tcPr>
          <w:p>
            <w:pPr>
              <w:spacing w:after="0"/>
              <w:jc w:val="right"/>
            </w:pPr>
            <w:r>
              <w:rPr>
                <w:rFonts w:ascii="Calibri" w:cs="Calibri" w:eastAsia="Calibri" w:hAnsi="Calibri"/>
                <w:b w:val="false"/>
                <w:bCs w:val="false"/>
                <w:sz w:val="20"/>
                <w:szCs w:val="20"/>
              </w:rPr>
              <w:t xml:space="preserve">od 1.000</w:t>
            </w:r>
          </w:p>
        </w:tc>
        <w:tc>
          <w:tcPr>
            <w:tcW w:type="dxa" w:w="2326"/>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godišnje, po pravnom licu</w:t>
            </w:r>
          </w:p>
        </w:tc>
      </w:tr>
      <w:tr>
        <w:tc>
          <w:tcPr>
            <w:tcW w:type="dxa" w:w="4600"/>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Dodatna instanca</w:t>
            </w:r>
          </w:p>
        </w:tc>
        <w:tc>
          <w:tcPr>
            <w:tcW w:type="dxa" w:w="2100"/>
            <w:tcMar>
              <w:top w:type="dxa" w:w="90"/>
              <w:left w:type="dxa" w:w="130"/>
              <w:bottom w:type="dxa" w:w="90"/>
              <w:right w:type="dxa" w:w="130"/>
            </w:tcMar>
          </w:tcPr>
          <w:p>
            <w:pPr>
              <w:spacing w:after="0"/>
              <w:jc w:val="right"/>
            </w:pPr>
            <w:r>
              <w:rPr>
                <w:rFonts w:ascii="Calibri" w:cs="Calibri" w:eastAsia="Calibri" w:hAnsi="Calibri"/>
                <w:b w:val="false"/>
                <w:bCs w:val="false"/>
                <w:sz w:val="20"/>
                <w:szCs w:val="20"/>
              </w:rPr>
              <w:t xml:space="preserve">−50 %</w:t>
            </w:r>
          </w:p>
        </w:tc>
        <w:tc>
          <w:tcPr>
            <w:tcW w:type="dxa" w:w="2326"/>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na stavke koje instanca koristi</w:t>
            </w:r>
          </w:p>
        </w:tc>
      </w:tr>
    </w:tbl>
    <w:p>
      <w:pPr>
        <w:spacing w:after="240"/>
      </w:pPr>
    </w:p>
    <w:p>
      <w:pPr>
        <w:spacing w:after="140" w:line="276"/>
      </w:pPr>
      <w:r>
        <w:rPr>
          <w:rFonts w:ascii="Calibri" w:cs="Calibri" w:eastAsia="Calibri" w:hAnsi="Calibri"/>
          <w:b/>
          <w:bCs/>
          <w:sz w:val="21"/>
          <w:szCs w:val="21"/>
        </w:rPr>
        <w:t xml:space="preserve">2. Usluge koje se naplaćuju posebno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2100"/>
        <w:gridCol w:w="2326"/>
      </w:tblGrid>
      <w:tr>
        <w:trPr>
          <w:tblHeader/>
        </w:trPr>
        <w:tc>
          <w:tcPr>
            <w:tcW w:type="dxa" w:w="4600"/>
            <w:shd w:fill="EFEBE1" w:color="auto" w:val="clear"/>
            <w:tcMar>
              <w:top w:type="dxa" w:w="90"/>
              <w:left w:type="dxa" w:w="130"/>
              <w:bottom w:type="dxa" w:w="90"/>
              <w:right w:type="dxa" w:w="130"/>
            </w:tcMar>
          </w:tcPr>
          <w:p>
            <w:pPr>
              <w:spacing w:after="0"/>
            </w:pPr>
            <w:r>
              <w:rPr>
                <w:rFonts w:ascii="Calibri" w:cs="Calibri" w:eastAsia="Calibri" w:hAnsi="Calibri"/>
                <w:b/>
                <w:bCs/>
                <w:sz w:val="20"/>
                <w:szCs w:val="20"/>
              </w:rPr>
              <w:t xml:space="preserve">Usluga</w:t>
            </w:r>
          </w:p>
        </w:tc>
        <w:tc>
          <w:tcPr>
            <w:tcW w:type="dxa" w:w="2100"/>
            <w:shd w:fill="EFEBE1" w:color="auto" w:val="clear"/>
            <w:tcMar>
              <w:top w:type="dxa" w:w="90"/>
              <w:left w:type="dxa" w:w="130"/>
              <w:bottom w:type="dxa" w:w="90"/>
              <w:right w:type="dxa" w:w="130"/>
            </w:tcMar>
          </w:tcPr>
          <w:p>
            <w:pPr>
              <w:spacing w:after="0"/>
              <w:jc w:val="right"/>
            </w:pPr>
            <w:r>
              <w:rPr>
                <w:rFonts w:ascii="Calibri" w:cs="Calibri" w:eastAsia="Calibri" w:hAnsi="Calibri"/>
                <w:b/>
                <w:bCs/>
                <w:sz w:val="20"/>
                <w:szCs w:val="20"/>
              </w:rPr>
              <w:t xml:space="preserve">Cena (EUR)</w:t>
            </w:r>
          </w:p>
        </w:tc>
        <w:tc>
          <w:tcPr>
            <w:tcW w:type="dxa" w:w="2326"/>
            <w:shd w:fill="EFEBE1" w:color="auto" w:val="clear"/>
            <w:tcMar>
              <w:top w:type="dxa" w:w="90"/>
              <w:left w:type="dxa" w:w="130"/>
              <w:bottom w:type="dxa" w:w="90"/>
              <w:right w:type="dxa" w:w="130"/>
            </w:tcMar>
          </w:tcPr>
          <w:p>
            <w:pPr>
              <w:spacing w:after="0"/>
            </w:pPr>
            <w:r>
              <w:rPr>
                <w:rFonts w:ascii="Calibri" w:cs="Calibri" w:eastAsia="Calibri" w:hAnsi="Calibri"/>
                <w:b/>
                <w:bCs/>
                <w:sz w:val="20"/>
                <w:szCs w:val="20"/>
              </w:rPr>
              <w:t xml:space="preserve">Osnov obračuna</w:t>
            </w:r>
          </w:p>
        </w:tc>
      </w:tr>
      <w:tr>
        <w:tc>
          <w:tcPr>
            <w:tcW w:type="dxa" w:w="4600"/>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Instalacija i povezivanje sistema</w:t>
            </w:r>
          </w:p>
        </w:tc>
        <w:tc>
          <w:tcPr>
            <w:tcW w:type="dxa" w:w="2100"/>
            <w:tcMar>
              <w:top w:type="dxa" w:w="90"/>
              <w:left w:type="dxa" w:w="130"/>
              <w:bottom w:type="dxa" w:w="90"/>
              <w:right w:type="dxa" w:w="130"/>
            </w:tcMar>
          </w:tcPr>
          <w:p>
            <w:pPr>
              <w:spacing w:after="0"/>
              <w:jc w:val="right"/>
            </w:pPr>
            <w:r>
              <w:rPr>
                <w:rFonts w:ascii="Calibri" w:cs="Calibri" w:eastAsia="Calibri" w:hAnsi="Calibri"/>
                <w:b w:val="false"/>
                <w:bCs w:val="false"/>
                <w:sz w:val="20"/>
                <w:szCs w:val="20"/>
              </w:rPr>
              <w:t xml:space="preserve">uključeno</w:t>
            </w:r>
          </w:p>
        </w:tc>
        <w:tc>
          <w:tcPr>
            <w:tcW w:type="dxa" w:w="2326"/>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jednokratno</w:t>
            </w:r>
          </w:p>
        </w:tc>
      </w:tr>
      <w:tr>
        <w:tc>
          <w:tcPr>
            <w:tcW w:type="dxa" w:w="4600"/>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Implementaciona obuka</w:t>
            </w:r>
          </w:p>
        </w:tc>
        <w:tc>
          <w:tcPr>
            <w:tcW w:type="dxa" w:w="2100"/>
            <w:tcMar>
              <w:top w:type="dxa" w:w="90"/>
              <w:left w:type="dxa" w:w="130"/>
              <w:bottom w:type="dxa" w:w="90"/>
              <w:right w:type="dxa" w:w="130"/>
            </w:tcMar>
          </w:tcPr>
          <w:p>
            <w:pPr>
              <w:spacing w:after="0"/>
              <w:jc w:val="right"/>
            </w:pPr>
            <w:r>
              <w:rPr>
                <w:rFonts w:ascii="Calibri" w:cs="Calibri" w:eastAsia="Calibri" w:hAnsi="Calibri"/>
                <w:b w:val="false"/>
                <w:bCs w:val="false"/>
                <w:sz w:val="20"/>
                <w:szCs w:val="20"/>
              </w:rPr>
              <w:t xml:space="preserve">5 sati uključeno</w:t>
            </w:r>
          </w:p>
        </w:tc>
        <w:tc>
          <w:tcPr>
            <w:tcW w:type="dxa" w:w="2326"/>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jednokratno</w:t>
            </w:r>
          </w:p>
        </w:tc>
      </w:tr>
      <w:tr>
        <w:tc>
          <w:tcPr>
            <w:tcW w:type="dxa" w:w="4600"/>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Dodatna obuka</w:t>
            </w:r>
          </w:p>
        </w:tc>
        <w:tc>
          <w:tcPr>
            <w:tcW w:type="dxa" w:w="2100"/>
            <w:tcMar>
              <w:top w:type="dxa" w:w="90"/>
              <w:left w:type="dxa" w:w="130"/>
              <w:bottom w:type="dxa" w:w="90"/>
              <w:right w:type="dxa" w:w="130"/>
            </w:tcMar>
          </w:tcPr>
          <w:p>
            <w:pPr>
              <w:spacing w:after="0"/>
              <w:jc w:val="right"/>
            </w:pPr>
            <w:r>
              <w:rPr>
                <w:rFonts w:ascii="Calibri" w:cs="Calibri" w:eastAsia="Calibri" w:hAnsi="Calibri"/>
                <w:b w:val="false"/>
                <w:bCs w:val="false"/>
                <w:sz w:val="20"/>
                <w:szCs w:val="20"/>
              </w:rPr>
              <w:t xml:space="preserve">30</w:t>
            </w:r>
          </w:p>
        </w:tc>
        <w:tc>
          <w:tcPr>
            <w:tcW w:type="dxa" w:w="2326"/>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po satu</w:t>
            </w:r>
          </w:p>
        </w:tc>
      </w:tr>
      <w:tr>
        <w:tc>
          <w:tcPr>
            <w:tcW w:type="dxa" w:w="4600"/>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Razvoj po zahtevu Korisnika</w:t>
            </w:r>
          </w:p>
        </w:tc>
        <w:tc>
          <w:tcPr>
            <w:tcW w:type="dxa" w:w="2100"/>
            <w:tcMar>
              <w:top w:type="dxa" w:w="90"/>
              <w:left w:type="dxa" w:w="130"/>
              <w:bottom w:type="dxa" w:w="90"/>
              <w:right w:type="dxa" w:w="130"/>
            </w:tcMar>
          </w:tcPr>
          <w:p>
            <w:pPr>
              <w:spacing w:after="0"/>
              <w:jc w:val="right"/>
            </w:pPr>
            <w:r>
              <w:rPr>
                <w:rFonts w:ascii="Calibri" w:cs="Calibri" w:eastAsia="Calibri" w:hAnsi="Calibri"/>
                <w:b w:val="false"/>
                <w:bCs w:val="false"/>
                <w:sz w:val="20"/>
                <w:szCs w:val="20"/>
              </w:rPr>
              <w:t xml:space="preserve">50</w:t>
            </w:r>
          </w:p>
        </w:tc>
        <w:tc>
          <w:tcPr>
            <w:tcW w:type="dxa" w:w="2326"/>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po satu</w:t>
            </w:r>
          </w:p>
        </w:tc>
      </w:tr>
      <w:tr>
        <w:tc>
          <w:tcPr>
            <w:tcW w:type="dxa" w:w="4600"/>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Složena migracija podataka</w:t>
            </w:r>
          </w:p>
        </w:tc>
        <w:tc>
          <w:tcPr>
            <w:tcW w:type="dxa" w:w="2100"/>
            <w:tcMar>
              <w:top w:type="dxa" w:w="90"/>
              <w:left w:type="dxa" w:w="130"/>
              <w:bottom w:type="dxa" w:w="90"/>
              <w:right w:type="dxa" w:w="130"/>
            </w:tcMar>
          </w:tcPr>
          <w:p>
            <w:pPr>
              <w:spacing w:after="0"/>
              <w:jc w:val="right"/>
            </w:pPr>
            <w:r>
              <w:rPr>
                <w:rFonts w:ascii="Calibri" w:cs="Calibri" w:eastAsia="Calibri" w:hAnsi="Calibri"/>
                <w:b w:val="false"/>
                <w:bCs w:val="false"/>
                <w:sz w:val="20"/>
                <w:szCs w:val="20"/>
              </w:rPr>
              <w:t xml:space="preserve">50</w:t>
            </w:r>
          </w:p>
        </w:tc>
        <w:tc>
          <w:tcPr>
            <w:tcW w:type="dxa" w:w="2326"/>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po satu</w:t>
            </w:r>
          </w:p>
        </w:tc>
      </w:tr>
      <w:tr>
        <w:tc>
          <w:tcPr>
            <w:tcW w:type="dxa" w:w="4600"/>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Izlazak na lokaciju</w:t>
            </w:r>
          </w:p>
        </w:tc>
        <w:tc>
          <w:tcPr>
            <w:tcW w:type="dxa" w:w="2100"/>
            <w:tcMar>
              <w:top w:type="dxa" w:w="90"/>
              <w:left w:type="dxa" w:w="130"/>
              <w:bottom w:type="dxa" w:w="90"/>
              <w:right w:type="dxa" w:w="130"/>
            </w:tcMar>
          </w:tcPr>
          <w:p>
            <w:pPr>
              <w:spacing w:after="0"/>
              <w:jc w:val="right"/>
            </w:pPr>
            <w:r>
              <w:rPr>
                <w:rFonts w:ascii="Calibri" w:cs="Calibri" w:eastAsia="Calibri" w:hAnsi="Calibri"/>
                <w:b w:val="false"/>
                <w:bCs w:val="false"/>
                <w:sz w:val="20"/>
                <w:szCs w:val="20"/>
              </w:rPr>
              <w:t xml:space="preserve">50 + troškovi</w:t>
            </w:r>
          </w:p>
        </w:tc>
        <w:tc>
          <w:tcPr>
            <w:tcW w:type="dxa" w:w="2326"/>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po izlasku, uvećano za vreme puta i rada</w:t>
            </w:r>
          </w:p>
        </w:tc>
      </w:tr>
      <w:tr>
        <w:tc>
          <w:tcPr>
            <w:tcW w:type="dxa" w:w="4600"/>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Hardverska podrška</w:t>
            </w:r>
          </w:p>
        </w:tc>
        <w:tc>
          <w:tcPr>
            <w:tcW w:type="dxa" w:w="2100"/>
            <w:tcMar>
              <w:top w:type="dxa" w:w="90"/>
              <w:left w:type="dxa" w:w="130"/>
              <w:bottom w:type="dxa" w:w="90"/>
              <w:right w:type="dxa" w:w="130"/>
            </w:tcMar>
          </w:tcPr>
          <w:p>
            <w:pPr>
              <w:spacing w:after="0"/>
              <w:jc w:val="right"/>
            </w:pPr>
            <w:r>
              <w:rPr>
                <w:rFonts w:ascii="Calibri" w:cs="Calibri" w:eastAsia="Calibri" w:hAnsi="Calibri"/>
                <w:b w:val="false"/>
                <w:bCs w:val="false"/>
                <w:sz w:val="20"/>
                <w:szCs w:val="20"/>
              </w:rPr>
              <w:t xml:space="preserve">40</w:t>
            </w:r>
          </w:p>
        </w:tc>
        <w:tc>
          <w:tcPr>
            <w:tcW w:type="dxa" w:w="2326"/>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godišnje po stanici, min. 200</w:t>
            </w:r>
          </w:p>
        </w:tc>
      </w:tr>
    </w:tbl>
    <w:p>
      <w:pPr>
        <w:spacing w:after="240"/>
      </w:pPr>
    </w:p>
    <w:p>
      <w:pPr>
        <w:spacing w:after="100" w:line="276"/>
      </w:pPr>
      <w:r>
        <w:rPr>
          <w:rFonts w:ascii="Calibri" w:cs="Calibri" w:eastAsia="Calibri" w:hAnsi="Calibri"/>
          <w:b/>
          <w:bCs/>
          <w:sz w:val="21"/>
          <w:szCs w:val="21"/>
        </w:rPr>
        <w:t xml:space="preserve">3. Ugovoreni obim za Korisnika</w:t>
      </w:r>
    </w:p>
    <w:p>
      <w:pPr>
        <w:spacing w:after="100" w:line="276"/>
      </w:pPr>
      <w:r>
        <w:rPr>
          <w:rFonts w:ascii="Calibri" w:cs="Calibri" w:eastAsia="Calibri" w:hAnsi="Calibri"/>
          <w:sz w:val="21"/>
          <w:szCs w:val="21"/>
        </w:rPr>
        <w:t xml:space="preserve">Paket: ______________________________________</w:t>
      </w:r>
    </w:p>
    <w:p>
      <w:pPr>
        <w:spacing w:after="100" w:line="276"/>
      </w:pPr>
      <w:r>
        <w:rPr>
          <w:rFonts w:ascii="Calibri" w:cs="Calibri" w:eastAsia="Calibri" w:hAnsi="Calibri"/>
          <w:sz w:val="21"/>
          <w:szCs w:val="21"/>
        </w:rPr>
        <w:t xml:space="preserve">Ugovoreni moduli: ______________________________________</w:t>
      </w:r>
    </w:p>
    <w:p>
      <w:pPr>
        <w:spacing w:after="100" w:line="276"/>
      </w:pPr>
      <w:r>
        <w:rPr>
          <w:rFonts w:ascii="Calibri" w:cs="Calibri" w:eastAsia="Calibri" w:hAnsi="Calibri"/>
          <w:sz w:val="21"/>
          <w:szCs w:val="21"/>
        </w:rPr>
        <w:t xml:space="preserve">Prijavljeni broj aktivnih otkupnih stanica: ______________</w:t>
      </w:r>
    </w:p>
    <w:p>
      <w:pPr>
        <w:spacing w:after="100" w:line="276"/>
      </w:pPr>
      <w:r>
        <w:rPr>
          <w:rFonts w:ascii="Calibri" w:cs="Calibri" w:eastAsia="Calibri" w:hAnsi="Calibri"/>
          <w:sz w:val="21"/>
          <w:szCs w:val="21"/>
        </w:rPr>
        <w:t xml:space="preserve">Ukupna godišnja naknada: ______________ EUR</w:t>
      </w:r>
    </w:p>
    <w:p>
      <w:pPr>
        <w:spacing w:after="100" w:line="276"/>
      </w:pPr>
      <w:r>
        <w:rPr>
          <w:rFonts w:ascii="Calibri" w:cs="Calibri" w:eastAsia="Calibri" w:hAnsi="Calibri"/>
          <w:sz w:val="21"/>
          <w:szCs w:val="21"/>
        </w:rPr>
        <w:t xml:space="preserve">Datum početka ugovornog perioda: ______________</w:t>
      </w:r>
    </w:p>
    <w:p>
      <w:r>
        <w:br w:type="page"/>
      </w:r>
    </w:p>
    <w:p>
      <w:pPr>
        <w:spacing w:after="40"/>
      </w:pPr>
      <w:r>
        <w:rPr>
          <w:rFonts w:ascii="Calibri" w:cs="Calibri" w:eastAsia="Calibri" w:hAnsi="Calibri"/>
          <w:b/>
          <w:bCs/>
          <w:color w:val="1E2D14"/>
          <w:sz w:val="26"/>
          <w:szCs w:val="26"/>
        </w:rPr>
        <w:t xml:space="preserve">PRILOG 2</w:t>
      </w:r>
    </w:p>
    <w:p>
      <w:pPr>
        <w:pBdr>
          <w:bottom w:val="single" w:color="C8A84B" w:sz="8" w:space="5"/>
        </w:pBdr>
        <w:spacing w:after="220"/>
      </w:pPr>
      <w:r>
        <w:rPr>
          <w:rFonts w:ascii="Calibri" w:cs="Calibri" w:eastAsia="Calibri" w:hAnsi="Calibri"/>
          <w:b/>
          <w:bCs/>
          <w:color w:val="1E2D14"/>
          <w:spacing w:val="14"/>
          <w:sz w:val="20"/>
          <w:szCs w:val="20"/>
        </w:rPr>
        <w:t xml:space="preserve">OPIS USLUGA PODRŠKE</w:t>
      </w:r>
    </w:p>
    <w:p>
      <w:pPr>
        <w:spacing w:after="100" w:line="276"/>
      </w:pPr>
      <w:r>
        <w:rPr>
          <w:rFonts w:ascii="Calibri" w:cs="Calibri" w:eastAsia="Calibri" w:hAnsi="Calibri"/>
          <w:b/>
          <w:bCs/>
          <w:sz w:val="21"/>
          <w:szCs w:val="21"/>
        </w:rPr>
        <w:t xml:space="preserve">1. Kanali i radno vreme</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Telefon, elektronska pošta i daljinska dijagnostika.</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Radnim danima od 08.00 do 16.00 časova.</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Tokom sezone (1. jun — 30. novembar) i vikendom, za kritične incidente.</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Vremenski prozor u kojem važi rok reakcije od jednog sata: tokom sezone (1. jun — 30. novembar) svakog dana od 08.00 do 20.00 časova; van sezone radnim danima od 08.00 do 16.00 časova.</w:t>
      </w:r>
    </w:p>
    <w:p>
      <w:pPr>
        <w:spacing w:after="160"/>
      </w:pPr>
    </w:p>
    <w:p>
      <w:pPr>
        <w:spacing w:after="100" w:line="276"/>
      </w:pPr>
      <w:r>
        <w:rPr>
          <w:rFonts w:ascii="Calibri" w:cs="Calibri" w:eastAsia="Calibri" w:hAnsi="Calibri"/>
          <w:b/>
          <w:bCs/>
          <w:sz w:val="21"/>
          <w:szCs w:val="21"/>
        </w:rPr>
        <w:t xml:space="preserve">2. Rokovi reakcije</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Kritičan incident — potvrda prijema i početak dijagnostike u roku od jednog sata.</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Ostali incidenti — odgovor u roku od jednog radnog dana.</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Vreme otklanjanja zavisi od prirode, uticaja i složenosti problema.</w:t>
      </w:r>
    </w:p>
    <w:p>
      <w:pPr>
        <w:spacing w:after="160"/>
      </w:pPr>
    </w:p>
    <w:p>
      <w:pPr>
        <w:spacing w:after="100" w:line="276"/>
      </w:pPr>
      <w:r>
        <w:rPr>
          <w:rFonts w:ascii="Calibri" w:cs="Calibri" w:eastAsia="Calibri" w:hAnsi="Calibri"/>
          <w:b/>
          <w:bCs/>
          <w:sz w:val="21"/>
          <w:szCs w:val="21"/>
        </w:rPr>
        <w:t xml:space="preserve">3. Nije obuhvaćeno standardnom podrškom</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Čišćenje i ispravljanje podataka nastalih greškom korisnika i masovne korekcije.</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Izrada izveštaja i funkcija specifičnih za Korisnika.</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Podešavanje računara, mreže, štampača i druge opreme.</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Savetovanje o internim poslovnim procesima Korisnika.</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Izlazak na lokaciju i fizičke intervencije.</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Obuka preko pet uključenih sati.</w:t>
      </w:r>
    </w:p>
    <w:p>
      <w:r>
        <w:br w:type="page"/>
      </w:r>
    </w:p>
    <w:p>
      <w:pPr>
        <w:spacing w:after="40"/>
      </w:pPr>
      <w:r>
        <w:rPr>
          <w:rFonts w:ascii="Calibri" w:cs="Calibri" w:eastAsia="Calibri" w:hAnsi="Calibri"/>
          <w:b/>
          <w:bCs/>
          <w:color w:val="1E2D14"/>
          <w:sz w:val="26"/>
          <w:szCs w:val="26"/>
        </w:rPr>
        <w:t xml:space="preserve">PRILOG 3</w:t>
      </w:r>
    </w:p>
    <w:p>
      <w:pPr>
        <w:pBdr>
          <w:bottom w:val="single" w:color="C8A84B" w:sz="8" w:space="5"/>
        </w:pBdr>
        <w:spacing w:after="220"/>
      </w:pPr>
      <w:r>
        <w:rPr>
          <w:rFonts w:ascii="Calibri" w:cs="Calibri" w:eastAsia="Calibri" w:hAnsi="Calibri"/>
          <w:b/>
          <w:bCs/>
          <w:color w:val="1E2D14"/>
          <w:spacing w:val="14"/>
          <w:sz w:val="20"/>
          <w:szCs w:val="20"/>
        </w:rPr>
        <w:t xml:space="preserve">OBRADA PODATAKA O LIČNOSTI</w:t>
      </w:r>
    </w:p>
    <w:p>
      <w:pPr>
        <w:pBdr>
          <w:top w:val="single" w:color="C8A84B" w:sz="6" w:space="8"/>
          <w:bottom w:val="single" w:color="C8A84B" w:sz="6" w:space="8"/>
          <w:left w:val="single" w:color="C8A84B" w:sz="6" w:space="8"/>
          <w:right w:val="single" w:color="C8A84B" w:sz="6" w:space="8"/>
        </w:pBdr>
        <w:shd w:fill="FBF4DD" w:color="auto" w:val="clear"/>
        <w:spacing w:after="200"/>
      </w:pPr>
      <w:r>
        <w:rPr>
          <w:rFonts w:ascii="Calibri" w:cs="Calibri" w:eastAsia="Calibri" w:hAnsi="Calibri"/>
          <w:b/>
          <w:bCs/>
          <w:color w:val="7A5B00"/>
          <w:sz w:val="19"/>
          <w:szCs w:val="19"/>
        </w:rPr>
        <w:t xml:space="preserve">NAPOMENA — OVAJ PRILOG NIJE DOVRŠEN. Uloge ugovornih strana u obradi podataka o ličnosti utvrđuju se nakon izrade mape tokova podataka i pravne analize. Do tada prilog služi kao okvir i ne treba ga potpisivati u ovom obliku.</w:t>
      </w:r>
    </w:p>
    <w:p>
      <w:pPr>
        <w:spacing w:after="100" w:line="276"/>
      </w:pPr>
      <w:r>
        <w:rPr>
          <w:rFonts w:ascii="Calibri" w:cs="Calibri" w:eastAsia="Calibri" w:hAnsi="Calibri"/>
          <w:b/>
          <w:bCs/>
          <w:sz w:val="21"/>
          <w:szCs w:val="21"/>
        </w:rPr>
        <w:t xml:space="preserve">1. Uloge ugovornih strana</w:t>
      </w:r>
    </w:p>
    <w:p>
      <w:pPr>
        <w:spacing w:after="160" w:line="276"/>
      </w:pPr>
      <w:r>
        <w:rPr>
          <w:rFonts w:ascii="Calibri" w:cs="Calibri" w:eastAsia="Calibri" w:hAnsi="Calibri"/>
          <w:sz w:val="21"/>
          <w:szCs w:val="21"/>
        </w:rPr>
        <w:t xml:space="preserve">Utvrđuje se nakon pravne analize: ______________________________________</w:t>
      </w:r>
    </w:p>
    <w:p>
      <w:pPr>
        <w:spacing w:after="100" w:line="276"/>
      </w:pPr>
      <w:r>
        <w:rPr>
          <w:rFonts w:ascii="Calibri" w:cs="Calibri" w:eastAsia="Calibri" w:hAnsi="Calibri"/>
          <w:b/>
          <w:bCs/>
          <w:sz w:val="21"/>
          <w:szCs w:val="21"/>
        </w:rPr>
        <w:t xml:space="preserve">2. Vrste podataka koji se obrađuju</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Podaci o zaposlenima Korisnika koji koriste Softver (ime, uloga, kontakt, evidencija pristupa).</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Podaci o proizvođačima i kooperantima Korisnika u obimu potrebnom za izdavanje dokumenata.</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Tehnički zapisi o korišćenju sistema.</w:t>
      </w:r>
    </w:p>
    <w:p>
      <w:pPr>
        <w:spacing w:after="160"/>
      </w:pPr>
    </w:p>
    <w:p>
      <w:pPr>
        <w:spacing w:after="100" w:line="276"/>
      </w:pPr>
      <w:r>
        <w:rPr>
          <w:rFonts w:ascii="Calibri" w:cs="Calibri" w:eastAsia="Calibri" w:hAnsi="Calibri"/>
          <w:b/>
          <w:bCs/>
          <w:sz w:val="21"/>
          <w:szCs w:val="21"/>
        </w:rPr>
        <w:t xml:space="preserve">3. Svrha i trajanje obrade</w:t>
      </w:r>
    </w:p>
    <w:p>
      <w:pPr>
        <w:spacing w:after="160" w:line="276"/>
      </w:pPr>
      <w:r>
        <w:rPr>
          <w:rFonts w:ascii="Calibri" w:cs="Calibri" w:eastAsia="Calibri" w:hAnsi="Calibri"/>
          <w:sz w:val="21"/>
          <w:szCs w:val="21"/>
        </w:rPr>
        <w:t xml:space="preserve">Obrada se vrši radi izvršenja ugovora i pružanja podrške, i traje za vreme trajanja ugovora, uvećano za rokove čuvanja rezervnih kopija iz člana 8.</w:t>
      </w:r>
    </w:p>
    <w:p>
      <w:pPr>
        <w:spacing w:after="100" w:line="276"/>
      </w:pPr>
      <w:r>
        <w:rPr>
          <w:rFonts w:ascii="Calibri" w:cs="Calibri" w:eastAsia="Calibri" w:hAnsi="Calibri"/>
          <w:b/>
          <w:bCs/>
          <w:sz w:val="21"/>
          <w:szCs w:val="21"/>
        </w:rPr>
        <w:t xml:space="preserve">4. Drugi obrađivači</w:t>
      </w:r>
    </w:p>
    <w:p>
      <w:pPr>
        <w:spacing w:after="160" w:line="276"/>
      </w:pPr>
      <w:r>
        <w:rPr>
          <w:rFonts w:ascii="Calibri" w:cs="Calibri" w:eastAsia="Calibri" w:hAnsi="Calibri"/>
          <w:sz w:val="21"/>
          <w:szCs w:val="21"/>
        </w:rPr>
        <w:t xml:space="preserve">Davalac koristi usluge pružaoca infrastrukture u oblaku. Spisak drugih obrađivača i lokacija obrade: ______________________________________</w:t>
      </w:r>
    </w:p>
    <w:p>
      <w:pPr>
        <w:spacing w:after="100" w:line="276"/>
      </w:pPr>
      <w:r>
        <w:rPr>
          <w:rFonts w:ascii="Calibri" w:cs="Calibri" w:eastAsia="Calibri" w:hAnsi="Calibri"/>
          <w:b/>
          <w:bCs/>
          <w:sz w:val="21"/>
          <w:szCs w:val="21"/>
        </w:rPr>
        <w:t xml:space="preserve">5. Mere zaštite</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Odvojeno čuvanje podataka svakog korisnika.</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Pristup prema ulogama, uz evidentiranje pristupa ovlašćenih lica.</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Obavezna višefaktorska autentifikacija za privilegovane naloge.</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Imenovani korisnički nalozi; deljeni nalozi nisu dozvoljeni.</w:t>
      </w:r>
    </w:p>
    <w:p>
      <w:pPr>
        <w:spacing w:after="80" w:line="276"/>
        <w:ind w:left="700" w:hanging="220"/>
      </w:pPr>
      <w:r>
        <w:rPr>
          <w:rFonts w:ascii="Calibri" w:cs="Calibri" w:eastAsia="Calibri" w:hAnsi="Calibri"/>
          <w:sz w:val="21"/>
          <w:szCs w:val="21"/>
        </w:rPr>
        <w:t xml:space="preserve">–	</w:t>
      </w:r>
      <w:r>
        <w:rPr>
          <w:rFonts w:ascii="Calibri" w:cs="Calibri" w:eastAsia="Calibri" w:hAnsi="Calibri"/>
          <w:sz w:val="21"/>
          <w:szCs w:val="21"/>
        </w:rPr>
        <w:t xml:space="preserve">Zabrana korišćenja stvarnih podataka u razvojnim i testnim okruženjima.</w:t>
      </w:r>
    </w:p>
    <w:p>
      <w:pPr>
        <w:spacing w:after="200"/>
      </w:pPr>
    </w:p>
    <w:p>
      <w:pPr>
        <w:spacing w:after="100" w:line="276"/>
      </w:pPr>
      <w:r>
        <w:rPr>
          <w:rFonts w:ascii="Calibri" w:cs="Calibri" w:eastAsia="Calibri" w:hAnsi="Calibri"/>
          <w:b/>
          <w:bCs/>
          <w:sz w:val="21"/>
          <w:szCs w:val="21"/>
        </w:rPr>
        <w:t xml:space="preserve">6. Anonimizovani podaci</w:t>
      </w:r>
    </w:p>
    <w:p>
      <w:pPr>
        <w:spacing w:after="100" w:line="276"/>
      </w:pPr>
      <w:r>
        <w:rPr>
          <w:rFonts w:ascii="Calibri" w:cs="Calibri" w:eastAsia="Calibri" w:hAnsi="Calibri"/>
          <w:sz w:val="21"/>
          <w:szCs w:val="21"/>
        </w:rPr>
        <w:t xml:space="preserve">Davalac može trajno zadržati i koristiti podatke koji su nepovratno anonimizovani i koji se više ne mogu povezati sa Korisnikom, njegovim zaposlenima ili poslovnim partnerima, radi statistike, praćenja pouzdanosti i razvoja proizvoda. Korisnik potvrđuje da je saglasan sa takvim korišćenjem: DA / NE.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152"/>
        <w:sz w:val="16"/>
        <w:szCs w:val="16"/>
      </w:rPr>
      <w:t xml:space="preserve">AgriX — Ugovor o licenciranju i pružanju usluga   ·   strana </w:t>
    </w:r>
    <w:r>
      <w:rPr>
        <w:rFonts w:ascii="Calibri" w:cs="Calibri" w:eastAsia="Calibri" w:hAnsi="Calibri"/>
        <w:color w:val="5A6152"/>
        <w:sz w:val="16"/>
        <w:szCs w:val="16"/>
      </w:rPr>
      <w:fldChar w:fldCharType="begin"/>
      <w:instrText xml:space="preserve">PAGE</w:instrText>
      <w:fldChar w:fldCharType="separate"/>
      <w:fldChar w:fldCharType="end"/>
    </w:r>
    <w:r>
      <w:rPr>
        <w:rFonts w:ascii="Calibri" w:cs="Calibri" w:eastAsia="Calibri" w:hAnsi="Calibri"/>
        <w:color w:val="5A6152"/>
        <w:sz w:val="16"/>
        <w:szCs w:val="16"/>
      </w:rPr>
      <w:t xml:space="preserve"> od </w:t>
    </w:r>
    <w:r>
      <w:rPr>
        <w:rFonts w:ascii="Calibri" w:cs="Calibri" w:eastAsia="Calibri" w:hAnsi="Calibri"/>
        <w:color w:val="5A615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Ugovor o licenciranju i pružanju usluga — AgriX</dc:title>
  <dc:creator>AgriX</dc:creator>
  <cp:lastModifiedBy>Un-named</cp:lastModifiedBy>
  <cp:revision>1</cp:revision>
  <dcterms:created xsi:type="dcterms:W3CDTF">2026-07-26T18:00:24.710Z</dcterms:created>
  <dcterms:modified xsi:type="dcterms:W3CDTF">2026-07-26T18:00:24.723Z</dcterms:modified>
</cp:coreProperties>
</file>

<file path=docProps/custom.xml><?xml version="1.0" encoding="utf-8"?>
<Properties xmlns="http://schemas.openxmlformats.org/officeDocument/2006/custom-properties" xmlns:vt="http://schemas.openxmlformats.org/officeDocument/2006/docPropsVTypes"/>
</file>