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E2D14"/>
          <w:sz w:val="34"/>
          <w:szCs w:val="34"/>
        </w:rPr>
        <w:t xml:space="preserve">UGOVOR</w:t>
      </w:r>
    </w:p>
    <w:p>
      <w:pPr>
        <w:spacing w:after="40"/>
        <w:jc w:val="center"/>
      </w:pPr>
      <w:r>
        <w:rPr>
          <w:rFonts w:ascii="Calibri" w:cs="Calibri" w:eastAsia="Calibri" w:hAnsi="Calibri"/>
          <w:b/>
          <w:bCs/>
          <w:color w:val="1E2D14"/>
          <w:spacing w:val="14"/>
          <w:sz w:val="22"/>
          <w:szCs w:val="22"/>
        </w:rPr>
        <w:t xml:space="preserve">O LICENCIRANJU SOFTVERA I PRUŽANJU PRATEĆIH USLUGA</w:t>
      </w:r>
    </w:p>
    <w:p>
      <w:pPr>
        <w:pBdr>
          <w:bottom w:val="single" w:color="C8A84B" w:sz="8" w:space="6"/>
        </w:pBdr>
        <w:spacing w:after="300"/>
        <w:jc w:val="center"/>
      </w:pPr>
      <w:r>
        <w:rPr>
          <w:rFonts w:ascii="Calibri" w:cs="Calibri" w:eastAsia="Calibri" w:hAnsi="Calibri"/>
          <w:color w:val="5A6152"/>
          <w:sz w:val="20"/>
          <w:szCs w:val="20"/>
        </w:rPr>
        <w:t xml:space="preserve">AgriX Enterprise</w:t>
      </w:r>
    </w:p>
    <w:p>
      <w:pPr>
        <w:spacing w:after="200" w:line="276"/>
      </w:pPr>
      <w:r>
        <w:rPr>
          <w:rFonts w:ascii="Calibri" w:cs="Calibri" w:eastAsia="Calibri" w:hAnsi="Calibri"/>
          <w:sz w:val="21"/>
          <w:szCs w:val="21"/>
        </w:rPr>
        <w:t xml:space="preserve">Zaključen dana ______________ godine, u ______________, između ugovornih strana:</w:t>
      </w:r>
    </w:p>
    <w:p>
      <w:pPr>
        <w:spacing w:after="100" w:line="276"/>
      </w:pPr>
      <w:r>
        <w:rPr>
          <w:rFonts w:ascii="Calibri" w:cs="Calibri" w:eastAsia="Calibri" w:hAnsi="Calibri"/>
          <w:b/>
          <w:bCs/>
          <w:sz w:val="21"/>
          <w:szCs w:val="21"/>
        </w:rPr>
        <w:t xml:space="preserve">1. DAVALAC LICENCE</w:t>
      </w:r>
    </w:p>
    <w:tbl>
      <w:tblPr>
        <w:tblW w:type="dxa" w:w="9026"/>
        <w:tblBorders>
          <w:top w:val="none"/>
          <w:left w:val="none"/>
          <w:bottom w:val="none"/>
          <w:right w:val="none"/>
          <w:insideH w:val="none"/>
          <w:insideV w:val="none"/>
        </w:tblBorders>
      </w:tblPr>
      <w:tblGrid>
        <w:gridCol w:w="4413"/>
        <w:gridCol w:w="4613"/>
      </w:tblGrid>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Poslovno ime:</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Sedište i adresa:</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Matični broj:</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PIB:</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Zastupnik:</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Tekući račun:</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bl>
    <w:p>
      <w:pPr>
        <w:spacing w:after="220" w:line="276"/>
      </w:pPr>
      <w:r>
        <w:rPr>
          <w:rFonts w:ascii="Calibri" w:cs="Calibri" w:eastAsia="Calibri" w:hAnsi="Calibri"/>
          <w:i/>
          <w:iCs/>
          <w:sz w:val="21"/>
          <w:szCs w:val="21"/>
        </w:rPr>
        <w:t xml:space="preserve">(u daljem tekstu: Davalac)</w:t>
      </w:r>
    </w:p>
    <w:p>
      <w:pPr>
        <w:spacing w:after="100" w:line="276"/>
      </w:pPr>
      <w:r>
        <w:rPr>
          <w:rFonts w:ascii="Calibri" w:cs="Calibri" w:eastAsia="Calibri" w:hAnsi="Calibri"/>
          <w:b/>
          <w:bCs/>
          <w:sz w:val="21"/>
          <w:szCs w:val="21"/>
        </w:rPr>
        <w:t xml:space="preserve">2. KORISNIK</w:t>
      </w:r>
    </w:p>
    <w:tbl>
      <w:tblPr>
        <w:tblW w:type="dxa" w:w="9026"/>
        <w:tblBorders>
          <w:top w:val="none"/>
          <w:left w:val="none"/>
          <w:bottom w:val="none"/>
          <w:right w:val="none"/>
          <w:insideH w:val="none"/>
          <w:insideV w:val="none"/>
        </w:tblBorders>
      </w:tblPr>
      <w:tblGrid>
        <w:gridCol w:w="4413"/>
        <w:gridCol w:w="4613"/>
      </w:tblGrid>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Poslovno ime:</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Sedište i adresa:</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Matični broj:</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PIB:</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Zastupnik:</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r>
        <w:tc>
          <w:tcPr>
            <w:tcW w:type="dxa" w:w="44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Tekući račun:</w:t>
            </w:r>
          </w:p>
        </w:tc>
        <w:tc>
          <w:tcPr>
            <w:tcW w:type="dxa" w:w="4613"/>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______________________________________</w:t>
            </w:r>
          </w:p>
        </w:tc>
      </w:tr>
    </w:tbl>
    <w:p>
      <w:pPr>
        <w:spacing w:after="260" w:line="276"/>
      </w:pPr>
      <w:r>
        <w:rPr>
          <w:rFonts w:ascii="Calibri" w:cs="Calibri" w:eastAsia="Calibri" w:hAnsi="Calibri"/>
          <w:i/>
          <w:iCs/>
          <w:sz w:val="21"/>
          <w:szCs w:val="21"/>
        </w:rPr>
        <w:t xml:space="preserve">(u daljem tekstu: Korisnik)</w:t>
      </w:r>
    </w:p>
    <w:p>
      <w:pPr>
        <w:spacing w:after="200" w:line="276"/>
      </w:pPr>
      <w:r>
        <w:rPr>
          <w:rFonts w:ascii="Calibri" w:cs="Calibri" w:eastAsia="Calibri" w:hAnsi="Calibri"/>
          <w:sz w:val="21"/>
          <w:szCs w:val="21"/>
        </w:rPr>
        <w:t xml:space="preserve">Ugovorne strane saglasno konstatuju da je Davalac nosilac svih prava na softverskom rešenju AgriX i da Korisnik želi da to rešenje koristi u svom poslovanju, pa zaključuju sledeći ugovor.</w:t>
      </w:r>
    </w:p>
    <w:p>
      <w:pPr>
        <w:keepNext/>
        <w:spacing w:after="40" w:before="320"/>
      </w:pPr>
      <w:r>
        <w:rPr>
          <w:rFonts w:ascii="Calibri" w:cs="Calibri" w:eastAsia="Calibri" w:hAnsi="Calibri"/>
          <w:b/>
          <w:bCs/>
          <w:color w:val="1E2D14"/>
          <w:sz w:val="22"/>
          <w:szCs w:val="22"/>
        </w:rPr>
        <w:t xml:space="preserve">Član 1</w:t>
      </w:r>
    </w:p>
    <w:p>
      <w:pPr>
        <w:keepNext/>
        <w:pBdr>
          <w:bottom w:val="single" w:color="C8A84B" w:sz="6" w:space="4"/>
        </w:pBdr>
        <w:spacing w:after="140"/>
      </w:pPr>
      <w:r>
        <w:rPr>
          <w:rFonts w:ascii="Calibri" w:cs="Calibri" w:eastAsia="Calibri" w:hAnsi="Calibri"/>
          <w:b/>
          <w:bCs/>
          <w:color w:val="1E2D14"/>
          <w:spacing w:val="20"/>
          <w:sz w:val="19"/>
          <w:szCs w:val="19"/>
        </w:rPr>
        <w:t xml:space="preserve">PREDMET UGOVORA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Predmet ovog ugovora je davanje prava korišćenja softverskog rešenja AgriX Enterprise (u daljem tekstu: Softver) Korisniku, kao i pružanje pratećih usluga uvođenja, obuke, podrške i održavanja, pod uslovima utvrđenim ovim ugovorom i njegovim prilozima.</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Sastavni deo ovog ugovora čine: Prilog 1 — Specifikacija ugovorenog obima i cena, Prilog 2 — Opis usluga podrške i Prilog 3 — Obrada podataka o ličnosti.</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Softver je namenjen vođenju operativnog poslovanja Korisnika u oblasti otkupa, prijema, prerade, skladištenja, logistike i sledljivosti poljoprivrednih proizvoda.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Softver nije računovodstveni program i ne zamenjuje sistem finansijskog knjigovodstva Korisnika. Korisnik je saglasan da vođenje poslovnih knjiga, obračun poreza i sastavljanje finansijskih izveštaja ostaju izvan predmeta ovog ugovora.</w:t>
      </w:r>
    </w:p>
    <w:p>
      <w:pPr>
        <w:keepNext/>
        <w:spacing w:after="40" w:before="320"/>
      </w:pPr>
      <w:r>
        <w:rPr>
          <w:rFonts w:ascii="Calibri" w:cs="Calibri" w:eastAsia="Calibri" w:hAnsi="Calibri"/>
          <w:b/>
          <w:bCs/>
          <w:color w:val="1E2D14"/>
          <w:sz w:val="22"/>
          <w:szCs w:val="22"/>
        </w:rPr>
        <w:t xml:space="preserve">Član 2</w:t>
      </w:r>
    </w:p>
    <w:p>
      <w:pPr>
        <w:keepNext/>
        <w:pBdr>
          <w:bottom w:val="single" w:color="C8A84B" w:sz="6" w:space="4"/>
        </w:pBdr>
        <w:spacing w:after="140"/>
      </w:pPr>
      <w:r>
        <w:rPr>
          <w:rFonts w:ascii="Calibri" w:cs="Calibri" w:eastAsia="Calibri" w:hAnsi="Calibri"/>
          <w:b/>
          <w:bCs/>
          <w:color w:val="1E2D14"/>
          <w:spacing w:val="20"/>
          <w:sz w:val="19"/>
          <w:szCs w:val="19"/>
        </w:rPr>
        <w:t xml:space="preserve">OBIM PRAVA KORIŠĆENJA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Davalac ustupa Korisniku neisključivo, neprenosivo i vremenski ograničeno pravo korišćenja Softvera, za sopstvene poslovne potrebe Korisnika, u obimu utvrđenom Prilogom 1.</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Pravo korišćenja daje se za jedno pravno lice. Ako Korisnik posluje kroz više pravnih lica, za svako od njih zaključuje se poseban ugovor.</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Broj korisnika i uređaja kod Korisnika nije ograničen i ne utiče na cenu.</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Osnovni obim obuhvata do pet aktivnih otkupnih stanica. Aktivnom otkupnom stanicom smatra se svaka stanica na kojoj je u toku ugovorne godine evidentiran najmanje jedan otkupni blok.</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Korisnik je dužan da broj stanica prijavi unapred. Stvarni broj aktivnih stanica utvrđuje se po završetku sezone i usklađuje prilikom obnove ugovora. Smanjenje broja stanica u toku ugovorne godine ne utiče na ugovorenu cenu ako je stanica u toj godini bila aktivna.</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Korisniku nije dozvoljeno da Softver ustupa trećim licima, iznajmljuje ga, prodaje pravo korišćenja, niti da ga koristi za pružanje usluga trećim licima, bez prethodne pisane saglasnosti Davaoca.</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Korisniku nije dozvoljeno da vrši dekompilaciju, obrnuti inženjering ili druge radnje usmerene na pribavljanje izvornog koda, osim u obimu koji je izričito dopušten prinudnim propisima.</w:t>
      </w:r>
    </w:p>
    <w:p>
      <w:pPr>
        <w:keepNext/>
        <w:spacing w:after="40" w:before="320"/>
      </w:pPr>
      <w:r>
        <w:rPr>
          <w:rFonts w:ascii="Calibri" w:cs="Calibri" w:eastAsia="Calibri" w:hAnsi="Calibri"/>
          <w:b/>
          <w:bCs/>
          <w:color w:val="1E2D14"/>
          <w:sz w:val="22"/>
          <w:szCs w:val="22"/>
        </w:rPr>
        <w:t xml:space="preserve">Član 3</w:t>
      </w:r>
    </w:p>
    <w:p>
      <w:pPr>
        <w:keepNext/>
        <w:pBdr>
          <w:bottom w:val="single" w:color="C8A84B" w:sz="6" w:space="4"/>
        </w:pBdr>
        <w:spacing w:after="140"/>
      </w:pPr>
      <w:r>
        <w:rPr>
          <w:rFonts w:ascii="Calibri" w:cs="Calibri" w:eastAsia="Calibri" w:hAnsi="Calibri"/>
          <w:b/>
          <w:bCs/>
          <w:color w:val="1E2D14"/>
          <w:spacing w:val="20"/>
          <w:sz w:val="19"/>
          <w:szCs w:val="19"/>
        </w:rPr>
        <w:t xml:space="preserve">CENA I USLOVI PLAĆANJA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Cena se ugovara na godišnjem nivou, prema Prilogu 1, i iskazuje se u evrima (EUR).</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Plaćanje se vrši u dinarima, u protivvrednosti po srednjem kursu Narodne banke Srbije na dan uplate.</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Cena ne sadrži porez na dodatu vrednost, koji se obračunava u skladu sa propisima.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Korisnik koji prvi put zaključuje ugovor plaća ugovorenu godišnju naknadu pre aktivacije Softvera. Prilikom obnove, Davalac ispostavlja fakturu sa rokom plaćanja od 30 dana.</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Ugovor se zaključuje i naknada plaća pre početka sezone. Ugovorne strane su saglasne da se datum obnove usklađuje tako da uvek pada pre početka sezone iz člana 7. stav 3.</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Ugovorena osnovna naknada ne menja se tokom plaćenog perioda. Naknadno ugovoreni moduli, stanice ili prelazak na viši paket obračunavaju se srazmerno preostalom trajanju ugovorne godine.</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U slučaju docnje sa plaćanjem, Davalac ima pravo na zakonsku zateznu kamatu.</w:t>
      </w:r>
    </w:p>
    <w:p>
      <w:pPr>
        <w:keepNext/>
        <w:spacing w:after="40" w:before="320"/>
      </w:pPr>
      <w:r>
        <w:rPr>
          <w:rFonts w:ascii="Calibri" w:cs="Calibri" w:eastAsia="Calibri" w:hAnsi="Calibri"/>
          <w:b/>
          <w:bCs/>
          <w:color w:val="1E2D14"/>
          <w:sz w:val="22"/>
          <w:szCs w:val="22"/>
        </w:rPr>
        <w:t xml:space="preserve">Član 4</w:t>
      </w:r>
    </w:p>
    <w:p>
      <w:pPr>
        <w:keepNext/>
        <w:pBdr>
          <w:bottom w:val="single" w:color="C8A84B" w:sz="6" w:space="4"/>
        </w:pBdr>
        <w:spacing w:after="140"/>
      </w:pPr>
      <w:r>
        <w:rPr>
          <w:rFonts w:ascii="Calibri" w:cs="Calibri" w:eastAsia="Calibri" w:hAnsi="Calibri"/>
          <w:b/>
          <w:bCs/>
          <w:color w:val="1E2D14"/>
          <w:spacing w:val="20"/>
          <w:sz w:val="19"/>
          <w:szCs w:val="19"/>
        </w:rPr>
        <w:t xml:space="preserve">UVOĐENJE SISTEMA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Uvođenje obuhvata instalaciju Softvera, povezivanje njegovih komponenti, uvoz pripremljenih matičnih podataka i implementacionu obuku u trajanju do pet sati. Navedeno je uključeno u ugovorenu naknadu.</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Obuka preko pet sati, obuka novih zaposlenih, dodatne radionice i složena migracija istorijskih podataka naplaćuju se posebno, prema Prilogu 1.</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Korisnik je dužan da odredi odgovorno lice koje poznaje njegove poslovne procese i koje je ovlašćeno da donosi operativne odluke tokom uvođenja.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Korisnik priprema i potvrđuje poslovnu tačnost matičnih podataka, naročito šifarnika, podataka o proizvođačima, stanicama, artiklima, cenama i početnim stanjima. Davalac obezbeđuje obrasce, tehnički uvoz i tehničku validaciju i dužan je da prijavi uočene nelogičnosti, ali ne odgovara za istinitost dostavljenih podataka.</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Produkcijski rad počinje tek nakon što Davalac potvrdi tehničku spremnost sistema, uspešnost uvoza i ispravnost ključnih tokova, a odgovorno lice Korisnika potvrdi poslovnu tačnost podataka, podešavanja i spremnost zaposlenih.</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Izuzetno, kada Korisnik započinje korišćenje neposredno pred sezonu, potvrda iz stava 5. može se dati u skraćenom obliku, uz izričito prihvatanje rizika od strane Korisnika. U tom slučaju ne izvodi se razvoj po zahtevu Korisnika pre početka produkcijskog rada.</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Ako uvođenje kasni iz razloga na strani Korisnika, naročito zbog nedostavljanja podataka, neodređivanja odgovornog lica ili nepripremljenosti zaposlenih, uvođenje se privremeno obustavlja, a ugovorni rok nastavlja da teče. Ako do početka produkcijskog rada ne dođe iz razloga na strani Korisnika, neiskorišćeni deo perioda prenosi se jednokratno u narednu ugovornu godinu.</w:t>
      </w:r>
    </w:p>
    <w:p>
      <w:pPr>
        <w:keepNext/>
        <w:spacing w:after="40" w:before="320"/>
      </w:pPr>
      <w:r>
        <w:rPr>
          <w:rFonts w:ascii="Calibri" w:cs="Calibri" w:eastAsia="Calibri" w:hAnsi="Calibri"/>
          <w:b/>
          <w:bCs/>
          <w:color w:val="1E2D14"/>
          <w:sz w:val="22"/>
          <w:szCs w:val="22"/>
        </w:rPr>
        <w:t xml:space="preserve">Član 5</w:t>
      </w:r>
    </w:p>
    <w:p>
      <w:pPr>
        <w:keepNext/>
        <w:pBdr>
          <w:bottom w:val="single" w:color="C8A84B" w:sz="6" w:space="4"/>
        </w:pBdr>
        <w:spacing w:after="140"/>
      </w:pPr>
      <w:r>
        <w:rPr>
          <w:rFonts w:ascii="Calibri" w:cs="Calibri" w:eastAsia="Calibri" w:hAnsi="Calibri"/>
          <w:b/>
          <w:bCs/>
          <w:color w:val="1E2D14"/>
          <w:spacing w:val="20"/>
          <w:sz w:val="19"/>
          <w:szCs w:val="19"/>
        </w:rPr>
        <w:t xml:space="preserve">PODRŠKA I ODRŽAVANJE</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 ugovorenu naknadu uključeni su: otklanjanje grešaka u radu Softvera, bezbednosne ispravke, redovna ažuriranja i nove verzije, kao i standardna korisnička podrška putem telefona, elektronske pošte i daljinske dijagnostike.</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Davalac o svom trošku prilagođava Softver izmenama propisa koje utiču na njegovo funkcionisanje, nezavisno od broja Korisnika na koje se izmena odnosi.</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Standardno radno vreme podrške je radnim danima od 08.00 do 16.00 časova.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Tokom sezone, koja traje od 1. juna do 30. novembra, podrška za kritične incidente pruža se i vikendom.</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Kritičnim incidentom smatra se događaj usled kojeg većina korisnika ili stanica ne može da radi, nije moguće evidentirati otkup ili izdati osnovni dokument, postoji ozbiljan rizik od gubitka ili oštećenja podataka, centralna aplikacija je neupotrebljiva, ili je sinhronizacija potpuno blokirana.</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Za kritične incidente Davalac potvrđuje prijem i započinje dijagnostiku u roku od jednog sata, u okviru vremenskog prozora utvrđenog Prilogom 2. Za ostale incidente Davalac odgovara u roku od jednog radnog dana.</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Podrškom nisu obuhvaćeni i posebno se naplaćuju: čišćenje i ispravljanje podataka nastalih greškom Korisnika, masovne korekcije, izrada izveštaja i funkcija specifičnih za Korisnika, podešavanje računara, mreže i štampača, savetovanje o internim poslovnim procesima Korisnika i izlazak na lokaciju.</w:t>
      </w:r>
    </w:p>
    <w:p>
      <w:pPr>
        <w:keepNext/>
        <w:spacing w:after="40" w:before="320"/>
      </w:pPr>
      <w:r>
        <w:rPr>
          <w:rFonts w:ascii="Calibri" w:cs="Calibri" w:eastAsia="Calibri" w:hAnsi="Calibri"/>
          <w:b/>
          <w:bCs/>
          <w:color w:val="1E2D14"/>
          <w:sz w:val="22"/>
          <w:szCs w:val="22"/>
        </w:rPr>
        <w:t xml:space="preserve">Član 6</w:t>
      </w:r>
    </w:p>
    <w:p>
      <w:pPr>
        <w:keepNext/>
        <w:pBdr>
          <w:bottom w:val="single" w:color="C8A84B" w:sz="6" w:space="4"/>
        </w:pBdr>
        <w:spacing w:after="140"/>
      </w:pPr>
      <w:r>
        <w:rPr>
          <w:rFonts w:ascii="Calibri" w:cs="Calibri" w:eastAsia="Calibri" w:hAnsi="Calibri"/>
          <w:b/>
          <w:bCs/>
          <w:color w:val="1E2D14"/>
          <w:spacing w:val="20"/>
          <w:sz w:val="19"/>
          <w:szCs w:val="19"/>
        </w:rPr>
        <w:t xml:space="preserve">DOSTUPNOST I INCIDENTI</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Davalac ne garantuje određeni procenat dostupnosti Softvera. Davalac interno prati dostupnost ključnih poslovnih tokova i preduzima mere radi njenog održavanja.</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Planirano održavanje Davalac najavljuje unapred i ono se ne smatra incidentom.</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Nedostupnost usluga trećih lica, naročito sistema elektronskih faktura, bankarskih servisa i servisa dobavljača infrastrukture, ne smatra se neispunjenjem obaveza Davaoca.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Davalac obaveštava Korisnika bez nepotrebnog odlaganja o incidentu koji je značajno uticao na dostupnost, obradu, tačnost ili integritet njegovih podataka, uz sažetak uzroka, posledica i preduzetih mera.</w:t>
      </w:r>
    </w:p>
    <w:p>
      <w:pPr>
        <w:keepNext/>
        <w:spacing w:after="40" w:before="320"/>
      </w:pPr>
      <w:r>
        <w:rPr>
          <w:rFonts w:ascii="Calibri" w:cs="Calibri" w:eastAsia="Calibri" w:hAnsi="Calibri"/>
          <w:b/>
          <w:bCs/>
          <w:color w:val="1E2D14"/>
          <w:sz w:val="22"/>
          <w:szCs w:val="22"/>
        </w:rPr>
        <w:t xml:space="preserve">Član 7</w:t>
      </w:r>
    </w:p>
    <w:p>
      <w:pPr>
        <w:keepNext/>
        <w:pBdr>
          <w:bottom w:val="single" w:color="C8A84B" w:sz="6" w:space="4"/>
        </w:pBdr>
        <w:spacing w:after="140"/>
      </w:pPr>
      <w:r>
        <w:rPr>
          <w:rFonts w:ascii="Calibri" w:cs="Calibri" w:eastAsia="Calibri" w:hAnsi="Calibri"/>
          <w:b/>
          <w:bCs/>
          <w:color w:val="1E2D14"/>
          <w:spacing w:val="20"/>
          <w:sz w:val="19"/>
          <w:szCs w:val="19"/>
        </w:rPr>
        <w:t xml:space="preserve">TRAJANJE, OBNOVA I RASKID</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Ugovor se zaključuje na period od 12 meseci.</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Obnova nije automatska. Davalac obaveštava Korisnika o isteku najkasnije 30 dana pre isteka ugovorenog perioda. Ugovor se obnavlja potvrdom Korisnika i plaćanjem naknade za naredni period.</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Sezonom se, u smislu ovog ugovora, smatra period od 1. juna do 30. novembra.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Ako ugovor ne bude obnovljen, Korisnik u roku od 30 dana od isteka zadržava pristup Softveru u režimu pregleda i izvoza podataka, bez mogućnosti unosa i obrade.</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Korisnik može raskinuti ugovor pre isteka ugovorenog perioda samo u slučaju bitne povrede ugovornih obaveza od strane Davaoca, uz prethodni pisani poziv da povredu otkloni u primerenom roku koji ne može biti kraći od 15 dana.</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Davalac može raskinuti ugovor ako Korisnik ne izmiri dospelu naknadu ni u naknadnom roku od 15 dana od pisane opomene, kao i u slučaju bitne povrede obaveza iz člana 2. ovog ugovora.</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Prestanak ugovora ne utiče na dospele a neizmirene obaveze, niti na odredbe koje po svojoj prirodi nadživljavaju ugovor, naročito odredbe o poverljivosti, intelektualnoj svojini i ograničenju odgovornosti.</w:t>
      </w:r>
    </w:p>
    <w:p>
      <w:pPr>
        <w:keepNext/>
        <w:spacing w:after="40" w:before="320"/>
      </w:pPr>
      <w:r>
        <w:rPr>
          <w:rFonts w:ascii="Calibri" w:cs="Calibri" w:eastAsia="Calibri" w:hAnsi="Calibri"/>
          <w:b/>
          <w:bCs/>
          <w:color w:val="1E2D14"/>
          <w:sz w:val="22"/>
          <w:szCs w:val="22"/>
        </w:rPr>
        <w:t xml:space="preserve">Član 8</w:t>
      </w:r>
    </w:p>
    <w:p>
      <w:pPr>
        <w:keepNext/>
        <w:pBdr>
          <w:bottom w:val="single" w:color="C8A84B" w:sz="6" w:space="4"/>
        </w:pBdr>
        <w:spacing w:after="140"/>
      </w:pPr>
      <w:r>
        <w:rPr>
          <w:rFonts w:ascii="Calibri" w:cs="Calibri" w:eastAsia="Calibri" w:hAnsi="Calibri"/>
          <w:b/>
          <w:bCs/>
          <w:color w:val="1E2D14"/>
          <w:spacing w:val="20"/>
          <w:sz w:val="19"/>
          <w:szCs w:val="19"/>
        </w:rPr>
        <w:t xml:space="preserve">PODACI KORISNIKA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Poslovni podaci uneti u Softver svojina su Korisnika. Davalac ih obrađuje isključivo radi izvršenja ovog ugovora i pružanja podrške.</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Podaci Korisnika čuvaju se odvojeno od podataka drugih korisnika. Ovlašćena lica Davaoca imaju pristup podacima Korisnika radi podrške i održavanja, u obimu koji odgovara njihovoj ulozi, uz evidentiranje pristupa. Spisak ovlašćenih lica Davalac vodi i stavlja na uvid Korisniku na zahtev.</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Stvarni podaci Korisnika ne koriste se u razvojnim i testnim okruženjima Davaoca.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Davalac obezbeđuje redovnu izradu rezervnih kopija. Dnevne kopije čuvaju se 30 dana, a mesečne najmanje 12 meseci.</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Korisnik može u svakom trenutku samostalno izvoziti osnovne podatke i dokumente u standardnim formatima. Kompletan arhivski izvoz svih podataka, veza i priloga Davalac obezbeđuje na zahtev Korisnika.</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Po prestanku ugovora Korisnik dobija standardni izvoz podataka i dokumenata. Posebno mapiranje i prenos podataka u drugi softverski sistem ugovaraju se i naplaćuju odvojeno.</w:t>
      </w:r>
    </w:p>
    <w:p>
      <w:pPr>
        <w:spacing w:after="110" w:line="276"/>
        <w:ind w:left="340" w:hanging="340"/>
      </w:pPr>
      <w:r>
        <w:rPr>
          <w:rFonts w:ascii="Calibri" w:cs="Calibri" w:eastAsia="Calibri" w:hAnsi="Calibri"/>
          <w:sz w:val="21"/>
          <w:szCs w:val="21"/>
        </w:rPr>
        <w:t xml:space="preserve">(7)	</w:t>
      </w:r>
      <w:r>
        <w:rPr>
          <w:rFonts w:ascii="Calibri" w:cs="Calibri" w:eastAsia="Calibri" w:hAnsi="Calibri"/>
          <w:sz w:val="21"/>
          <w:szCs w:val="21"/>
        </w:rPr>
        <w:t xml:space="preserve">Na zahtev Korisnika, Davalac briše njegove podatke iz aktivnih sistema. Rezervne kopije ostaju nepromenjene do isteka roka čuvanja iz stava 4, nakon čega se brišu u redovnom postupku. Ako se rezervna kopija privremeno vrati u upotrebu, Davalac ponovo primenjuje izvršena brisanja i o tome sačinjava zabelešku.</w:t>
      </w:r>
    </w:p>
    <w:p>
      <w:pPr>
        <w:spacing w:after="110" w:line="276"/>
        <w:ind w:left="340" w:hanging="340"/>
      </w:pPr>
      <w:r>
        <w:rPr>
          <w:rFonts w:ascii="Calibri" w:cs="Calibri" w:eastAsia="Calibri" w:hAnsi="Calibri"/>
          <w:sz w:val="21"/>
          <w:szCs w:val="21"/>
        </w:rPr>
        <w:t xml:space="preserve">(8)	</w:t>
      </w:r>
      <w:r>
        <w:rPr>
          <w:rFonts w:ascii="Calibri" w:cs="Calibri" w:eastAsia="Calibri" w:hAnsi="Calibri"/>
          <w:sz w:val="21"/>
          <w:szCs w:val="21"/>
        </w:rPr>
        <w:t xml:space="preserve">Davalac može trajno zadržati podatke koji su nepovratno anonimizovani i koji se više ne mogu povezati sa Korisnikom, radi statističke obrade, praćenja pouzdanosti sistema i razvoja proizvoda. Način takvog korišćenja bliže se uređuje Prilogom 3.</w:t>
      </w:r>
    </w:p>
    <w:p>
      <w:pPr>
        <w:keepNext/>
        <w:spacing w:after="40" w:before="320"/>
      </w:pPr>
      <w:r>
        <w:rPr>
          <w:rFonts w:ascii="Calibri" w:cs="Calibri" w:eastAsia="Calibri" w:hAnsi="Calibri"/>
          <w:b/>
          <w:bCs/>
          <w:color w:val="1E2D14"/>
          <w:sz w:val="22"/>
          <w:szCs w:val="22"/>
        </w:rPr>
        <w:t xml:space="preserve">Član 9</w:t>
      </w:r>
    </w:p>
    <w:p>
      <w:pPr>
        <w:keepNext/>
        <w:pBdr>
          <w:bottom w:val="single" w:color="C8A84B" w:sz="6" w:space="4"/>
        </w:pBdr>
        <w:spacing w:after="140"/>
      </w:pPr>
      <w:r>
        <w:rPr>
          <w:rFonts w:ascii="Calibri" w:cs="Calibri" w:eastAsia="Calibri" w:hAnsi="Calibri"/>
          <w:b/>
          <w:bCs/>
          <w:color w:val="1E2D14"/>
          <w:spacing w:val="20"/>
          <w:sz w:val="19"/>
          <w:szCs w:val="19"/>
        </w:rPr>
        <w:t xml:space="preserve">PODACI O LIČNOSTI</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 meri u kojoj se prilikom izvršenja ovog ugovora obrađuju podaci o ličnosti, ugovorne strane postupaju u skladu sa Zakonom o zaštiti podataka o ličnosti.</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Uloge ugovornih strana u pogledu obrade podataka o ličnosti, vrste podataka, svrhe i trajanje obrade, mere zaštite i uslovi angažovanja drugih obrađivača uređuju se Prilogom 3, koji čini sastavni deo ovog ugovora.</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Davalac obaveštava Korisnika bez nepotrebnog odlaganja o svakom incidentu koji može dovesti do povrede podataka o ličnosti i pruža mu podatke potrebne za ispunjenje njegovih zakonskih obaveza.</w:t>
      </w:r>
    </w:p>
    <w:p>
      <w:pPr>
        <w:keepNext/>
        <w:spacing w:after="40" w:before="320"/>
      </w:pPr>
      <w:r>
        <w:rPr>
          <w:rFonts w:ascii="Calibri" w:cs="Calibri" w:eastAsia="Calibri" w:hAnsi="Calibri"/>
          <w:b/>
          <w:bCs/>
          <w:color w:val="1E2D14"/>
          <w:sz w:val="22"/>
          <w:szCs w:val="22"/>
        </w:rPr>
        <w:t xml:space="preserve">Član 10</w:t>
      </w:r>
    </w:p>
    <w:p>
      <w:pPr>
        <w:keepNext/>
        <w:pBdr>
          <w:bottom w:val="single" w:color="C8A84B" w:sz="6" w:space="4"/>
        </w:pBdr>
        <w:spacing w:after="140"/>
      </w:pPr>
      <w:r>
        <w:rPr>
          <w:rFonts w:ascii="Calibri" w:cs="Calibri" w:eastAsia="Calibri" w:hAnsi="Calibri"/>
          <w:b/>
          <w:bCs/>
          <w:color w:val="1E2D14"/>
          <w:spacing w:val="20"/>
          <w:sz w:val="19"/>
          <w:szCs w:val="19"/>
        </w:rPr>
        <w:t xml:space="preserve">INTELEKTUALNA SVOJINA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Softver, njegov izvorni kod, arhitektura, dokumentacija i sva prateća rešenja predstavljaju autorsko delo i svojinu su Davaoca, u skladu sa Zakonom o autorskom i srodnim pravima.</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Zaključenjem ovog ugovora Korisnik ne stiče svojinu nad Softverom, već isključivo pravo korišćenja iz člana 2.</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Izvorni kod Softvera ne ustupa se Korisniku, ni po osnovu posebne licence ni deponovanjem kod trećeg lica.</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Funkcionalnost čiji je razvoj finansirao Korisnik ostaje u svojini Davaoca. Korisnik po tom osnovu stiče prioritet u izradi i prilagođavanju svom procesu, kao i pravo besplatnog korišćenja te funkcionalnosti tokom prve godine od njenog puštanja u produkciju.</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Davalac može finansiranu funkcionalnost uključiti u standardni proizvod. Poverljive procedure i poslovne tajne Korisnika ne smeju se pri tome otkriti niti prenositi trećim licima.</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Isključivost u korišćenju finansirane funkcionalnosti može se ugovoriti samo posebnim pisanim sporazumom, vremenski i funkcionalno ograničeno i uz posebnu naknadu.</w:t>
      </w:r>
    </w:p>
    <w:p>
      <w:pPr>
        <w:keepNext/>
        <w:spacing w:after="40" w:before="320"/>
      </w:pPr>
      <w:r>
        <w:rPr>
          <w:rFonts w:ascii="Calibri" w:cs="Calibri" w:eastAsia="Calibri" w:hAnsi="Calibri"/>
          <w:b/>
          <w:bCs/>
          <w:color w:val="1E2D14"/>
          <w:sz w:val="22"/>
          <w:szCs w:val="22"/>
        </w:rPr>
        <w:t xml:space="preserve">Član 11</w:t>
      </w:r>
    </w:p>
    <w:p>
      <w:pPr>
        <w:keepNext/>
        <w:pBdr>
          <w:bottom w:val="single" w:color="C8A84B" w:sz="6" w:space="4"/>
        </w:pBdr>
        <w:spacing w:after="140"/>
      </w:pPr>
      <w:r>
        <w:rPr>
          <w:rFonts w:ascii="Calibri" w:cs="Calibri" w:eastAsia="Calibri" w:hAnsi="Calibri"/>
          <w:b/>
          <w:bCs/>
          <w:color w:val="1E2D14"/>
          <w:spacing w:val="20"/>
          <w:sz w:val="19"/>
          <w:szCs w:val="19"/>
        </w:rPr>
        <w:t xml:space="preserve">POVERLJIVOST</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Ugovorne strane obavezuju se da podatke koje saznaju u vezi sa izvršenjem ovog ugovora, a koji imaju karakter poslovne tajne, čuvaju kao poverljive i ne saopštavaju ih trećim licima bez pisane saglasnosti druge strane.</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Obaveza čuvanja poverljivosti traje i pet godina nakon prestanka ovog ugovora.</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Obaveza iz stava 1. ne odnosi se na podatke koji su javno dostupni, koji su strani bili poznati pre saopštavanja, niti na podatke čije je saopštavanje obavezno po zakonu ili nalogu nadležnog organa.</w:t>
      </w:r>
    </w:p>
    <w:p>
      <w:pPr>
        <w:keepNext/>
        <w:spacing w:after="40" w:before="320"/>
      </w:pPr>
      <w:r>
        <w:rPr>
          <w:rFonts w:ascii="Calibri" w:cs="Calibri" w:eastAsia="Calibri" w:hAnsi="Calibri"/>
          <w:b/>
          <w:bCs/>
          <w:color w:val="1E2D14"/>
          <w:sz w:val="22"/>
          <w:szCs w:val="22"/>
        </w:rPr>
        <w:t xml:space="preserve">Član 12</w:t>
      </w:r>
    </w:p>
    <w:p>
      <w:pPr>
        <w:keepNext/>
        <w:pBdr>
          <w:bottom w:val="single" w:color="C8A84B" w:sz="6" w:space="4"/>
        </w:pBdr>
        <w:spacing w:after="140"/>
      </w:pPr>
      <w:r>
        <w:rPr>
          <w:rFonts w:ascii="Calibri" w:cs="Calibri" w:eastAsia="Calibri" w:hAnsi="Calibri"/>
          <w:b/>
          <w:bCs/>
          <w:color w:val="1E2D14"/>
          <w:spacing w:val="20"/>
          <w:sz w:val="19"/>
          <w:szCs w:val="19"/>
        </w:rPr>
        <w:t xml:space="preserve">REFERENCE</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Davalac može javno navesti Korisnika kao referencu, koristiti njegovo poslovno ime i znak, objaviti studiju slučaja, fotografije ili video zapise isključivo uz prethodnu izričitu pisanu saglasnost Korisnika.</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Saglasnost se daje za svaku pojedinačnu vrstu i način objavljivanja i može se opozvati za buduće objave.</w:t>
      </w:r>
    </w:p>
    <w:p>
      <w:pPr>
        <w:keepNext/>
        <w:spacing w:after="40" w:before="320"/>
      </w:pPr>
      <w:r>
        <w:rPr>
          <w:rFonts w:ascii="Calibri" w:cs="Calibri" w:eastAsia="Calibri" w:hAnsi="Calibri"/>
          <w:b/>
          <w:bCs/>
          <w:color w:val="1E2D14"/>
          <w:sz w:val="22"/>
          <w:szCs w:val="22"/>
        </w:rPr>
        <w:t xml:space="preserve">Član 13</w:t>
      </w:r>
    </w:p>
    <w:p>
      <w:pPr>
        <w:keepNext/>
        <w:pBdr>
          <w:bottom w:val="single" w:color="C8A84B" w:sz="6" w:space="4"/>
        </w:pBdr>
        <w:spacing w:after="140"/>
      </w:pPr>
      <w:r>
        <w:rPr>
          <w:rFonts w:ascii="Calibri" w:cs="Calibri" w:eastAsia="Calibri" w:hAnsi="Calibri"/>
          <w:b/>
          <w:bCs/>
          <w:color w:val="1E2D14"/>
          <w:spacing w:val="20"/>
          <w:sz w:val="19"/>
          <w:szCs w:val="19"/>
        </w:rPr>
        <w:t xml:space="preserve">ODGOVORNOST</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Davalac odgovara za pravilno funkcionisanje Softvera u skladu sa njegovom dokumentovanom namenom i obavezuje se da uočene greške otkloni u najkraćem mogućem roku, srazmerno njihovoj ozbiljnosti.</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Korisnik je dužan da kontroliše sadržaj dokumenata koje izdaje putem Softvera i da bez odlaganja prijavi svaku uočenu nepravilnost. Davalac ne odgovara za posledice nastale time što Korisnik nije izvršio tu kontrolu.</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Ukupna odgovornost Davaoca prema Korisniku po svim osnovima, za sve štete nastale u toku jedne ugovorne godine, ograničena je na iznos naknada koje je Korisnik platio Davaocu u prethodnih 12 meseci.</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Davalac ne odgovara za izmaklu korist, gubitak dobiti, gubitak poslovne prilike niti za posrednu štetu.</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Ograničenja iz st. 3. i 4. ne primenjuju se na štetu prouzrokovanu namerno ili krajnjom nepažnjom, kao ni u drugim slučajevima u kojima se odgovornost po prinudnim propisima ne može ograničiti.</w:t>
      </w:r>
    </w:p>
    <w:p>
      <w:pPr>
        <w:keepNext/>
        <w:spacing w:after="40" w:before="320"/>
      </w:pPr>
      <w:r>
        <w:rPr>
          <w:rFonts w:ascii="Calibri" w:cs="Calibri" w:eastAsia="Calibri" w:hAnsi="Calibri"/>
          <w:b/>
          <w:bCs/>
          <w:color w:val="1E2D14"/>
          <w:sz w:val="22"/>
          <w:szCs w:val="22"/>
        </w:rPr>
        <w:t xml:space="preserve">Član 14</w:t>
      </w:r>
    </w:p>
    <w:p>
      <w:pPr>
        <w:keepNext/>
        <w:pBdr>
          <w:bottom w:val="single" w:color="C8A84B" w:sz="6" w:space="4"/>
        </w:pBdr>
        <w:spacing w:after="140"/>
      </w:pPr>
      <w:r>
        <w:rPr>
          <w:rFonts w:ascii="Calibri" w:cs="Calibri" w:eastAsia="Calibri" w:hAnsi="Calibri"/>
          <w:b/>
          <w:bCs/>
          <w:color w:val="1E2D14"/>
          <w:spacing w:val="20"/>
          <w:sz w:val="19"/>
          <w:szCs w:val="19"/>
        </w:rPr>
        <w:t xml:space="preserve">VIŠA SILA</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Ugovorna strana ne odgovara za neizvršenje obaveza prouzrokovano događajem više sile, pod uslovom da o nastupanju takvog događaja bez odlaganja obavesti drugu stranu.</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Ako događaj više sile traje duže od 60 dana, svaka strana može raskinuti ugovor pisanim obaveštenjem, bez obaveze naknade štete.</w:t>
      </w:r>
    </w:p>
    <w:p>
      <w:pPr>
        <w:keepNext/>
        <w:spacing w:after="40" w:before="320"/>
      </w:pPr>
      <w:r>
        <w:rPr>
          <w:rFonts w:ascii="Calibri" w:cs="Calibri" w:eastAsia="Calibri" w:hAnsi="Calibri"/>
          <w:b/>
          <w:bCs/>
          <w:color w:val="1E2D14"/>
          <w:sz w:val="22"/>
          <w:szCs w:val="22"/>
        </w:rPr>
        <w:t xml:space="preserve">Član 15</w:t>
      </w:r>
    </w:p>
    <w:p>
      <w:pPr>
        <w:keepNext/>
        <w:pBdr>
          <w:bottom w:val="single" w:color="C8A84B" w:sz="6" w:space="4"/>
        </w:pBdr>
        <w:spacing w:after="140"/>
      </w:pPr>
      <w:r>
        <w:rPr>
          <w:rFonts w:ascii="Calibri" w:cs="Calibri" w:eastAsia="Calibri" w:hAnsi="Calibri"/>
          <w:b/>
          <w:bCs/>
          <w:color w:val="1E2D14"/>
          <w:spacing w:val="20"/>
          <w:sz w:val="19"/>
          <w:szCs w:val="19"/>
        </w:rPr>
        <w:t xml:space="preserve">ZAVRŠNE ODREDBE</w:t>
      </w:r>
    </w:p>
    <w:p>
      <w:pPr>
        <w:spacing w:after="110" w:line="276"/>
        <w:ind w:left="340" w:hanging="340"/>
      </w:pPr>
      <w:r>
        <w:rPr>
          <w:rFonts w:ascii="Calibri" w:cs="Calibri" w:eastAsia="Calibri" w:hAnsi="Calibri"/>
          <w:sz w:val="21"/>
          <w:szCs w:val="21"/>
        </w:rPr>
        <w:t xml:space="preserve">(1)	</w:t>
      </w:r>
      <w:r>
        <w:rPr>
          <w:rFonts w:ascii="Calibri" w:cs="Calibri" w:eastAsia="Calibri" w:hAnsi="Calibri"/>
          <w:sz w:val="21"/>
          <w:szCs w:val="21"/>
        </w:rPr>
        <w:t xml:space="preserve">Na sve što nije uređeno ovim ugovorom primenjuju se odredbe Zakona o obligacionim odnosima i drugih propisa Republike Srbije.</w:t>
      </w:r>
    </w:p>
    <w:p>
      <w:pPr>
        <w:spacing w:after="110" w:line="276"/>
        <w:ind w:left="340" w:hanging="340"/>
      </w:pPr>
      <w:r>
        <w:rPr>
          <w:rFonts w:ascii="Calibri" w:cs="Calibri" w:eastAsia="Calibri" w:hAnsi="Calibri"/>
          <w:sz w:val="21"/>
          <w:szCs w:val="21"/>
        </w:rPr>
        <w:t xml:space="preserve">(2)	</w:t>
      </w:r>
      <w:r>
        <w:rPr>
          <w:rFonts w:ascii="Calibri" w:cs="Calibri" w:eastAsia="Calibri" w:hAnsi="Calibri"/>
          <w:sz w:val="21"/>
          <w:szCs w:val="21"/>
        </w:rPr>
        <w:t xml:space="preserve">Izmene i dopune ovog ugovora punovažne su samo ako su sačinjene u pisanoj formi i potpisane od strane ovlašćenih lica obe ugovorne strane.</w:t>
      </w:r>
    </w:p>
    <w:p>
      <w:pPr>
        <w:spacing w:after="110" w:line="276"/>
        <w:ind w:left="340" w:hanging="340"/>
      </w:pPr>
      <w:r>
        <w:rPr>
          <w:rFonts w:ascii="Calibri" w:cs="Calibri" w:eastAsia="Calibri" w:hAnsi="Calibri"/>
          <w:sz w:val="21"/>
          <w:szCs w:val="21"/>
        </w:rPr>
        <w:t xml:space="preserve">(3)	</w:t>
      </w:r>
      <w:r>
        <w:rPr>
          <w:rFonts w:ascii="Calibri" w:cs="Calibri" w:eastAsia="Calibri" w:hAnsi="Calibri"/>
          <w:sz w:val="21"/>
          <w:szCs w:val="21"/>
        </w:rPr>
        <w:t xml:space="preserve">Obaveštenja se dostavljaju pisanim putem, na adrese navedene u uvodu ovog ugovora, ili elektronskom poštom na adrese koje strane međusobno saopšte.</w:t>
      </w:r>
    </w:p>
    <w:p>
      <w:pPr>
        <w:spacing w:after="110" w:line="276"/>
        <w:ind w:left="340" w:hanging="340"/>
      </w:pPr>
      <w:r>
        <w:rPr>
          <w:rFonts w:ascii="Calibri" w:cs="Calibri" w:eastAsia="Calibri" w:hAnsi="Calibri"/>
          <w:sz w:val="21"/>
          <w:szCs w:val="21"/>
        </w:rPr>
        <w:t xml:space="preserve">(4)	</w:t>
      </w:r>
      <w:r>
        <w:rPr>
          <w:rFonts w:ascii="Calibri" w:cs="Calibri" w:eastAsia="Calibri" w:hAnsi="Calibri"/>
          <w:sz w:val="21"/>
          <w:szCs w:val="21"/>
        </w:rPr>
        <w:t xml:space="preserve">Ugovorne strane će eventualne sporove rešavati sporazumno. Ako sporazum ne bude postignut, ugovara se nadležnost stvarno nadležnog suda u Nišu.</w:t>
      </w:r>
    </w:p>
    <w:p>
      <w:pPr>
        <w:spacing w:after="110" w:line="276"/>
        <w:ind w:left="340" w:hanging="340"/>
      </w:pPr>
      <w:r>
        <w:rPr>
          <w:rFonts w:ascii="Calibri" w:cs="Calibri" w:eastAsia="Calibri" w:hAnsi="Calibri"/>
          <w:sz w:val="21"/>
          <w:szCs w:val="21"/>
        </w:rPr>
        <w:t xml:space="preserve">(5)	</w:t>
      </w:r>
      <w:r>
        <w:rPr>
          <w:rFonts w:ascii="Calibri" w:cs="Calibri" w:eastAsia="Calibri" w:hAnsi="Calibri"/>
          <w:sz w:val="21"/>
          <w:szCs w:val="21"/>
        </w:rPr>
        <w:t xml:space="preserve">Ako pojedina odredba ovog ugovora bude ništava, to ne utiče na punovažnost ostalih odredaba. Ništava odredba zameniće se odredbom koja najbliže odgovara njenoj svrsi.</w:t>
      </w:r>
    </w:p>
    <w:p>
      <w:pPr>
        <w:spacing w:after="110" w:line="276"/>
        <w:ind w:left="340" w:hanging="340"/>
      </w:pPr>
      <w:r>
        <w:rPr>
          <w:rFonts w:ascii="Calibri" w:cs="Calibri" w:eastAsia="Calibri" w:hAnsi="Calibri"/>
          <w:sz w:val="21"/>
          <w:szCs w:val="21"/>
        </w:rPr>
        <w:t xml:space="preserve">(6)	</w:t>
      </w:r>
      <w:r>
        <w:rPr>
          <w:rFonts w:ascii="Calibri" w:cs="Calibri" w:eastAsia="Calibri" w:hAnsi="Calibri"/>
          <w:sz w:val="21"/>
          <w:szCs w:val="21"/>
        </w:rPr>
        <w:t xml:space="preserve">Ugovor je sačinjen u dva istovetna primerka, po jedan za svaku ugovornu stranu, i stupa na snagu danom potpisivanja.</w:t>
      </w:r>
    </w:p>
    <w:p>
      <w:pPr>
        <w:spacing w:after="300" w:before="500"/>
      </w:pPr>
    </w:p>
    <w:tbl>
      <w:tblPr>
        <w:tblW w:type="dxa" w:w="9026"/>
        <w:tblBorders>
          <w:top w:val="none"/>
          <w:left w:val="none"/>
          <w:bottom w:val="none"/>
          <w:right w:val="none"/>
          <w:insideH w:val="none"/>
          <w:insideV w:val="none"/>
        </w:tblBorders>
      </w:tblPr>
      <w:tblGrid>
        <w:gridCol w:w="4413"/>
        <w:gridCol w:w="4613"/>
      </w:tblGrid>
      <w:tr>
        <w:tc>
          <w:tcPr>
            <w:tcW w:type="dxa" w:w="4413"/>
          </w:tcPr>
          <w:p>
            <w:pPr>
              <w:spacing w:after="60"/>
              <w:jc w:val="center"/>
            </w:pPr>
            <w:r>
              <w:rPr>
                <w:rFonts w:ascii="Calibri" w:cs="Calibri" w:eastAsia="Calibri" w:hAnsi="Calibri"/>
                <w:sz w:val="21"/>
                <w:szCs w:val="21"/>
              </w:rPr>
              <w:t xml:space="preserve">_______________________</w:t>
            </w:r>
          </w:p>
          <w:p>
            <w:pPr>
              <w:jc w:val="center"/>
            </w:pPr>
            <w:r>
              <w:rPr>
                <w:rFonts w:ascii="Calibri" w:cs="Calibri" w:eastAsia="Calibri" w:hAnsi="Calibri"/>
                <w:color w:val="5A6152"/>
                <w:sz w:val="19"/>
                <w:szCs w:val="19"/>
              </w:rPr>
              <w:t xml:space="preserve">za Davaoca</w:t>
            </w:r>
          </w:p>
        </w:tc>
        <w:tc>
          <w:tcPr>
            <w:tcW w:type="dxa" w:w="4613"/>
          </w:tcPr>
          <w:p>
            <w:pPr>
              <w:spacing w:after="60"/>
              <w:jc w:val="center"/>
            </w:pPr>
            <w:r>
              <w:rPr>
                <w:rFonts w:ascii="Calibri" w:cs="Calibri" w:eastAsia="Calibri" w:hAnsi="Calibri"/>
                <w:sz w:val="21"/>
                <w:szCs w:val="21"/>
              </w:rPr>
              <w:t xml:space="preserve">_______________________</w:t>
            </w:r>
          </w:p>
          <w:p>
            <w:pPr>
              <w:jc w:val="center"/>
            </w:pPr>
            <w:r>
              <w:rPr>
                <w:rFonts w:ascii="Calibri" w:cs="Calibri" w:eastAsia="Calibri" w:hAnsi="Calibri"/>
                <w:color w:val="5A6152"/>
                <w:sz w:val="19"/>
                <w:szCs w:val="19"/>
              </w:rPr>
              <w:t xml:space="preserve">za Korisnika</w:t>
            </w:r>
          </w:p>
        </w:tc>
      </w:tr>
    </w:tbl>
    <w:p>
      <w:r>
        <w:br w:type="page"/>
      </w:r>
    </w:p>
    <w:p>
      <w:pPr>
        <w:spacing w:after="40"/>
      </w:pPr>
      <w:r>
        <w:rPr>
          <w:rFonts w:ascii="Calibri" w:cs="Calibri" w:eastAsia="Calibri" w:hAnsi="Calibri"/>
          <w:b/>
          <w:bCs/>
          <w:color w:val="1E2D14"/>
          <w:sz w:val="26"/>
          <w:szCs w:val="26"/>
        </w:rPr>
        <w:t xml:space="preserve">PRILOG 1</w:t>
      </w:r>
    </w:p>
    <w:p>
      <w:pPr>
        <w:pBdr>
          <w:bottom w:val="single" w:color="C8A84B" w:sz="8" w:space="5"/>
        </w:pBdr>
        <w:spacing w:after="220"/>
      </w:pPr>
      <w:r>
        <w:rPr>
          <w:rFonts w:ascii="Calibri" w:cs="Calibri" w:eastAsia="Calibri" w:hAnsi="Calibri"/>
          <w:b/>
          <w:bCs/>
          <w:color w:val="1E2D14"/>
          <w:spacing w:val="14"/>
          <w:sz w:val="20"/>
          <w:szCs w:val="20"/>
        </w:rPr>
        <w:t xml:space="preserve">SPECIFIKACIJA UGOVORENOG OBIMA I CENA</w:t>
      </w:r>
    </w:p>
    <w:p>
      <w:pPr>
        <w:spacing w:after="100" w:line="276"/>
      </w:pPr>
      <w:r>
        <w:rPr>
          <w:rFonts w:ascii="Calibri" w:cs="Calibri" w:eastAsia="Calibri" w:hAnsi="Calibri"/>
          <w:b/>
          <w:bCs/>
          <w:sz w:val="21"/>
          <w:szCs w:val="21"/>
        </w:rPr>
        <w:t xml:space="preserve">1. Ugovoreni paket i moduli</w:t>
      </w:r>
    </w:p>
    <w:p>
      <w:pPr>
        <w:spacing w:after="140" w:line="276"/>
      </w:pPr>
      <w:r>
        <w:rPr>
          <w:rFonts w:ascii="Calibri" w:cs="Calibri" w:eastAsia="Calibri" w:hAnsi="Calibri"/>
          <w:sz w:val="21"/>
          <w:szCs w:val="21"/>
        </w:rPr>
        <w:t xml:space="preserve">Cene su iskazane u evrima, na godišnjem nivou, bez poreza na dodatu vrednost.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2100"/>
        <w:gridCol w:w="2326"/>
      </w:tblGrid>
      <w:tr>
        <w:trPr>
          <w:tblHeader/>
        </w:trPr>
        <w:tc>
          <w:tcPr>
            <w:tcW w:type="dxa" w:w="4600"/>
            <w:shd w:fill="EFEBE1" w:color="auto" w:val="clear"/>
            <w:tcMar>
              <w:top w:type="dxa" w:w="90"/>
              <w:left w:type="dxa" w:w="130"/>
              <w:bottom w:type="dxa" w:w="90"/>
              <w:right w:type="dxa" w:w="130"/>
            </w:tcMar>
          </w:tcPr>
          <w:p>
            <w:pPr>
              <w:spacing w:after="0"/>
            </w:pPr>
            <w:r>
              <w:rPr>
                <w:rFonts w:ascii="Calibri" w:cs="Calibri" w:eastAsia="Calibri" w:hAnsi="Calibri"/>
                <w:b/>
                <w:bCs/>
                <w:sz w:val="20"/>
                <w:szCs w:val="20"/>
              </w:rPr>
              <w:t xml:space="preserve">Stavka</w:t>
            </w:r>
          </w:p>
        </w:tc>
        <w:tc>
          <w:tcPr>
            <w:tcW w:type="dxa" w:w="2100"/>
            <w:shd w:fill="EFEBE1" w:color="auto" w:val="clear"/>
            <w:tcMar>
              <w:top w:type="dxa" w:w="90"/>
              <w:left w:type="dxa" w:w="130"/>
              <w:bottom w:type="dxa" w:w="90"/>
              <w:right w:type="dxa" w:w="130"/>
            </w:tcMar>
          </w:tcPr>
          <w:p>
            <w:pPr>
              <w:spacing w:after="0"/>
              <w:jc w:val="right"/>
            </w:pPr>
            <w:r>
              <w:rPr>
                <w:rFonts w:ascii="Calibri" w:cs="Calibri" w:eastAsia="Calibri" w:hAnsi="Calibri"/>
                <w:b/>
                <w:bCs/>
                <w:sz w:val="20"/>
                <w:szCs w:val="20"/>
              </w:rPr>
              <w:t xml:space="preserve">Cena (EUR)</w:t>
            </w:r>
          </w:p>
        </w:tc>
        <w:tc>
          <w:tcPr>
            <w:tcW w:type="dxa" w:w="2326"/>
            <w:shd w:fill="EFEBE1" w:color="auto" w:val="clear"/>
            <w:tcMar>
              <w:top w:type="dxa" w:w="90"/>
              <w:left w:type="dxa" w:w="130"/>
              <w:bottom w:type="dxa" w:w="90"/>
              <w:right w:type="dxa" w:w="130"/>
            </w:tcMar>
          </w:tcPr>
          <w:p>
            <w:pPr>
              <w:spacing w:after="0"/>
            </w:pPr>
            <w:r>
              <w:rPr>
                <w:rFonts w:ascii="Calibri" w:cs="Calibri" w:eastAsia="Calibri" w:hAnsi="Calibri"/>
                <w:b/>
                <w:bCs/>
                <w:sz w:val="20"/>
                <w:szCs w:val="20"/>
              </w:rPr>
              <w:t xml:space="preserve">Osnov obračuna</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AgriX Desktop</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AgriX Desktop all-in</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1.100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sa sva tri modula</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AgriX Mobile</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1.500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AgriX Mobile all-in</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2.100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sa sva četiri modula</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Aktivna otkupna stanica preko pet</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stanici</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Modul Hladnjača / Proizvodnja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400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Modul SEF</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200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Modul Banka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200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Modul Dispatch (samo uz Mobile)</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200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Modul GGAP</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od 1.000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pravnom licu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Dodatna instanca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−50 %</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na stavke koje instanca koristi</w:t>
            </w:r>
          </w:p>
        </w:tc>
      </w:tr>
    </w:tbl>
    <w:p>
      <w:pPr>
        <w:spacing w:after="240"/>
      </w:pPr>
    </w:p>
    <w:p>
      <w:pPr>
        <w:spacing w:after="140" w:line="276"/>
      </w:pPr>
      <w:r>
        <w:rPr>
          <w:rFonts w:ascii="Calibri" w:cs="Calibri" w:eastAsia="Calibri" w:hAnsi="Calibri"/>
          <w:b/>
          <w:bCs/>
          <w:sz w:val="21"/>
          <w:szCs w:val="21"/>
        </w:rPr>
        <w:t xml:space="preserve">2. Usluge koje se naplaćuju posebno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2100"/>
        <w:gridCol w:w="2326"/>
      </w:tblGrid>
      <w:tr>
        <w:trPr>
          <w:tblHeader/>
        </w:trPr>
        <w:tc>
          <w:tcPr>
            <w:tcW w:type="dxa" w:w="4600"/>
            <w:shd w:fill="EFEBE1" w:color="auto" w:val="clear"/>
            <w:tcMar>
              <w:top w:type="dxa" w:w="90"/>
              <w:left w:type="dxa" w:w="130"/>
              <w:bottom w:type="dxa" w:w="90"/>
              <w:right w:type="dxa" w:w="130"/>
            </w:tcMar>
          </w:tcPr>
          <w:p>
            <w:pPr>
              <w:spacing w:after="0"/>
            </w:pPr>
            <w:r>
              <w:rPr>
                <w:rFonts w:ascii="Calibri" w:cs="Calibri" w:eastAsia="Calibri" w:hAnsi="Calibri"/>
                <w:b/>
                <w:bCs/>
                <w:sz w:val="20"/>
                <w:szCs w:val="20"/>
              </w:rPr>
              <w:t xml:space="preserve">Usluga</w:t>
            </w:r>
          </w:p>
        </w:tc>
        <w:tc>
          <w:tcPr>
            <w:tcW w:type="dxa" w:w="2100"/>
            <w:shd w:fill="EFEBE1" w:color="auto" w:val="clear"/>
            <w:tcMar>
              <w:top w:type="dxa" w:w="90"/>
              <w:left w:type="dxa" w:w="130"/>
              <w:bottom w:type="dxa" w:w="90"/>
              <w:right w:type="dxa" w:w="130"/>
            </w:tcMar>
          </w:tcPr>
          <w:p>
            <w:pPr>
              <w:spacing w:after="0"/>
              <w:jc w:val="right"/>
            </w:pPr>
            <w:r>
              <w:rPr>
                <w:rFonts w:ascii="Calibri" w:cs="Calibri" w:eastAsia="Calibri" w:hAnsi="Calibri"/>
                <w:b/>
                <w:bCs/>
                <w:sz w:val="20"/>
                <w:szCs w:val="20"/>
              </w:rPr>
              <w:t xml:space="preserve">Cena (EUR)</w:t>
            </w:r>
          </w:p>
        </w:tc>
        <w:tc>
          <w:tcPr>
            <w:tcW w:type="dxa" w:w="2326"/>
            <w:shd w:fill="EFEBE1" w:color="auto" w:val="clear"/>
            <w:tcMar>
              <w:top w:type="dxa" w:w="90"/>
              <w:left w:type="dxa" w:w="130"/>
              <w:bottom w:type="dxa" w:w="90"/>
              <w:right w:type="dxa" w:w="130"/>
            </w:tcMar>
          </w:tcPr>
          <w:p>
            <w:pPr>
              <w:spacing w:after="0"/>
            </w:pPr>
            <w:r>
              <w:rPr>
                <w:rFonts w:ascii="Calibri" w:cs="Calibri" w:eastAsia="Calibri" w:hAnsi="Calibri"/>
                <w:b/>
                <w:bCs/>
                <w:sz w:val="20"/>
                <w:szCs w:val="20"/>
              </w:rPr>
              <w:t xml:space="preserve">Osnov obračuna</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Instalacija i povezivanje sistema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uključeno</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jednokratno</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Implementaciona obuka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 sati uključeno</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jednokratno</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Dodatna obuka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30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 satu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Razvoj po zahtevu Korisnika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 satu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Složena migracija podataka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 satu</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Izlazak na lokaciju</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50 + troškovi</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po izlasku, uvećano za vreme puta i rada</w:t>
            </w:r>
          </w:p>
        </w:tc>
      </w:tr>
      <w:tr>
        <w:tc>
          <w:tcPr>
            <w:tcW w:type="dxa" w:w="4600"/>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Hardverska podrška</w:t>
            </w:r>
          </w:p>
        </w:tc>
        <w:tc>
          <w:tcPr>
            <w:tcW w:type="dxa" w:w="2100"/>
            <w:tcMar>
              <w:top w:type="dxa" w:w="90"/>
              <w:left w:type="dxa" w:w="130"/>
              <w:bottom w:type="dxa" w:w="90"/>
              <w:right w:type="dxa" w:w="130"/>
            </w:tcMar>
          </w:tcPr>
          <w:p>
            <w:pPr>
              <w:spacing w:after="0"/>
              <w:jc w:val="right"/>
            </w:pPr>
            <w:r>
              <w:rPr>
                <w:rFonts w:ascii="Calibri" w:cs="Calibri" w:eastAsia="Calibri" w:hAnsi="Calibri"/>
                <w:b w:val="false"/>
                <w:bCs w:val="false"/>
                <w:sz w:val="20"/>
                <w:szCs w:val="20"/>
              </w:rPr>
              <w:t xml:space="preserve">40</w:t>
            </w:r>
          </w:p>
        </w:tc>
        <w:tc>
          <w:tcPr>
            <w:tcW w:type="dxa" w:w="2326"/>
            <w:tcMar>
              <w:top w:type="dxa" w:w="90"/>
              <w:left w:type="dxa" w:w="130"/>
              <w:bottom w:type="dxa" w:w="90"/>
              <w:right w:type="dxa" w:w="130"/>
            </w:tcMar>
          </w:tcPr>
          <w:p>
            <w:pPr>
              <w:spacing w:after="0"/>
            </w:pPr>
            <w:r>
              <w:rPr>
                <w:rFonts w:ascii="Calibri" w:cs="Calibri" w:eastAsia="Calibri" w:hAnsi="Calibri"/>
                <w:b w:val="false"/>
                <w:bCs w:val="false"/>
                <w:sz w:val="20"/>
                <w:szCs w:val="20"/>
              </w:rPr>
              <w:t xml:space="preserve">godišnje po stanici, min. 200</w:t>
            </w:r>
          </w:p>
        </w:tc>
      </w:tr>
    </w:tbl>
    <w:p>
      <w:pPr>
        <w:spacing w:after="240"/>
      </w:pPr>
    </w:p>
    <w:p>
      <w:pPr>
        <w:spacing w:after="100" w:line="276"/>
      </w:pPr>
      <w:r>
        <w:rPr>
          <w:rFonts w:ascii="Calibri" w:cs="Calibri" w:eastAsia="Calibri" w:hAnsi="Calibri"/>
          <w:b/>
          <w:bCs/>
          <w:sz w:val="21"/>
          <w:szCs w:val="21"/>
        </w:rPr>
        <w:t xml:space="preserve">3. Ugovoreni obim za Korisnika</w:t>
      </w:r>
    </w:p>
    <w:p>
      <w:pPr>
        <w:spacing w:after="100" w:line="276"/>
      </w:pPr>
      <w:r>
        <w:rPr>
          <w:rFonts w:ascii="Calibri" w:cs="Calibri" w:eastAsia="Calibri" w:hAnsi="Calibri"/>
          <w:sz w:val="21"/>
          <w:szCs w:val="21"/>
        </w:rPr>
        <w:t xml:space="preserve">Paket: ______________________________________</w:t>
      </w:r>
    </w:p>
    <w:p>
      <w:pPr>
        <w:spacing w:after="100" w:line="276"/>
      </w:pPr>
      <w:r>
        <w:rPr>
          <w:rFonts w:ascii="Calibri" w:cs="Calibri" w:eastAsia="Calibri" w:hAnsi="Calibri"/>
          <w:sz w:val="21"/>
          <w:szCs w:val="21"/>
        </w:rPr>
        <w:t xml:space="preserve">Ugovoreni moduli: ______________________________________</w:t>
      </w:r>
    </w:p>
    <w:p>
      <w:pPr>
        <w:spacing w:after="100" w:line="276"/>
      </w:pPr>
      <w:r>
        <w:rPr>
          <w:rFonts w:ascii="Calibri" w:cs="Calibri" w:eastAsia="Calibri" w:hAnsi="Calibri"/>
          <w:sz w:val="21"/>
          <w:szCs w:val="21"/>
        </w:rPr>
        <w:t xml:space="preserve">Prijavljeni broj aktivnih otkupnih stanica: ______________</w:t>
      </w:r>
    </w:p>
    <w:p>
      <w:pPr>
        <w:spacing w:after="100" w:line="276"/>
      </w:pPr>
      <w:r>
        <w:rPr>
          <w:rFonts w:ascii="Calibri" w:cs="Calibri" w:eastAsia="Calibri" w:hAnsi="Calibri"/>
          <w:sz w:val="21"/>
          <w:szCs w:val="21"/>
        </w:rPr>
        <w:t xml:space="preserve">Ukupna godišnja naknada: ______________ EUR</w:t>
      </w:r>
    </w:p>
    <w:p>
      <w:pPr>
        <w:spacing w:after="100" w:line="276"/>
      </w:pPr>
      <w:r>
        <w:rPr>
          <w:rFonts w:ascii="Calibri" w:cs="Calibri" w:eastAsia="Calibri" w:hAnsi="Calibri"/>
          <w:sz w:val="21"/>
          <w:szCs w:val="21"/>
        </w:rPr>
        <w:t xml:space="preserve">Datum početka ugovornog perioda: ______________</w:t>
      </w:r>
    </w:p>
    <w:p>
      <w:r>
        <w:br w:type="page"/>
      </w:r>
    </w:p>
    <w:p>
      <w:pPr>
        <w:spacing w:after="40"/>
      </w:pPr>
      <w:r>
        <w:rPr>
          <w:rFonts w:ascii="Calibri" w:cs="Calibri" w:eastAsia="Calibri" w:hAnsi="Calibri"/>
          <w:b/>
          <w:bCs/>
          <w:color w:val="1E2D14"/>
          <w:sz w:val="26"/>
          <w:szCs w:val="26"/>
        </w:rPr>
        <w:t xml:space="preserve">PRILOG 2</w:t>
      </w:r>
    </w:p>
    <w:p>
      <w:pPr>
        <w:pBdr>
          <w:bottom w:val="single" w:color="C8A84B" w:sz="8" w:space="5"/>
        </w:pBdr>
        <w:spacing w:after="220"/>
      </w:pPr>
      <w:r>
        <w:rPr>
          <w:rFonts w:ascii="Calibri" w:cs="Calibri" w:eastAsia="Calibri" w:hAnsi="Calibri"/>
          <w:b/>
          <w:bCs/>
          <w:color w:val="1E2D14"/>
          <w:spacing w:val="14"/>
          <w:sz w:val="20"/>
          <w:szCs w:val="20"/>
        </w:rPr>
        <w:t xml:space="preserve">OPIS USLUGA PODRŠKE</w:t>
      </w:r>
    </w:p>
    <w:p>
      <w:pPr>
        <w:spacing w:after="100" w:line="276"/>
      </w:pPr>
      <w:r>
        <w:rPr>
          <w:rFonts w:ascii="Calibri" w:cs="Calibri" w:eastAsia="Calibri" w:hAnsi="Calibri"/>
          <w:b/>
          <w:bCs/>
          <w:sz w:val="21"/>
          <w:szCs w:val="21"/>
        </w:rPr>
        <w:t xml:space="preserve">1. Kanali i radno vreme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Telefon, elektronska pošta i daljinska dijagnostika.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Radnim danima od 08.00 do 16.00 časova.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Tokom sezone (1. jun — 30. novembar) i vikendom, za kritične incidente.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Vremenski prozor u kojem važi rok reakcije od jednog sata: tokom sezone (1. jun — 30. novembar) svakog dana od 08.00 do 20.00 časova; van sezone radnim danima od 08.00 do 16.00 časova.</w:t>
      </w:r>
    </w:p>
    <w:p>
      <w:pPr>
        <w:spacing w:after="160"/>
      </w:pPr>
    </w:p>
    <w:p>
      <w:pPr>
        <w:spacing w:after="100" w:line="276"/>
      </w:pPr>
      <w:r>
        <w:rPr>
          <w:rFonts w:ascii="Calibri" w:cs="Calibri" w:eastAsia="Calibri" w:hAnsi="Calibri"/>
          <w:b/>
          <w:bCs/>
          <w:sz w:val="21"/>
          <w:szCs w:val="21"/>
        </w:rPr>
        <w:t xml:space="preserve">2. Rokovi reakcije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Kritičan incident — potvrda prijema i početak dijagnostike u roku od jednog sata.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Ostali incidenti — odgovor u roku od jednog radnog dana.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Vreme otklanjanja zavisi od prirode, uticaja i složenosti problema.</w:t>
      </w:r>
    </w:p>
    <w:p>
      <w:pPr>
        <w:spacing w:after="160"/>
      </w:pPr>
    </w:p>
    <w:p>
      <w:pPr>
        <w:spacing w:after="100" w:line="276"/>
      </w:pPr>
      <w:r>
        <w:rPr>
          <w:rFonts w:ascii="Calibri" w:cs="Calibri" w:eastAsia="Calibri" w:hAnsi="Calibri"/>
          <w:b/>
          <w:bCs/>
          <w:sz w:val="21"/>
          <w:szCs w:val="21"/>
        </w:rPr>
        <w:t xml:space="preserve">3. Nije obuhvaćeno standardnom podrškom</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Čišćenje i ispravljanje podataka nastalih greškom korisnika i masovne korekcije.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Izrada izveštaja i funkcija specifičnih za Korisnika.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Podešavanje računara, mreže, štampača i druge opreme.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Savetovanje o internim poslovnim procesima Korisnika.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Izlazak na lokaciju i fizičke intervencije.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Obuka preko pet uključenih sati.</w:t>
      </w:r>
    </w:p>
    <w:p>
      <w:r>
        <w:br w:type="page"/>
      </w:r>
    </w:p>
    <w:p>
      <w:pPr>
        <w:spacing w:after="40"/>
      </w:pPr>
      <w:r>
        <w:rPr>
          <w:rFonts w:ascii="Calibri" w:cs="Calibri" w:eastAsia="Calibri" w:hAnsi="Calibri"/>
          <w:b/>
          <w:bCs/>
          <w:color w:val="1E2D14"/>
          <w:sz w:val="26"/>
          <w:szCs w:val="26"/>
        </w:rPr>
        <w:t xml:space="preserve">PRILOG 3</w:t>
      </w:r>
    </w:p>
    <w:p>
      <w:pPr>
        <w:pBdr>
          <w:bottom w:val="single" w:color="C8A84B" w:sz="8" w:space="5"/>
        </w:pBdr>
        <w:spacing w:after="220"/>
      </w:pPr>
      <w:r>
        <w:rPr>
          <w:rFonts w:ascii="Calibri" w:cs="Calibri" w:eastAsia="Calibri" w:hAnsi="Calibri"/>
          <w:b/>
          <w:bCs/>
          <w:color w:val="1E2D14"/>
          <w:spacing w:val="14"/>
          <w:sz w:val="20"/>
          <w:szCs w:val="20"/>
        </w:rPr>
        <w:t xml:space="preserve">OBRADA PODATAKA O LIČNOSTI</w:t>
      </w:r>
    </w:p>
    <w:p>
      <w:pPr>
        <w:pBdr>
          <w:top w:val="single" w:color="C8A84B" w:sz="6" w:space="8"/>
          <w:bottom w:val="single" w:color="C8A84B" w:sz="6" w:space="8"/>
          <w:left w:val="single" w:color="C8A84B" w:sz="6" w:space="8"/>
          <w:right w:val="single" w:color="C8A84B" w:sz="6" w:space="8"/>
        </w:pBdr>
        <w:shd w:fill="FBF4DD" w:color="auto" w:val="clear"/>
        <w:spacing w:after="200"/>
      </w:pPr>
      <w:r>
        <w:rPr>
          <w:rFonts w:ascii="Calibri" w:cs="Calibri" w:eastAsia="Calibri" w:hAnsi="Calibri"/>
          <w:b/>
          <w:bCs/>
          <w:color w:val="7A5B00"/>
          <w:sz w:val="19"/>
          <w:szCs w:val="19"/>
        </w:rPr>
        <w:t xml:space="preserve">NAPOMENA — OVAJ PRILOG NIJE DOVRŠEN. Uloge ugovornih strana u obradi podataka o ličnosti utvrđuju se nakon izrade mape tokova podataka i pravne analize. Do tada prilog služi kao okvir i ne treba ga potpisivati u ovom obliku.</w:t>
      </w:r>
    </w:p>
    <w:p>
      <w:pPr>
        <w:spacing w:after="100" w:line="276"/>
      </w:pPr>
      <w:r>
        <w:rPr>
          <w:rFonts w:ascii="Calibri" w:cs="Calibri" w:eastAsia="Calibri" w:hAnsi="Calibri"/>
          <w:b/>
          <w:bCs/>
          <w:sz w:val="21"/>
          <w:szCs w:val="21"/>
        </w:rPr>
        <w:t xml:space="preserve">1. Uloge ugovornih strana</w:t>
      </w:r>
    </w:p>
    <w:p>
      <w:pPr>
        <w:spacing w:after="160" w:line="276"/>
      </w:pPr>
      <w:r>
        <w:rPr>
          <w:rFonts w:ascii="Calibri" w:cs="Calibri" w:eastAsia="Calibri" w:hAnsi="Calibri"/>
          <w:sz w:val="21"/>
          <w:szCs w:val="21"/>
        </w:rPr>
        <w:t xml:space="preserve">Utvrđuje se nakon pravne analize: ______________________________________</w:t>
      </w:r>
    </w:p>
    <w:p>
      <w:pPr>
        <w:spacing w:after="100" w:line="276"/>
      </w:pPr>
      <w:r>
        <w:rPr>
          <w:rFonts w:ascii="Calibri" w:cs="Calibri" w:eastAsia="Calibri" w:hAnsi="Calibri"/>
          <w:b/>
          <w:bCs/>
          <w:sz w:val="21"/>
          <w:szCs w:val="21"/>
        </w:rPr>
        <w:t xml:space="preserve">2. Vrste podataka koji se obrađuju</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Podaci o zaposlenima Korisnika koji koriste Softver (ime, uloga, kontakt, evidencija pristupa).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Podaci o proizvođačima i kooperantima Korisnika u obimu potrebnom za izdavanje dokumenata.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Tehnički zapisi o korišćenju sistema.</w:t>
      </w:r>
    </w:p>
    <w:p>
      <w:pPr>
        <w:spacing w:after="160"/>
      </w:pPr>
    </w:p>
    <w:p>
      <w:pPr>
        <w:spacing w:after="100" w:line="276"/>
      </w:pPr>
      <w:r>
        <w:rPr>
          <w:rFonts w:ascii="Calibri" w:cs="Calibri" w:eastAsia="Calibri" w:hAnsi="Calibri"/>
          <w:b/>
          <w:bCs/>
          <w:sz w:val="21"/>
          <w:szCs w:val="21"/>
        </w:rPr>
        <w:t xml:space="preserve">3. Svrha i trajanje obrade</w:t>
      </w:r>
    </w:p>
    <w:p>
      <w:pPr>
        <w:spacing w:after="160" w:line="276"/>
      </w:pPr>
      <w:r>
        <w:rPr>
          <w:rFonts w:ascii="Calibri" w:cs="Calibri" w:eastAsia="Calibri" w:hAnsi="Calibri"/>
          <w:sz w:val="21"/>
          <w:szCs w:val="21"/>
        </w:rPr>
        <w:t xml:space="preserve">Obrada se vrši radi izvršenja ugovora i pružanja podrške, i traje za vreme trajanja ugovora, uvećano za rokove čuvanja rezervnih kopija iz člana 8.</w:t>
      </w:r>
    </w:p>
    <w:p>
      <w:pPr>
        <w:spacing w:after="100" w:line="276"/>
      </w:pPr>
      <w:r>
        <w:rPr>
          <w:rFonts w:ascii="Calibri" w:cs="Calibri" w:eastAsia="Calibri" w:hAnsi="Calibri"/>
          <w:b/>
          <w:bCs/>
          <w:sz w:val="21"/>
          <w:szCs w:val="21"/>
        </w:rPr>
        <w:t xml:space="preserve">4. Drugi obrađivači</w:t>
      </w:r>
    </w:p>
    <w:p>
      <w:pPr>
        <w:spacing w:after="160" w:line="276"/>
      </w:pPr>
      <w:r>
        <w:rPr>
          <w:rFonts w:ascii="Calibri" w:cs="Calibri" w:eastAsia="Calibri" w:hAnsi="Calibri"/>
          <w:sz w:val="21"/>
          <w:szCs w:val="21"/>
        </w:rPr>
        <w:t xml:space="preserve">Davalac koristi usluge pružaoca infrastrukture u oblaku. Spisak drugih obrađivača i lokacija obrade: ______________________________________</w:t>
      </w:r>
    </w:p>
    <w:p>
      <w:pPr>
        <w:spacing w:after="100" w:line="276"/>
      </w:pPr>
      <w:r>
        <w:rPr>
          <w:rFonts w:ascii="Calibri" w:cs="Calibri" w:eastAsia="Calibri" w:hAnsi="Calibri"/>
          <w:b/>
          <w:bCs/>
          <w:sz w:val="21"/>
          <w:szCs w:val="21"/>
        </w:rPr>
        <w:t xml:space="preserve">5. Mere zaštite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Odvojeno čuvanje podataka svakog korisnika.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Pristup prema ulogama, uz evidentiranje pristupa ovlašćenih lica.</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Obavezna višefaktorska autentifikacija za privilegovane naloge.</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Imenovani korisnički nalozi; deljeni nalozi nisu dozvoljeni.</w:t>
      </w:r>
    </w:p>
    <w:p>
      <w:pPr>
        <w:spacing w:after="80" w:line="276"/>
        <w:ind w:left="700" w:hanging="220"/>
      </w:pPr>
      <w:r>
        <w:rPr>
          <w:rFonts w:ascii="Calibri" w:cs="Calibri" w:eastAsia="Calibri" w:hAnsi="Calibri"/>
          <w:sz w:val="21"/>
          <w:szCs w:val="21"/>
        </w:rPr>
        <w:t xml:space="preserve">–	</w:t>
      </w:r>
      <w:r>
        <w:rPr>
          <w:rFonts w:ascii="Calibri" w:cs="Calibri" w:eastAsia="Calibri" w:hAnsi="Calibri"/>
          <w:sz w:val="21"/>
          <w:szCs w:val="21"/>
        </w:rPr>
        <w:t xml:space="preserve">Zabrana korišćenja stvarnih podataka u razvojnim i testnim okruženjima.</w:t>
      </w:r>
    </w:p>
    <w:p>
      <w:pPr>
        <w:spacing w:after="200"/>
      </w:pPr>
    </w:p>
    <w:p>
      <w:pPr>
        <w:spacing w:after="100" w:line="276"/>
      </w:pPr>
      <w:r>
        <w:rPr>
          <w:rFonts w:ascii="Calibri" w:cs="Calibri" w:eastAsia="Calibri" w:hAnsi="Calibri"/>
          <w:b/>
          <w:bCs/>
          <w:sz w:val="21"/>
          <w:szCs w:val="21"/>
        </w:rPr>
        <w:t xml:space="preserve">6. Anonimizovani podaci</w:t>
      </w:r>
    </w:p>
    <w:p>
      <w:pPr>
        <w:spacing w:after="100" w:line="276"/>
      </w:pPr>
      <w:r>
        <w:rPr>
          <w:rFonts w:ascii="Calibri" w:cs="Calibri" w:eastAsia="Calibri" w:hAnsi="Calibri"/>
          <w:sz w:val="21"/>
          <w:szCs w:val="21"/>
        </w:rPr>
        <w:t xml:space="preserve">Davalac može trajno zadržati i koristiti podatke koji su nepovratno anonimizovani i koji se više ne mogu povezati sa Korisnikom, njegovim zaposlenima ili poslovnim partnerima, radi statistike, praćenja pouzdanosti i razvoja proizvoda. Korisnik potvrđuje da je saglasan sa takvim korišćenjem: DA / NE.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152"/>
        <w:sz w:val="16"/>
        <w:szCs w:val="16"/>
      </w:rPr>
      <w:t xml:space="preserve">AgriX — Ugovor o licenciranju i pružanju usluga   ·   strana </w:t>
    </w:r>
    <w:r>
      <w:rPr>
        <w:rFonts w:ascii="Calibri" w:cs="Calibri" w:eastAsia="Calibri" w:hAnsi="Calibri"/>
        <w:color w:val="5A6152"/>
        <w:sz w:val="16"/>
        <w:szCs w:val="16"/>
      </w:rPr>
      <w:fldChar w:fldCharType="begin"/>
      <w:instrText xml:space="preserve">PAGE</w:instrText>
      <w:fldChar w:fldCharType="separate"/>
      <w:fldChar w:fldCharType="end"/>
    </w:r>
    <w:r>
      <w:rPr>
        <w:rFonts w:ascii="Calibri" w:cs="Calibri" w:eastAsia="Calibri" w:hAnsi="Calibri"/>
        <w:color w:val="5A6152"/>
        <w:sz w:val="16"/>
        <w:szCs w:val="16"/>
      </w:rPr>
      <w:t xml:space="preserve"> od </w:t>
    </w:r>
    <w:r>
      <w:rPr>
        <w:rFonts w:ascii="Calibri" w:cs="Calibri" w:eastAsia="Calibri" w:hAnsi="Calibri"/>
        <w:color w:val="5A615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Ugovor o licenciranju i pružanju usluga — AgriX</dc:title>
  <dc:creator>AgriX</dc:creator>
  <cp:lastModifiedBy>Un-named</cp:lastModifiedBy>
  <cp:revision>1</cp:revision>
  <dcterms:created xsi:type="dcterms:W3CDTF">2026-07-26T18:00:24.710Z</dcterms:created>
  <dcterms:modified xsi:type="dcterms:W3CDTF">2026-07-26T18:00:24.723Z</dcterms:modified>
</cp:coreProperties>
</file>

<file path=docProps/custom.xml><?xml version="1.0" encoding="utf-8"?>
<Properties xmlns="http://schemas.openxmlformats.org/officeDocument/2006/custom-properties" xmlns:vt="http://schemas.openxmlformats.org/officeDocument/2006/docPropsVTypes"/>
</file>