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9525" distT="0" distL="0" distR="9525">
            <wp:extent cx="3686175" cy="122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Octopus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Přezkoumání  požadavků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Tento dokument upřesňuje požadavky na vizualizaci a funkcionalitu produktu.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Schůzka se konala v areálu FIT VUT, konkrétně pak v místnosti C236 v 14:00.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Zákazník, Tomáš Hanák, Pavlína Bortlová a Karel Píč.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Nálezy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Tomáš Hanák doplní „screen shot“ Easy ganntu do dokumentu Plán projektu. Anna Popková vytvoří novou verzi Specifikace projektu podle dále uvedených informací a uloží ji pod názvem </w:t>
      </w:r>
      <w:r w:rsidDel="00000000" w:rsidR="00000000" w:rsidRPr="00000000">
        <w:rPr>
          <w:i w:val="1"/>
          <w:color w:val="000000"/>
          <w:rtl w:val="0"/>
        </w:rPr>
        <w:t xml:space="preserve">název_v2.pdf(docx).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144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1440" w:hanging="360"/>
        <w:rPr/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V Use case diagramu se odstraní možnost, že majitel vlastní více firem. Bude sloučena role Administrátora s rolí Majitele. Majitel nabyde pravomocí pro správu uživatelů a projektů. Projektový manažer může vidět všechny projekty, které jsou v systému, ale může modifikovat jen ty, na kterých je přiřazen. Uživatel softwaru bude moci přidávat, měnit a odebírat rizika k projektu, ke kterému je přiřazen.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1440" w:hanging="36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color w:val="000000"/>
          <w:rtl w:val="0"/>
        </w:rPr>
        <w:t xml:space="preserve">Databáze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Riziko bude mít vždy známého uživatele, který riziko vytvořil a bude mu přiřazena zodpovědná osoba v podobě aktivního uživatele, který pracuje ve firmě a má přístup do systému rizik, nebo v podobě „uzamčeného“ (pasivního) uživatele, který do systému přístup nemá. Pro „uzamčeného“ (pasivního) uživatele bude vždy vytvořen účet podle šablony na vytvoření uživatele s tím rozdílem, že tento pasivní účet může vytvořit kdokoliv z uživatelů systému. Jelikož zde může nastat skutečnost, že bude „pasivní“ uživatel bude převeden na „aktivního“. Tudíž je nutné mít historii o jeho předešlé práci s riziky.</w:t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V databázi bude přidána možnost „stav uživatele“ s možností „aktivní“ nebo „pasivní“. V tabulce rizik přibude informace „začátek rizika“ (datum od), „konec rizika“ (datum do) a „stav“ zda je riziko „aktivní“ nebo „pasivní“. Dále bude zadána hodnota rizika v procentech ne ve slovním znění, aby se dále mohla rozdělit na nízké, střední a vysoké, ale také proto, aby se lépe počítala rizikovost celého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1440" w:hanging="36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V GUI bude v tabulce “Projekt” a “Rizika” možnost přidávání a filtrování. Majitel bude mít u sekce „Rizika“ hodnotu jak každého rizika projektu samostatně, tak i hodnotu rizika celého projektu. Důležité je i zobrazení matice rizik a u něj bublinová nápověda jak riziko snížit. 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Schůzka se zákazníkem</w:t>
      </w:r>
    </w:p>
    <w:p w:rsidR="00000000" w:rsidDel="00000000" w:rsidP="00000000" w:rsidRDefault="00000000" w:rsidRPr="00000000">
      <w:pPr>
        <w:pBdr/>
        <w:ind w:left="720" w:firstLine="414.00000000000006"/>
        <w:contextualSpacing w:val="0"/>
        <w:jc w:val="both"/>
        <w:rPr/>
      </w:pPr>
      <w:r w:rsidDel="00000000" w:rsidR="00000000" w:rsidRPr="00000000">
        <w:rPr>
          <w:rtl w:val="0"/>
        </w:rPr>
        <w:t xml:space="preserve">Schůzka se zákazníkem kvůli návrhu projektu proběhnout nemusí, pokud tým dodá dokument Návrh a do něj vloží sled obrázků GUI. První sled bude pro projektového manažera, který se ze základní obrazovky dostane přes „Projekty“ do rizik projektu a druhý bude obsahovat postup, jak se Administrátor (Majitel) dostane k rizikům a bude zde i důkaz, jak funguje filtrace rizik.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720" w:right="0" w:hanging="36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