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56"/>
        </w:rPr>
        <w:id w:val="331268954"/>
        <w:docPartObj>
          <w:docPartGallery w:val="Cover Pages"/>
          <w:docPartUnique/>
        </w:docPartObj>
      </w:sdtPr>
      <w:sdtEndPr>
        <w:rPr>
          <w:b/>
          <w:bCs/>
          <w:caps w:val="0"/>
          <w:color w:val="0099CC"/>
          <w:sz w:val="32"/>
          <w:szCs w:val="28"/>
        </w:rPr>
      </w:sdtEndPr>
      <w:sdtContent>
        <w:tbl>
          <w:tblPr>
            <w:tblW w:w="5175" w:type="pct"/>
            <w:jc w:val="center"/>
            <w:tblLook w:val="04A0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56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93684D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Bezmezer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Anna </w:t>
                </w:r>
                <w:proofErr w:type="spellStart"/>
                <w:r w:rsidRPr="0093684D">
                  <w:rPr>
                    <w:rFonts w:asciiTheme="majorHAnsi" w:hAnsiTheme="majorHAnsi"/>
                    <w:sz w:val="28"/>
                  </w:rPr>
                  <w:t>Popková</w:t>
                </w:r>
                <w:proofErr w:type="spellEnd"/>
                <w:r w:rsidRPr="0093684D">
                  <w:rPr>
                    <w:rFonts w:asciiTheme="majorHAnsi" w:hAnsiTheme="majorHAnsi"/>
                    <w:sz w:val="28"/>
                  </w:rPr>
                  <w:t xml:space="preserve">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</w:tbl>
        <w:p w:rsidR="0093684D" w:rsidRDefault="0093684D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placeholder>
                <w:docPart w:val="1E40AB824F994A559CFCF41C24642E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Nadpis1"/>
          </w:pPr>
        </w:p>
        <w:p w:rsidR="00176345" w:rsidRPr="00176345" w:rsidRDefault="00054631" w:rsidP="00176345">
          <w:pPr>
            <w:pStyle w:val="Nadpis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proofErr w:type="gramStart"/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proofErr w:type="gramEnd"/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spočítali kolik nás </w:t>
          </w:r>
          <w:proofErr w:type="gramStart"/>
          <w:r w:rsidR="00055BA1">
            <w:rPr>
              <w:color w:val="000000"/>
              <w:szCs w:val="24"/>
            </w:rPr>
            <w:t>stálo</w:t>
          </w:r>
          <w:proofErr w:type="gramEnd"/>
          <w:r w:rsidR="00055BA1">
            <w:rPr>
              <w:color w:val="000000"/>
              <w:szCs w:val="24"/>
            </w:rPr>
            <w:t xml:space="preserve">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93684D" w:rsidRDefault="00054631" w:rsidP="0093684D">
          <w:pPr>
            <w:pStyle w:val="Nadpis1"/>
          </w:pPr>
          <w:r>
            <w:t>2</w:t>
          </w:r>
          <w:r>
            <w:tab/>
          </w:r>
          <w:r w:rsidR="0093684D" w:rsidRPr="0093684D">
            <w:t xml:space="preserve">Identifikace dílčích </w:t>
          </w:r>
          <w:proofErr w:type="spellStart"/>
          <w:r w:rsidR="0093684D" w:rsidRPr="0093684D">
            <w:t>podprocesů</w:t>
          </w:r>
          <w:proofErr w:type="spellEnd"/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Průzkum trhu,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Prohlídky bytů,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Rozhodování o koupi bytu,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Samotná koupě bytu,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Převzetí bytu,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Zajištění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Dále lze identifikovat jednotlivé 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portálů určených k inzerci realit na prodej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počet a rozložení pokojů vs. cena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Domluvení prohlídky nalezeného objektu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Uzavření vhodného pojištění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663613" w:rsidRPr="00275AEA" w:rsidRDefault="00054631" w:rsidP="00275AEA">
          <w:pPr>
            <w:pStyle w:val="Nadpis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Stanovení požadavků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lastRenderedPageBreak/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</w:t>
      </w:r>
      <w:proofErr w:type="spellStart"/>
      <w:r w:rsidR="009034B1" w:rsidRPr="00055BA1">
        <w:t>Best</w:t>
      </w:r>
      <w:proofErr w:type="spellEnd"/>
      <w:r w:rsidR="009034B1" w:rsidRPr="00055BA1">
        <w:t xml:space="preserve"> </w:t>
      </w:r>
      <w:proofErr w:type="spellStart"/>
      <w:r w:rsidR="009034B1" w:rsidRPr="00055BA1">
        <w:t>practises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</w:p>
    <w:p w:rsidR="00E7709C" w:rsidRDefault="00E7709C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</w:p>
    <w:p w:rsidR="00663613" w:rsidRDefault="00663613" w:rsidP="00663613"/>
    <w:p w:rsidR="00663613" w:rsidRDefault="00663613" w:rsidP="00663613">
      <w:pPr>
        <w:pStyle w:val="Nadpis2"/>
      </w:pPr>
      <w:r>
        <w:lastRenderedPageBreak/>
        <w:t xml:space="preserve">Popis procesu </w:t>
      </w:r>
      <w:r w:rsidRPr="00663613">
        <w:rPr>
          <w:i/>
        </w:rPr>
        <w:t>Rozhodování o koupi bytu</w:t>
      </w:r>
    </w:p>
    <w:p w:rsidR="00663613" w:rsidRDefault="00663613" w:rsidP="00663613"/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Samotná koupě bytu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63613" w:rsidRDefault="00663613" w:rsidP="00663613"/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Odstavecseseznamem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Odstavecseseznamem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lastRenderedPageBreak/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Nadpis1"/>
      </w:pPr>
    </w:p>
    <w:p w:rsidR="00663613" w:rsidRDefault="00054631" w:rsidP="00054631">
      <w:pPr>
        <w:pStyle w:val="Nadpis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 xml:space="preserve">dílčích </w:t>
      </w:r>
      <w:proofErr w:type="spellStart"/>
      <w:r w:rsidR="00006864">
        <w:t>podprocesů</w:t>
      </w:r>
      <w:proofErr w:type="spellEnd"/>
      <w:r w:rsidR="00006864">
        <w:t>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0DC0"/>
    <w:rsid w:val="00006864"/>
    <w:rsid w:val="00020CB3"/>
    <w:rsid w:val="00054631"/>
    <w:rsid w:val="00055BA1"/>
    <w:rsid w:val="000E2C4E"/>
    <w:rsid w:val="00176345"/>
    <w:rsid w:val="001D0DC0"/>
    <w:rsid w:val="00275AEA"/>
    <w:rsid w:val="0035549E"/>
    <w:rsid w:val="00394633"/>
    <w:rsid w:val="004249D5"/>
    <w:rsid w:val="00483551"/>
    <w:rsid w:val="004E3E60"/>
    <w:rsid w:val="00513CCD"/>
    <w:rsid w:val="00605378"/>
    <w:rsid w:val="00614F92"/>
    <w:rsid w:val="00622238"/>
    <w:rsid w:val="00663613"/>
    <w:rsid w:val="006765DC"/>
    <w:rsid w:val="007B5E6B"/>
    <w:rsid w:val="00855286"/>
    <w:rsid w:val="009034B1"/>
    <w:rsid w:val="0093684D"/>
    <w:rsid w:val="009A13AA"/>
    <w:rsid w:val="00AA0354"/>
    <w:rsid w:val="00AB06E2"/>
    <w:rsid w:val="00AE3744"/>
    <w:rsid w:val="00BA1A04"/>
    <w:rsid w:val="00BC6863"/>
    <w:rsid w:val="00C6007A"/>
    <w:rsid w:val="00D45B27"/>
    <w:rsid w:val="00E7709C"/>
    <w:rsid w:val="00ED5116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1A04"/>
    <w:rPr>
      <w:rFonts w:ascii="Sitka Text" w:hAnsi="Sitka Text"/>
    </w:rPr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BezmezerChar">
    <w:name w:val="Bez mezer Char"/>
    <w:basedOn w:val="Standardnpsmoodstavce"/>
    <w:link w:val="Bezmezer"/>
    <w:uiPriority w:val="1"/>
    <w:rsid w:val="00BA1A04"/>
    <w:rPr>
      <w:rFonts w:ascii="Sitka Text" w:eastAsiaTheme="minorEastAsia" w:hAnsi="Sitka Tex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000000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878A2C5CBC4C42108EF2DAFAE46999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10D77D-B0B4-42CE-8179-F5AD23B44A16}"/>
      </w:docPartPr>
      <w:docPartBody>
        <w:p w:rsidR="00000000" w:rsidRDefault="003D2A44" w:rsidP="003D2A44">
          <w:pPr>
            <w:pStyle w:val="878A2C5CBC4C42108EF2DAFAE46999E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1E40AB824F994A559CFCF41C24642E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4A0922-7610-463B-A8D3-DC8991CE259A}"/>
      </w:docPartPr>
      <w:docPartBody>
        <w:p w:rsidR="00000000" w:rsidRDefault="003D2A44" w:rsidP="003D2A44">
          <w:pPr>
            <w:pStyle w:val="1E40AB824F994A559CFCF41C24642E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[Zadejte název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D2A44"/>
    <w:rsid w:val="002F273F"/>
    <w:rsid w:val="003D2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62096E-D910-4BC9-AA8D-E1799D57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1168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Tvorba modelu procesu koupě bytu</vt:lpstr>
    </vt:vector>
  </TitlesOfParts>
  <Company>VYSOKÉ UČENÍ TECHNICKÉ V BRNĚ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Anna Popková</cp:lastModifiedBy>
  <cp:revision>5</cp:revision>
  <cp:lastPrinted>2017-12-10T18:02:00Z</cp:lastPrinted>
  <dcterms:created xsi:type="dcterms:W3CDTF">2017-12-10T15:06:00Z</dcterms:created>
  <dcterms:modified xsi:type="dcterms:W3CDTF">2017-12-10T18:09:00Z</dcterms:modified>
</cp:coreProperties>
</file>