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D463B" w14:textId="2F085379" w:rsidR="00E95DB2" w:rsidRPr="00B5728B" w:rsidRDefault="007E2135" w:rsidP="007E2135">
      <w:pPr>
        <w:pStyle w:val="Heading1"/>
        <w:jc w:val="center"/>
        <w:rPr>
          <w:rFonts w:ascii="Times New Roman" w:hAnsi="Times New Roman" w:cs="Times New Roman"/>
          <w:szCs w:val="40"/>
        </w:rPr>
      </w:pPr>
      <w:r w:rsidRPr="00B5728B">
        <w:rPr>
          <w:rFonts w:ascii="Times New Roman" w:hAnsi="Times New Roman" w:cs="Times New Roman"/>
          <w:szCs w:val="40"/>
        </w:rPr>
        <w:t>Gold Analysis</w:t>
      </w:r>
      <w:r w:rsidR="00696677" w:rsidRPr="00B5728B">
        <w:rPr>
          <w:rFonts w:ascii="Times New Roman" w:hAnsi="Times New Roman" w:cs="Times New Roman"/>
          <w:szCs w:val="40"/>
        </w:rPr>
        <w:t xml:space="preserve"> &amp; Future Price Prediction</w:t>
      </w:r>
    </w:p>
    <w:p w14:paraId="54603E6A" w14:textId="5DC48ADB" w:rsidR="007E2135" w:rsidRPr="00B5728B" w:rsidRDefault="00696677" w:rsidP="007E2135">
      <w:pPr>
        <w:rPr>
          <w:rFonts w:ascii="Times New Roman" w:hAnsi="Times New Roman" w:cs="Times New Roman"/>
        </w:rPr>
      </w:pPr>
      <w:r w:rsidRPr="00B5728B">
        <w:rPr>
          <w:rFonts w:ascii="Times New Roman" w:hAnsi="Times New Roman" w:cs="Times New Roman"/>
        </w:rPr>
        <w:t>Su Yati</w:t>
      </w:r>
    </w:p>
    <w:p w14:paraId="13B29464" w14:textId="1498813A" w:rsidR="00B5728B" w:rsidRPr="00B5728B" w:rsidRDefault="00B5728B" w:rsidP="00B5728B">
      <w:pPr>
        <w:rPr>
          <w:rFonts w:ascii="Times New Roman" w:hAnsi="Times New Roman" w:cs="Times New Roman"/>
        </w:rPr>
      </w:pPr>
      <w:r w:rsidRPr="00B5728B">
        <w:rPr>
          <w:rFonts w:ascii="Times New Roman" w:hAnsi="Times New Roman" w:cs="Times New Roman"/>
        </w:rPr>
        <w:t>Bachelor</w:t>
      </w:r>
      <w:r w:rsidRPr="00B5728B">
        <w:rPr>
          <w:rFonts w:ascii="Times New Roman" w:hAnsi="Times New Roman" w:cs="Times New Roman"/>
        </w:rPr>
        <w:t xml:space="preserve"> of Information </w:t>
      </w:r>
      <w:r w:rsidRPr="00B5728B">
        <w:rPr>
          <w:rFonts w:ascii="Times New Roman" w:hAnsi="Times New Roman" w:cs="Times New Roman"/>
        </w:rPr>
        <w:t xml:space="preserve">and Communication </w:t>
      </w:r>
      <w:r w:rsidRPr="00B5728B">
        <w:rPr>
          <w:rFonts w:ascii="Times New Roman" w:hAnsi="Times New Roman" w:cs="Times New Roman"/>
        </w:rPr>
        <w:t>Technology [</w:t>
      </w:r>
      <w:proofErr w:type="spellStart"/>
      <w:r w:rsidRPr="00B5728B">
        <w:rPr>
          <w:rFonts w:ascii="Times New Roman" w:hAnsi="Times New Roman" w:cs="Times New Roman"/>
        </w:rPr>
        <w:t>Rangsit</w:t>
      </w:r>
      <w:proofErr w:type="spellEnd"/>
      <w:r w:rsidRPr="00B5728B">
        <w:rPr>
          <w:rFonts w:ascii="Times New Roman" w:hAnsi="Times New Roman" w:cs="Times New Roman"/>
        </w:rPr>
        <w:t xml:space="preserve"> International College</w:t>
      </w:r>
      <w:r w:rsidRPr="00B5728B">
        <w:rPr>
          <w:rFonts w:ascii="Times New Roman" w:hAnsi="Times New Roman" w:cs="Times New Roman"/>
        </w:rPr>
        <w:t xml:space="preserve">]  </w:t>
      </w:r>
    </w:p>
    <w:p w14:paraId="7032023B" w14:textId="39A248AA" w:rsidR="00696677" w:rsidRPr="00B5728B" w:rsidRDefault="00696677" w:rsidP="007E2135">
      <w:pPr>
        <w:rPr>
          <w:rFonts w:ascii="Times New Roman" w:hAnsi="Times New Roman" w:cs="Times New Roman"/>
        </w:rPr>
      </w:pPr>
      <w:r w:rsidRPr="00B5728B">
        <w:rPr>
          <w:rFonts w:ascii="Times New Roman" w:hAnsi="Times New Roman" w:cs="Times New Roman"/>
        </w:rPr>
        <w:t>Apr 2025</w:t>
      </w:r>
    </w:p>
    <w:p w14:paraId="1CC514E0" w14:textId="77777777" w:rsidR="00B5728B" w:rsidRPr="00B5728B" w:rsidRDefault="00B5728B" w:rsidP="007E2135">
      <w:pPr>
        <w:rPr>
          <w:rFonts w:ascii="Times New Roman" w:hAnsi="Times New Roman" w:cs="Times New Roman"/>
        </w:rPr>
      </w:pPr>
    </w:p>
    <w:p w14:paraId="7BF523DE" w14:textId="66B730A4" w:rsidR="00696677" w:rsidRPr="00B5728B" w:rsidRDefault="00696677" w:rsidP="007E2135">
      <w:pPr>
        <w:rPr>
          <w:rFonts w:ascii="Times New Roman" w:hAnsi="Times New Roman" w:cs="Times New Roman"/>
          <w:b/>
          <w:bCs/>
        </w:rPr>
      </w:pPr>
      <w:r w:rsidRPr="00B5728B">
        <w:rPr>
          <w:rFonts w:ascii="Times New Roman" w:hAnsi="Times New Roman" w:cs="Times New Roman"/>
          <w:b/>
          <w:bCs/>
        </w:rPr>
        <w:t>1. Abstract</w:t>
      </w:r>
    </w:p>
    <w:p w14:paraId="43EDD152" w14:textId="05E68F24" w:rsidR="00696677" w:rsidRPr="00B5728B" w:rsidRDefault="00696677" w:rsidP="007E2135">
      <w:pPr>
        <w:rPr>
          <w:rFonts w:ascii="Times New Roman" w:hAnsi="Times New Roman" w:cs="Times New Roman"/>
        </w:rPr>
      </w:pPr>
      <w:r w:rsidRPr="00B5728B">
        <w:rPr>
          <w:rFonts w:ascii="Times New Roman" w:hAnsi="Times New Roman" w:cs="Times New Roman"/>
        </w:rPr>
        <w:t xml:space="preserve">This study analyzes historical gold price trends and their relationship with key economic indicators such as the </w:t>
      </w:r>
      <w:r w:rsidRPr="00B5728B">
        <w:rPr>
          <w:rFonts w:ascii="Times New Roman" w:hAnsi="Times New Roman" w:cs="Times New Roman"/>
          <w:b/>
          <w:bCs/>
        </w:rPr>
        <w:t>US Dollar Index (DXY), Consumer Price Index (CPI), Federal Funds Rate, and Treasury Yields</w:t>
      </w:r>
      <w:r w:rsidRPr="00B5728B">
        <w:rPr>
          <w:rFonts w:ascii="Times New Roman" w:hAnsi="Times New Roman" w:cs="Times New Roman"/>
        </w:rPr>
        <w:t xml:space="preserve">. The research involves </w:t>
      </w:r>
      <w:r w:rsidRPr="00B5728B">
        <w:rPr>
          <w:rFonts w:ascii="Times New Roman" w:hAnsi="Times New Roman" w:cs="Times New Roman"/>
          <w:b/>
          <w:bCs/>
        </w:rPr>
        <w:t xml:space="preserve">data preprocessing, </w:t>
      </w:r>
      <w:proofErr w:type="gramStart"/>
      <w:r w:rsidRPr="00B5728B">
        <w:rPr>
          <w:rFonts w:ascii="Times New Roman" w:hAnsi="Times New Roman" w:cs="Times New Roman"/>
          <w:b/>
          <w:bCs/>
        </w:rPr>
        <w:t>exploratory</w:t>
      </w:r>
      <w:proofErr w:type="gramEnd"/>
      <w:r w:rsidRPr="00B5728B">
        <w:rPr>
          <w:rFonts w:ascii="Times New Roman" w:hAnsi="Times New Roman" w:cs="Times New Roman"/>
          <w:b/>
          <w:bCs/>
        </w:rPr>
        <w:t xml:space="preserve"> data analysis (EDA), and visualization</w:t>
      </w:r>
      <w:r w:rsidRPr="00B5728B">
        <w:rPr>
          <w:rFonts w:ascii="Times New Roman" w:hAnsi="Times New Roman" w:cs="Times New Roman"/>
        </w:rPr>
        <w:t xml:space="preserve"> to understand key factors influencing gold prices. The findings provide insights into past trends, helping </w:t>
      </w:r>
      <w:proofErr w:type="gramStart"/>
      <w:r w:rsidRPr="00B5728B">
        <w:rPr>
          <w:rFonts w:ascii="Times New Roman" w:hAnsi="Times New Roman" w:cs="Times New Roman"/>
        </w:rPr>
        <w:t>in</w:t>
      </w:r>
      <w:proofErr w:type="gramEnd"/>
      <w:r w:rsidRPr="00B5728B">
        <w:rPr>
          <w:rFonts w:ascii="Times New Roman" w:hAnsi="Times New Roman" w:cs="Times New Roman"/>
        </w:rPr>
        <w:t xml:space="preserve"> </w:t>
      </w:r>
      <w:r w:rsidRPr="00B5728B">
        <w:rPr>
          <w:rFonts w:ascii="Times New Roman" w:hAnsi="Times New Roman" w:cs="Times New Roman"/>
          <w:b/>
          <w:bCs/>
        </w:rPr>
        <w:t>future price movement expectations</w:t>
      </w:r>
      <w:r w:rsidRPr="00B5728B">
        <w:rPr>
          <w:rFonts w:ascii="Times New Roman" w:hAnsi="Times New Roman" w:cs="Times New Roman"/>
        </w:rPr>
        <w:t>.</w:t>
      </w:r>
    </w:p>
    <w:p w14:paraId="1B75A9CE" w14:textId="264362EA" w:rsidR="00696677" w:rsidRPr="00B5728B" w:rsidRDefault="00696677" w:rsidP="007E2135">
      <w:pPr>
        <w:rPr>
          <w:rFonts w:ascii="Times New Roman" w:hAnsi="Times New Roman" w:cs="Times New Roman"/>
          <w:b/>
          <w:bCs/>
        </w:rPr>
      </w:pPr>
      <w:r w:rsidRPr="00B5728B">
        <w:rPr>
          <w:rFonts w:ascii="Times New Roman" w:hAnsi="Times New Roman" w:cs="Times New Roman"/>
          <w:b/>
          <w:bCs/>
        </w:rPr>
        <w:t>2. Introduction</w:t>
      </w:r>
    </w:p>
    <w:p w14:paraId="0EBB4CEC" w14:textId="77777777" w:rsidR="00696677" w:rsidRPr="00B5728B" w:rsidRDefault="00696677" w:rsidP="00696677">
      <w:pPr>
        <w:rPr>
          <w:rFonts w:ascii="Times New Roman" w:hAnsi="Times New Roman" w:cs="Times New Roman"/>
        </w:rPr>
      </w:pPr>
      <w:r w:rsidRPr="00B5728B">
        <w:rPr>
          <w:rFonts w:ascii="Times New Roman" w:hAnsi="Times New Roman" w:cs="Times New Roman"/>
        </w:rPr>
        <w:t xml:space="preserve">Gold has been a </w:t>
      </w:r>
      <w:r w:rsidRPr="00B5728B">
        <w:rPr>
          <w:rFonts w:ascii="Times New Roman" w:hAnsi="Times New Roman" w:cs="Times New Roman"/>
          <w:b/>
          <w:bCs/>
        </w:rPr>
        <w:t>store of value</w:t>
      </w:r>
      <w:r w:rsidRPr="00B5728B">
        <w:rPr>
          <w:rFonts w:ascii="Times New Roman" w:hAnsi="Times New Roman" w:cs="Times New Roman"/>
        </w:rPr>
        <w:t xml:space="preserve"> and a </w:t>
      </w:r>
      <w:r w:rsidRPr="00B5728B">
        <w:rPr>
          <w:rFonts w:ascii="Times New Roman" w:hAnsi="Times New Roman" w:cs="Times New Roman"/>
          <w:b/>
          <w:bCs/>
        </w:rPr>
        <w:t>safe-haven asset</w:t>
      </w:r>
      <w:r w:rsidRPr="00B5728B">
        <w:rPr>
          <w:rFonts w:ascii="Times New Roman" w:hAnsi="Times New Roman" w:cs="Times New Roman"/>
        </w:rPr>
        <w:t xml:space="preserve"> for centuries, often reacting to </w:t>
      </w:r>
      <w:r w:rsidRPr="00B5728B">
        <w:rPr>
          <w:rFonts w:ascii="Times New Roman" w:hAnsi="Times New Roman" w:cs="Times New Roman"/>
          <w:b/>
          <w:bCs/>
        </w:rPr>
        <w:t>macroeconomic changes</w:t>
      </w:r>
      <w:r w:rsidRPr="00B5728B">
        <w:rPr>
          <w:rFonts w:ascii="Times New Roman" w:hAnsi="Times New Roman" w:cs="Times New Roman"/>
        </w:rPr>
        <w:t xml:space="preserve"> such as </w:t>
      </w:r>
      <w:r w:rsidRPr="00B5728B">
        <w:rPr>
          <w:rFonts w:ascii="Times New Roman" w:hAnsi="Times New Roman" w:cs="Times New Roman"/>
          <w:b/>
          <w:bCs/>
        </w:rPr>
        <w:t>inflation, interest rates, and currency value fluctuations</w:t>
      </w:r>
      <w:r w:rsidRPr="00B5728B">
        <w:rPr>
          <w:rFonts w:ascii="Times New Roman" w:hAnsi="Times New Roman" w:cs="Times New Roman"/>
        </w:rPr>
        <w:t>. The purpose of this study is to analyze historical gold prices, identify significant influencing factors, and understand its price behavior over time.</w:t>
      </w:r>
    </w:p>
    <w:p w14:paraId="4282BE5E" w14:textId="77777777" w:rsidR="00696677" w:rsidRPr="00B5728B" w:rsidRDefault="00696677" w:rsidP="00696677">
      <w:pPr>
        <w:rPr>
          <w:rFonts w:ascii="Times New Roman" w:hAnsi="Times New Roman" w:cs="Times New Roman"/>
          <w:b/>
          <w:bCs/>
        </w:rPr>
      </w:pPr>
      <w:r w:rsidRPr="00B5728B">
        <w:rPr>
          <w:rFonts w:ascii="Times New Roman" w:hAnsi="Times New Roman" w:cs="Times New Roman"/>
          <w:b/>
          <w:bCs/>
        </w:rPr>
        <w:t>Objectives of the Study</w:t>
      </w:r>
    </w:p>
    <w:p w14:paraId="2CCE04AD" w14:textId="77777777" w:rsidR="00696677" w:rsidRPr="00B5728B" w:rsidRDefault="00696677" w:rsidP="00696677">
      <w:pPr>
        <w:numPr>
          <w:ilvl w:val="0"/>
          <w:numId w:val="1"/>
        </w:numPr>
        <w:rPr>
          <w:rFonts w:ascii="Times New Roman" w:hAnsi="Times New Roman" w:cs="Times New Roman"/>
        </w:rPr>
      </w:pPr>
      <w:r w:rsidRPr="00B5728B">
        <w:rPr>
          <w:rFonts w:ascii="Times New Roman" w:hAnsi="Times New Roman" w:cs="Times New Roman"/>
        </w:rPr>
        <w:t xml:space="preserve">To </w:t>
      </w:r>
      <w:r w:rsidRPr="00B5728B">
        <w:rPr>
          <w:rFonts w:ascii="Times New Roman" w:hAnsi="Times New Roman" w:cs="Times New Roman"/>
          <w:b/>
          <w:bCs/>
        </w:rPr>
        <w:t>analyze historical trends</w:t>
      </w:r>
      <w:r w:rsidRPr="00B5728B">
        <w:rPr>
          <w:rFonts w:ascii="Times New Roman" w:hAnsi="Times New Roman" w:cs="Times New Roman"/>
        </w:rPr>
        <w:t xml:space="preserve"> of gold prices.</w:t>
      </w:r>
    </w:p>
    <w:p w14:paraId="7696233B" w14:textId="77777777" w:rsidR="00696677" w:rsidRPr="00B5728B" w:rsidRDefault="00696677" w:rsidP="00696677">
      <w:pPr>
        <w:numPr>
          <w:ilvl w:val="0"/>
          <w:numId w:val="1"/>
        </w:numPr>
        <w:rPr>
          <w:rFonts w:ascii="Times New Roman" w:hAnsi="Times New Roman" w:cs="Times New Roman"/>
        </w:rPr>
      </w:pPr>
      <w:r w:rsidRPr="00B5728B">
        <w:rPr>
          <w:rFonts w:ascii="Times New Roman" w:hAnsi="Times New Roman" w:cs="Times New Roman"/>
        </w:rPr>
        <w:t xml:space="preserve">To </w:t>
      </w:r>
      <w:r w:rsidRPr="00B5728B">
        <w:rPr>
          <w:rFonts w:ascii="Times New Roman" w:hAnsi="Times New Roman" w:cs="Times New Roman"/>
          <w:b/>
          <w:bCs/>
        </w:rPr>
        <w:t>examine key economic indicators</w:t>
      </w:r>
      <w:r w:rsidRPr="00B5728B">
        <w:rPr>
          <w:rFonts w:ascii="Times New Roman" w:hAnsi="Times New Roman" w:cs="Times New Roman"/>
        </w:rPr>
        <w:t xml:space="preserve"> affecting gold price movements.</w:t>
      </w:r>
    </w:p>
    <w:p w14:paraId="78D28C16" w14:textId="77777777" w:rsidR="00696677" w:rsidRPr="00B5728B" w:rsidRDefault="00696677" w:rsidP="00696677">
      <w:pPr>
        <w:numPr>
          <w:ilvl w:val="0"/>
          <w:numId w:val="1"/>
        </w:numPr>
        <w:rPr>
          <w:rFonts w:ascii="Times New Roman" w:hAnsi="Times New Roman" w:cs="Times New Roman"/>
        </w:rPr>
      </w:pPr>
      <w:r w:rsidRPr="00B5728B">
        <w:rPr>
          <w:rFonts w:ascii="Times New Roman" w:hAnsi="Times New Roman" w:cs="Times New Roman"/>
        </w:rPr>
        <w:t xml:space="preserve">To </w:t>
      </w:r>
      <w:r w:rsidRPr="00B5728B">
        <w:rPr>
          <w:rFonts w:ascii="Times New Roman" w:hAnsi="Times New Roman" w:cs="Times New Roman"/>
          <w:b/>
          <w:bCs/>
        </w:rPr>
        <w:t>visualize patterns</w:t>
      </w:r>
      <w:r w:rsidRPr="00B5728B">
        <w:rPr>
          <w:rFonts w:ascii="Times New Roman" w:hAnsi="Times New Roman" w:cs="Times New Roman"/>
        </w:rPr>
        <w:t xml:space="preserve"> and relationships between gold prices and macroeconomic factors.</w:t>
      </w:r>
    </w:p>
    <w:p w14:paraId="4055195C" w14:textId="77777777" w:rsidR="00696677" w:rsidRPr="00B5728B" w:rsidRDefault="00696677" w:rsidP="00696677">
      <w:pPr>
        <w:rPr>
          <w:rFonts w:ascii="Times New Roman" w:hAnsi="Times New Roman" w:cs="Times New Roman"/>
          <w:b/>
          <w:bCs/>
        </w:rPr>
      </w:pPr>
      <w:r w:rsidRPr="00B5728B">
        <w:rPr>
          <w:rFonts w:ascii="Times New Roman" w:hAnsi="Times New Roman" w:cs="Times New Roman"/>
          <w:b/>
          <w:bCs/>
        </w:rPr>
        <w:t xml:space="preserve">Significance of </w:t>
      </w:r>
      <w:proofErr w:type="gramStart"/>
      <w:r w:rsidRPr="00B5728B">
        <w:rPr>
          <w:rFonts w:ascii="Times New Roman" w:hAnsi="Times New Roman" w:cs="Times New Roman"/>
          <w:b/>
          <w:bCs/>
        </w:rPr>
        <w:t>the Study</w:t>
      </w:r>
      <w:proofErr w:type="gramEnd"/>
    </w:p>
    <w:p w14:paraId="1BBAB185" w14:textId="77777777" w:rsidR="00696677" w:rsidRPr="00B5728B" w:rsidRDefault="00696677" w:rsidP="00696677">
      <w:pPr>
        <w:rPr>
          <w:rFonts w:ascii="Times New Roman" w:hAnsi="Times New Roman" w:cs="Times New Roman"/>
        </w:rPr>
      </w:pPr>
      <w:r w:rsidRPr="00B5728B">
        <w:rPr>
          <w:rFonts w:ascii="Times New Roman" w:hAnsi="Times New Roman" w:cs="Times New Roman"/>
        </w:rPr>
        <w:t xml:space="preserve">Understanding gold price movements </w:t>
      </w:r>
      <w:proofErr w:type="gramStart"/>
      <w:r w:rsidRPr="00B5728B">
        <w:rPr>
          <w:rFonts w:ascii="Times New Roman" w:hAnsi="Times New Roman" w:cs="Times New Roman"/>
        </w:rPr>
        <w:t>helps</w:t>
      </w:r>
      <w:proofErr w:type="gramEnd"/>
      <w:r w:rsidRPr="00B5728B">
        <w:rPr>
          <w:rFonts w:ascii="Times New Roman" w:hAnsi="Times New Roman" w:cs="Times New Roman"/>
        </w:rPr>
        <w:t xml:space="preserve"> investors, policymakers, and traders make </w:t>
      </w:r>
      <w:r w:rsidRPr="00B5728B">
        <w:rPr>
          <w:rFonts w:ascii="Times New Roman" w:hAnsi="Times New Roman" w:cs="Times New Roman"/>
          <w:b/>
          <w:bCs/>
        </w:rPr>
        <w:t>informed decisions</w:t>
      </w:r>
      <w:r w:rsidRPr="00B5728B">
        <w:rPr>
          <w:rFonts w:ascii="Times New Roman" w:hAnsi="Times New Roman" w:cs="Times New Roman"/>
        </w:rPr>
        <w:t xml:space="preserve"> about investments, hedging strategies, and economic forecasting.</w:t>
      </w:r>
    </w:p>
    <w:p w14:paraId="064B8872" w14:textId="77777777" w:rsidR="00696677" w:rsidRPr="00B5728B" w:rsidRDefault="00696677" w:rsidP="00696677">
      <w:pPr>
        <w:rPr>
          <w:rFonts w:ascii="Times New Roman" w:hAnsi="Times New Roman" w:cs="Times New Roman"/>
          <w:b/>
          <w:bCs/>
        </w:rPr>
      </w:pPr>
    </w:p>
    <w:p w14:paraId="0E5114D4" w14:textId="312C29C7" w:rsidR="00696677" w:rsidRPr="00B5728B" w:rsidRDefault="00696677" w:rsidP="00696677">
      <w:pPr>
        <w:rPr>
          <w:rFonts w:ascii="Times New Roman" w:hAnsi="Times New Roman" w:cs="Times New Roman"/>
          <w:b/>
          <w:bCs/>
        </w:rPr>
      </w:pPr>
      <w:r w:rsidRPr="00B5728B">
        <w:rPr>
          <w:rFonts w:ascii="Times New Roman" w:hAnsi="Times New Roman" w:cs="Times New Roman"/>
          <w:b/>
          <w:bCs/>
        </w:rPr>
        <w:t>3. Data Collection</w:t>
      </w:r>
    </w:p>
    <w:p w14:paraId="5798CB8D" w14:textId="77777777" w:rsidR="00696677" w:rsidRPr="00B5728B" w:rsidRDefault="00696677" w:rsidP="00696677">
      <w:pPr>
        <w:rPr>
          <w:rFonts w:ascii="Times New Roman" w:hAnsi="Times New Roman" w:cs="Times New Roman"/>
          <w:b/>
          <w:bCs/>
        </w:rPr>
      </w:pPr>
      <w:r w:rsidRPr="00B5728B">
        <w:rPr>
          <w:rFonts w:ascii="Times New Roman" w:hAnsi="Times New Roman" w:cs="Times New Roman"/>
          <w:b/>
          <w:bCs/>
        </w:rPr>
        <w:t>3.1 Data Sources</w:t>
      </w:r>
    </w:p>
    <w:p w14:paraId="1BC5C574" w14:textId="77777777" w:rsidR="00696677" w:rsidRPr="00B5728B" w:rsidRDefault="00696677" w:rsidP="00696677">
      <w:pPr>
        <w:rPr>
          <w:rFonts w:ascii="Times New Roman" w:hAnsi="Times New Roman" w:cs="Times New Roman"/>
        </w:rPr>
      </w:pPr>
      <w:r w:rsidRPr="00B5728B">
        <w:rPr>
          <w:rFonts w:ascii="Times New Roman" w:hAnsi="Times New Roman" w:cs="Times New Roman"/>
        </w:rPr>
        <w:t xml:space="preserve">The datasets used in this study are sourced from </w:t>
      </w:r>
      <w:r w:rsidRPr="00B5728B">
        <w:rPr>
          <w:rFonts w:ascii="Times New Roman" w:hAnsi="Times New Roman" w:cs="Times New Roman"/>
          <w:b/>
          <w:bCs/>
        </w:rPr>
        <w:t>financial and economic platforms</w:t>
      </w:r>
      <w:r w:rsidRPr="00B5728B">
        <w:rPr>
          <w:rFonts w:ascii="Times New Roman" w:hAnsi="Times New Roman" w:cs="Times New Roman"/>
        </w:rPr>
        <w:t xml:space="preserve"> such as:</w:t>
      </w:r>
    </w:p>
    <w:p w14:paraId="0D34B5D5" w14:textId="77777777" w:rsidR="00696677" w:rsidRPr="00B5728B" w:rsidRDefault="00696677" w:rsidP="00696677">
      <w:pPr>
        <w:numPr>
          <w:ilvl w:val="0"/>
          <w:numId w:val="2"/>
        </w:numPr>
        <w:rPr>
          <w:rFonts w:ascii="Times New Roman" w:hAnsi="Times New Roman" w:cs="Times New Roman"/>
        </w:rPr>
      </w:pPr>
      <w:r w:rsidRPr="00B5728B">
        <w:rPr>
          <w:rFonts w:ascii="Times New Roman" w:hAnsi="Times New Roman" w:cs="Times New Roman"/>
          <w:b/>
          <w:bCs/>
        </w:rPr>
        <w:t>Gold Prices:</w:t>
      </w:r>
      <w:r w:rsidRPr="00B5728B">
        <w:rPr>
          <w:rFonts w:ascii="Times New Roman" w:hAnsi="Times New Roman" w:cs="Times New Roman"/>
        </w:rPr>
        <w:t xml:space="preserve"> Historical gold price data (USD per ounce).</w:t>
      </w:r>
    </w:p>
    <w:p w14:paraId="3A3052D1" w14:textId="77777777" w:rsidR="00696677" w:rsidRPr="00B5728B" w:rsidRDefault="00696677" w:rsidP="00696677">
      <w:pPr>
        <w:numPr>
          <w:ilvl w:val="0"/>
          <w:numId w:val="2"/>
        </w:numPr>
        <w:rPr>
          <w:rFonts w:ascii="Times New Roman" w:hAnsi="Times New Roman" w:cs="Times New Roman"/>
        </w:rPr>
      </w:pPr>
      <w:proofErr w:type="gramStart"/>
      <w:r w:rsidRPr="00B5728B">
        <w:rPr>
          <w:rFonts w:ascii="Times New Roman" w:hAnsi="Times New Roman" w:cs="Times New Roman"/>
          <w:b/>
          <w:bCs/>
        </w:rPr>
        <w:t>US</w:t>
      </w:r>
      <w:proofErr w:type="gramEnd"/>
      <w:r w:rsidRPr="00B5728B">
        <w:rPr>
          <w:rFonts w:ascii="Times New Roman" w:hAnsi="Times New Roman" w:cs="Times New Roman"/>
          <w:b/>
          <w:bCs/>
        </w:rPr>
        <w:t xml:space="preserve"> Dollar Index (DXY):</w:t>
      </w:r>
      <w:r w:rsidRPr="00B5728B">
        <w:rPr>
          <w:rFonts w:ascii="Times New Roman" w:hAnsi="Times New Roman" w:cs="Times New Roman"/>
        </w:rPr>
        <w:t xml:space="preserve"> Represents the value of the US dollar against a basket of foreign currencies.</w:t>
      </w:r>
    </w:p>
    <w:p w14:paraId="6AE5FCBB" w14:textId="77777777" w:rsidR="00696677" w:rsidRPr="00B5728B" w:rsidRDefault="00696677" w:rsidP="00696677">
      <w:pPr>
        <w:numPr>
          <w:ilvl w:val="0"/>
          <w:numId w:val="2"/>
        </w:numPr>
        <w:rPr>
          <w:rFonts w:ascii="Times New Roman" w:hAnsi="Times New Roman" w:cs="Times New Roman"/>
        </w:rPr>
      </w:pPr>
      <w:r w:rsidRPr="00B5728B">
        <w:rPr>
          <w:rFonts w:ascii="Times New Roman" w:hAnsi="Times New Roman" w:cs="Times New Roman"/>
          <w:b/>
          <w:bCs/>
        </w:rPr>
        <w:t>Consumer Price Index (CPI):</w:t>
      </w:r>
      <w:r w:rsidRPr="00B5728B">
        <w:rPr>
          <w:rFonts w:ascii="Times New Roman" w:hAnsi="Times New Roman" w:cs="Times New Roman"/>
        </w:rPr>
        <w:t xml:space="preserve"> Measures inflation and purchasing power.</w:t>
      </w:r>
    </w:p>
    <w:p w14:paraId="141D85DA" w14:textId="77777777" w:rsidR="00696677" w:rsidRPr="00B5728B" w:rsidRDefault="00696677" w:rsidP="00696677">
      <w:pPr>
        <w:numPr>
          <w:ilvl w:val="0"/>
          <w:numId w:val="2"/>
        </w:numPr>
        <w:rPr>
          <w:rFonts w:ascii="Times New Roman" w:hAnsi="Times New Roman" w:cs="Times New Roman"/>
        </w:rPr>
      </w:pPr>
      <w:r w:rsidRPr="00B5728B">
        <w:rPr>
          <w:rFonts w:ascii="Times New Roman" w:hAnsi="Times New Roman" w:cs="Times New Roman"/>
          <w:b/>
          <w:bCs/>
        </w:rPr>
        <w:t>Federal Funds Rate:</w:t>
      </w:r>
      <w:r w:rsidRPr="00B5728B">
        <w:rPr>
          <w:rFonts w:ascii="Times New Roman" w:hAnsi="Times New Roman" w:cs="Times New Roman"/>
        </w:rPr>
        <w:t xml:space="preserve"> Indicates monetary policy and interest rate fluctuations.</w:t>
      </w:r>
    </w:p>
    <w:p w14:paraId="4BA4AFAC" w14:textId="77777777" w:rsidR="00696677" w:rsidRPr="00B5728B" w:rsidRDefault="00696677" w:rsidP="00696677">
      <w:pPr>
        <w:numPr>
          <w:ilvl w:val="0"/>
          <w:numId w:val="2"/>
        </w:numPr>
        <w:rPr>
          <w:rFonts w:ascii="Times New Roman" w:hAnsi="Times New Roman" w:cs="Times New Roman"/>
        </w:rPr>
      </w:pPr>
      <w:r w:rsidRPr="00B5728B">
        <w:rPr>
          <w:rFonts w:ascii="Times New Roman" w:hAnsi="Times New Roman" w:cs="Times New Roman"/>
          <w:b/>
          <w:bCs/>
        </w:rPr>
        <w:lastRenderedPageBreak/>
        <w:t>10-Year Treasury Yield:</w:t>
      </w:r>
      <w:r w:rsidRPr="00B5728B">
        <w:rPr>
          <w:rFonts w:ascii="Times New Roman" w:hAnsi="Times New Roman" w:cs="Times New Roman"/>
        </w:rPr>
        <w:t xml:space="preserve"> Reflects long-term interest rates, impacting investment decisions.</w:t>
      </w:r>
    </w:p>
    <w:p w14:paraId="0BE8C200" w14:textId="1A8C3DB8" w:rsidR="000D777F" w:rsidRPr="00B5728B" w:rsidRDefault="000D777F" w:rsidP="000D777F">
      <w:pPr>
        <w:ind w:left="720"/>
        <w:rPr>
          <w:rFonts w:ascii="Times New Roman" w:hAnsi="Times New Roman" w:cs="Times New Roman"/>
          <w:b/>
          <w:bCs/>
        </w:rPr>
      </w:pPr>
      <w:r w:rsidRPr="00B5728B">
        <w:rPr>
          <w:rFonts w:ascii="Times New Roman" w:hAnsi="Times New Roman" w:cs="Times New Roman"/>
          <w:b/>
          <w:bCs/>
        </w:rPr>
        <w:t>4. Data Processing</w:t>
      </w:r>
    </w:p>
    <w:p w14:paraId="7B6723F5" w14:textId="77777777" w:rsidR="000D777F" w:rsidRPr="00B5728B" w:rsidRDefault="000D777F" w:rsidP="000D777F">
      <w:pPr>
        <w:numPr>
          <w:ilvl w:val="0"/>
          <w:numId w:val="3"/>
        </w:numPr>
        <w:rPr>
          <w:rFonts w:ascii="Times New Roman" w:hAnsi="Times New Roman" w:cs="Times New Roman"/>
        </w:rPr>
      </w:pPr>
      <w:r w:rsidRPr="00B5728B">
        <w:rPr>
          <w:rFonts w:ascii="Times New Roman" w:hAnsi="Times New Roman" w:cs="Times New Roman"/>
        </w:rPr>
        <w:t>Checked for missing values in all datasets.</w:t>
      </w:r>
    </w:p>
    <w:p w14:paraId="40DBE3B7" w14:textId="77777777" w:rsidR="000D777F" w:rsidRPr="00B5728B" w:rsidRDefault="000D777F" w:rsidP="000D777F">
      <w:pPr>
        <w:numPr>
          <w:ilvl w:val="0"/>
          <w:numId w:val="3"/>
        </w:numPr>
        <w:rPr>
          <w:rFonts w:ascii="Times New Roman" w:hAnsi="Times New Roman" w:cs="Times New Roman"/>
        </w:rPr>
      </w:pPr>
      <w:r w:rsidRPr="00B5728B">
        <w:rPr>
          <w:rFonts w:ascii="Times New Roman" w:hAnsi="Times New Roman" w:cs="Times New Roman"/>
        </w:rPr>
        <w:t xml:space="preserve">Dropped </w:t>
      </w:r>
      <w:r w:rsidRPr="00B5728B">
        <w:rPr>
          <w:rFonts w:ascii="Times New Roman" w:hAnsi="Times New Roman" w:cs="Times New Roman"/>
          <w:b/>
          <w:bCs/>
        </w:rPr>
        <w:t>column</w:t>
      </w:r>
      <w:r w:rsidRPr="00B5728B">
        <w:rPr>
          <w:rFonts w:ascii="Times New Roman" w:hAnsi="Times New Roman" w:cs="Times New Roman"/>
        </w:rPr>
        <w:t xml:space="preserve"> if needed for excessive missing values.</w:t>
      </w:r>
    </w:p>
    <w:p w14:paraId="6DAA476D" w14:textId="77777777" w:rsidR="000D777F" w:rsidRPr="00B5728B" w:rsidRDefault="000D777F" w:rsidP="000D777F">
      <w:pPr>
        <w:ind w:left="720"/>
        <w:rPr>
          <w:rFonts w:ascii="Times New Roman" w:hAnsi="Times New Roman" w:cs="Times New Roman"/>
        </w:rPr>
      </w:pPr>
    </w:p>
    <w:p w14:paraId="4F075305" w14:textId="06DE4CC4" w:rsidR="000D777F" w:rsidRPr="00B5728B" w:rsidRDefault="000D777F" w:rsidP="000D777F">
      <w:pPr>
        <w:pStyle w:val="Heading2"/>
        <w:rPr>
          <w:rStyle w:val="Strong"/>
          <w:rFonts w:ascii="Times New Roman" w:hAnsi="Times New Roman" w:cs="Times New Roman"/>
          <w:b w:val="0"/>
          <w:bCs w:val="0"/>
        </w:rPr>
      </w:pPr>
      <w:r w:rsidRPr="00B5728B">
        <w:rPr>
          <w:rStyle w:val="Strong"/>
          <w:rFonts w:ascii="Times New Roman" w:hAnsi="Times New Roman" w:cs="Times New Roman"/>
          <w:b w:val="0"/>
          <w:bCs w:val="0"/>
        </w:rPr>
        <w:t>5 Exploratory Data Analysis (EDA)</w:t>
      </w:r>
    </w:p>
    <w:p w14:paraId="7C877E1C" w14:textId="77777777" w:rsidR="009A669D" w:rsidRPr="00B5728B" w:rsidRDefault="009A669D" w:rsidP="009A669D">
      <w:pPr>
        <w:rPr>
          <w:rFonts w:ascii="Times New Roman" w:hAnsi="Times New Roman" w:cs="Times New Roman"/>
        </w:rPr>
      </w:pPr>
    </w:p>
    <w:p w14:paraId="4CD83BF0" w14:textId="438318D8" w:rsidR="009A669D" w:rsidRPr="00B5728B" w:rsidRDefault="009A669D" w:rsidP="009A669D">
      <w:pPr>
        <w:rPr>
          <w:rFonts w:ascii="Times New Roman" w:hAnsi="Times New Roman" w:cs="Times New Roman"/>
          <w:b/>
          <w:bCs/>
          <w:sz w:val="24"/>
          <w:szCs w:val="24"/>
        </w:rPr>
      </w:pPr>
      <w:r w:rsidRPr="00B5728B">
        <w:rPr>
          <w:rFonts w:ascii="Times New Roman" w:hAnsi="Times New Roman" w:cs="Times New Roman"/>
          <w:b/>
          <w:bCs/>
          <w:sz w:val="24"/>
          <w:szCs w:val="24"/>
        </w:rPr>
        <w:t>Gold Price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1102"/>
      </w:tblGrid>
      <w:tr w:rsidR="009A669D" w:rsidRPr="009A669D" w14:paraId="177D4905" w14:textId="77777777" w:rsidTr="00A655E6">
        <w:trPr>
          <w:tblHeader/>
          <w:tblCellSpacing w:w="15" w:type="dxa"/>
        </w:trPr>
        <w:tc>
          <w:tcPr>
            <w:tcW w:w="0" w:type="auto"/>
            <w:vAlign w:val="center"/>
            <w:hideMark/>
          </w:tcPr>
          <w:p w14:paraId="369204E4" w14:textId="77777777" w:rsidR="009A669D" w:rsidRPr="009A669D" w:rsidRDefault="009A669D" w:rsidP="009A669D">
            <w:pPr>
              <w:pStyle w:val="NormalWeb"/>
              <w:rPr>
                <w:b/>
                <w:bCs/>
              </w:rPr>
            </w:pPr>
            <w:r w:rsidRPr="009A669D">
              <w:rPr>
                <w:b/>
                <w:bCs/>
              </w:rPr>
              <w:t>Metric</w:t>
            </w:r>
          </w:p>
        </w:tc>
        <w:tc>
          <w:tcPr>
            <w:tcW w:w="0" w:type="auto"/>
            <w:vAlign w:val="center"/>
            <w:hideMark/>
          </w:tcPr>
          <w:p w14:paraId="1AD2791F" w14:textId="77777777" w:rsidR="009A669D" w:rsidRPr="009A669D" w:rsidRDefault="009A669D" w:rsidP="009A669D">
            <w:pPr>
              <w:pStyle w:val="NormalWeb"/>
              <w:rPr>
                <w:b/>
                <w:bCs/>
              </w:rPr>
            </w:pPr>
            <w:r w:rsidRPr="009A669D">
              <w:rPr>
                <w:b/>
                <w:bCs/>
              </w:rPr>
              <w:t>Value</w:t>
            </w:r>
          </w:p>
        </w:tc>
      </w:tr>
      <w:tr w:rsidR="009A669D" w:rsidRPr="009A669D" w14:paraId="4F5AAB84" w14:textId="77777777" w:rsidTr="00A655E6">
        <w:trPr>
          <w:tblCellSpacing w:w="15" w:type="dxa"/>
        </w:trPr>
        <w:tc>
          <w:tcPr>
            <w:tcW w:w="0" w:type="auto"/>
            <w:vAlign w:val="center"/>
            <w:hideMark/>
          </w:tcPr>
          <w:p w14:paraId="3C67057B" w14:textId="77777777" w:rsidR="009A669D" w:rsidRPr="009A669D" w:rsidRDefault="009A669D" w:rsidP="009A669D">
            <w:pPr>
              <w:pStyle w:val="NormalWeb"/>
            </w:pPr>
            <w:r w:rsidRPr="009A669D">
              <w:t>Count</w:t>
            </w:r>
          </w:p>
        </w:tc>
        <w:tc>
          <w:tcPr>
            <w:tcW w:w="0" w:type="auto"/>
            <w:vAlign w:val="center"/>
            <w:hideMark/>
          </w:tcPr>
          <w:p w14:paraId="574A1028" w14:textId="77777777" w:rsidR="009A669D" w:rsidRPr="009A669D" w:rsidRDefault="009A669D" w:rsidP="009A669D">
            <w:pPr>
              <w:pStyle w:val="NormalWeb"/>
            </w:pPr>
            <w:r w:rsidRPr="009A669D">
              <w:t>52 months</w:t>
            </w:r>
          </w:p>
        </w:tc>
      </w:tr>
      <w:tr w:rsidR="009A669D" w:rsidRPr="009A669D" w14:paraId="7B4EE5F8" w14:textId="77777777" w:rsidTr="00A655E6">
        <w:trPr>
          <w:tblCellSpacing w:w="15" w:type="dxa"/>
        </w:trPr>
        <w:tc>
          <w:tcPr>
            <w:tcW w:w="0" w:type="auto"/>
            <w:vAlign w:val="center"/>
            <w:hideMark/>
          </w:tcPr>
          <w:p w14:paraId="6472D0C0" w14:textId="77777777" w:rsidR="009A669D" w:rsidRPr="009A669D" w:rsidRDefault="009A669D" w:rsidP="009A669D">
            <w:pPr>
              <w:pStyle w:val="NormalWeb"/>
            </w:pPr>
            <w:r w:rsidRPr="009A669D">
              <w:t>Mean</w:t>
            </w:r>
          </w:p>
        </w:tc>
        <w:tc>
          <w:tcPr>
            <w:tcW w:w="0" w:type="auto"/>
            <w:vAlign w:val="center"/>
            <w:hideMark/>
          </w:tcPr>
          <w:p w14:paraId="23BF41E0" w14:textId="77777777" w:rsidR="009A669D" w:rsidRPr="009A669D" w:rsidRDefault="009A669D" w:rsidP="009A669D">
            <w:pPr>
              <w:pStyle w:val="NormalWeb"/>
            </w:pPr>
            <w:r w:rsidRPr="009A669D">
              <w:t>$1,931.30</w:t>
            </w:r>
          </w:p>
        </w:tc>
      </w:tr>
      <w:tr w:rsidR="009A669D" w:rsidRPr="009A669D" w14:paraId="73400FE1" w14:textId="77777777" w:rsidTr="00A655E6">
        <w:trPr>
          <w:tblCellSpacing w:w="15" w:type="dxa"/>
        </w:trPr>
        <w:tc>
          <w:tcPr>
            <w:tcW w:w="0" w:type="auto"/>
            <w:vAlign w:val="center"/>
            <w:hideMark/>
          </w:tcPr>
          <w:p w14:paraId="1CD952C2" w14:textId="77777777" w:rsidR="009A669D" w:rsidRPr="009A669D" w:rsidRDefault="009A669D" w:rsidP="009A669D">
            <w:pPr>
              <w:pStyle w:val="NormalWeb"/>
            </w:pPr>
            <w:r w:rsidRPr="009A669D">
              <w:t>Min</w:t>
            </w:r>
          </w:p>
        </w:tc>
        <w:tc>
          <w:tcPr>
            <w:tcW w:w="0" w:type="auto"/>
            <w:vAlign w:val="center"/>
            <w:hideMark/>
          </w:tcPr>
          <w:p w14:paraId="58489319" w14:textId="77777777" w:rsidR="009A669D" w:rsidRPr="009A669D" w:rsidRDefault="009A669D" w:rsidP="009A669D">
            <w:pPr>
              <w:pStyle w:val="NormalWeb"/>
            </w:pPr>
            <w:r w:rsidRPr="009A669D">
              <w:t>$1,564.10</w:t>
            </w:r>
          </w:p>
        </w:tc>
      </w:tr>
      <w:tr w:rsidR="009A669D" w:rsidRPr="009A669D" w14:paraId="54633658" w14:textId="77777777" w:rsidTr="00A655E6">
        <w:trPr>
          <w:tblCellSpacing w:w="15" w:type="dxa"/>
        </w:trPr>
        <w:tc>
          <w:tcPr>
            <w:tcW w:w="0" w:type="auto"/>
            <w:vAlign w:val="center"/>
            <w:hideMark/>
          </w:tcPr>
          <w:p w14:paraId="7BAE16DB" w14:textId="77777777" w:rsidR="009A669D" w:rsidRPr="009A669D" w:rsidRDefault="009A669D" w:rsidP="009A669D">
            <w:pPr>
              <w:pStyle w:val="NormalWeb"/>
            </w:pPr>
            <w:r w:rsidRPr="009A669D">
              <w:t>25%</w:t>
            </w:r>
          </w:p>
        </w:tc>
        <w:tc>
          <w:tcPr>
            <w:tcW w:w="0" w:type="auto"/>
            <w:vAlign w:val="center"/>
            <w:hideMark/>
          </w:tcPr>
          <w:p w14:paraId="60AFD3F5" w14:textId="77777777" w:rsidR="009A669D" w:rsidRPr="009A669D" w:rsidRDefault="009A669D" w:rsidP="009A669D">
            <w:pPr>
              <w:pStyle w:val="NormalWeb"/>
            </w:pPr>
            <w:r w:rsidRPr="009A669D">
              <w:t>$1,769.93</w:t>
            </w:r>
          </w:p>
        </w:tc>
      </w:tr>
      <w:tr w:rsidR="009A669D" w:rsidRPr="009A669D" w14:paraId="64CFCED6" w14:textId="77777777" w:rsidTr="00A655E6">
        <w:trPr>
          <w:tblCellSpacing w:w="15" w:type="dxa"/>
        </w:trPr>
        <w:tc>
          <w:tcPr>
            <w:tcW w:w="0" w:type="auto"/>
            <w:vAlign w:val="center"/>
            <w:hideMark/>
          </w:tcPr>
          <w:p w14:paraId="7D28ADB9" w14:textId="77777777" w:rsidR="009A669D" w:rsidRPr="009A669D" w:rsidRDefault="009A669D" w:rsidP="009A669D">
            <w:pPr>
              <w:pStyle w:val="NormalWeb"/>
            </w:pPr>
            <w:r w:rsidRPr="009A669D">
              <w:t>Max</w:t>
            </w:r>
          </w:p>
        </w:tc>
        <w:tc>
          <w:tcPr>
            <w:tcW w:w="0" w:type="auto"/>
            <w:vAlign w:val="center"/>
            <w:hideMark/>
          </w:tcPr>
          <w:p w14:paraId="1C9D97A8" w14:textId="77777777" w:rsidR="009A669D" w:rsidRPr="009A669D" w:rsidRDefault="009A669D" w:rsidP="009A669D">
            <w:pPr>
              <w:pStyle w:val="NormalWeb"/>
            </w:pPr>
            <w:r w:rsidRPr="009A669D">
              <w:t>$2,738.30</w:t>
            </w:r>
          </w:p>
        </w:tc>
      </w:tr>
      <w:tr w:rsidR="009A669D" w:rsidRPr="009A669D" w14:paraId="0FC84975" w14:textId="77777777" w:rsidTr="00A655E6">
        <w:trPr>
          <w:tblCellSpacing w:w="15" w:type="dxa"/>
        </w:trPr>
        <w:tc>
          <w:tcPr>
            <w:tcW w:w="0" w:type="auto"/>
            <w:vAlign w:val="center"/>
            <w:hideMark/>
          </w:tcPr>
          <w:p w14:paraId="133EDA89" w14:textId="77777777" w:rsidR="009A669D" w:rsidRPr="009A669D" w:rsidRDefault="009A669D" w:rsidP="009A669D">
            <w:pPr>
              <w:pStyle w:val="NormalWeb"/>
            </w:pPr>
            <w:r w:rsidRPr="009A669D">
              <w:t>Std. Dev</w:t>
            </w:r>
          </w:p>
        </w:tc>
        <w:tc>
          <w:tcPr>
            <w:tcW w:w="0" w:type="auto"/>
            <w:vAlign w:val="center"/>
            <w:hideMark/>
          </w:tcPr>
          <w:p w14:paraId="6D5277BC" w14:textId="77777777" w:rsidR="009A669D" w:rsidRPr="009A669D" w:rsidRDefault="009A669D" w:rsidP="009A669D">
            <w:pPr>
              <w:pStyle w:val="NormalWeb"/>
            </w:pPr>
            <w:r w:rsidRPr="009A669D">
              <w:t>$254.20</w:t>
            </w:r>
          </w:p>
        </w:tc>
      </w:tr>
    </w:tbl>
    <w:p w14:paraId="3A79D7C4" w14:textId="77777777" w:rsidR="009A669D" w:rsidRPr="00B5728B" w:rsidRDefault="009A669D" w:rsidP="009A669D">
      <w:pPr>
        <w:pStyle w:val="NormalWeb"/>
      </w:pPr>
    </w:p>
    <w:p w14:paraId="0CD567D3" w14:textId="1F2DC8B7" w:rsidR="009A669D" w:rsidRPr="00B5728B" w:rsidRDefault="009A669D" w:rsidP="009A669D">
      <w:pPr>
        <w:pStyle w:val="NormalWeb"/>
      </w:pPr>
      <w:r w:rsidRPr="00B5728B">
        <w:t>Insights</w:t>
      </w:r>
    </w:p>
    <w:p w14:paraId="10497CB1" w14:textId="5A83C97B" w:rsidR="00556D4A" w:rsidRPr="00B5728B" w:rsidRDefault="00556D4A" w:rsidP="00556D4A">
      <w:pPr>
        <w:pStyle w:val="NormalWeb"/>
        <w:numPr>
          <w:ilvl w:val="0"/>
          <w:numId w:val="6"/>
        </w:numPr>
      </w:pPr>
      <w:r w:rsidRPr="00B5728B">
        <w:t>Gold prices increased significantly from 2020 to 2025.</w:t>
      </w:r>
    </w:p>
    <w:p w14:paraId="6E414F84" w14:textId="77777777" w:rsidR="00556D4A" w:rsidRPr="00B5728B" w:rsidRDefault="00556D4A" w:rsidP="00556D4A">
      <w:pPr>
        <w:pStyle w:val="NormalWeb"/>
        <w:numPr>
          <w:ilvl w:val="0"/>
          <w:numId w:val="6"/>
        </w:numPr>
      </w:pPr>
      <w:r w:rsidRPr="00B5728B">
        <w:t xml:space="preserve">The average price was around </w:t>
      </w:r>
      <w:r w:rsidRPr="00B5728B">
        <w:rPr>
          <w:b/>
          <w:bCs/>
        </w:rPr>
        <w:t>$1,930</w:t>
      </w:r>
      <w:r w:rsidRPr="00B5728B">
        <w:t xml:space="preserve">, but prices reached over </w:t>
      </w:r>
      <w:r w:rsidRPr="00B5728B">
        <w:rPr>
          <w:b/>
          <w:bCs/>
        </w:rPr>
        <w:t>$2,700</w:t>
      </w:r>
      <w:r w:rsidRPr="00B5728B">
        <w:t xml:space="preserve"> during peak demand.</w:t>
      </w:r>
    </w:p>
    <w:p w14:paraId="5A946427" w14:textId="77777777" w:rsidR="00556D4A" w:rsidRPr="00B5728B" w:rsidRDefault="00556D4A" w:rsidP="00556D4A">
      <w:pPr>
        <w:pStyle w:val="NormalWeb"/>
        <w:numPr>
          <w:ilvl w:val="0"/>
          <w:numId w:val="6"/>
        </w:numPr>
      </w:pPr>
      <w:r w:rsidRPr="00B5728B">
        <w:t>The data shows noticeable volatility, likely due to inflation fears and global uncertainty.</w:t>
      </w:r>
    </w:p>
    <w:p w14:paraId="6742592F" w14:textId="116DFCAC" w:rsidR="009A669D" w:rsidRPr="00B5728B" w:rsidRDefault="009A669D" w:rsidP="009A669D">
      <w:pPr>
        <w:pStyle w:val="NormalWeb"/>
      </w:pPr>
      <w:r w:rsidRPr="00B5728B">
        <w:t xml:space="preserve">(DXY) Dollar Index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1520"/>
        <w:gridCol w:w="1535"/>
      </w:tblGrid>
      <w:tr w:rsidR="009A669D" w:rsidRPr="009A669D" w14:paraId="525044CF" w14:textId="77777777" w:rsidTr="009A669D">
        <w:trPr>
          <w:tblHeader/>
          <w:tblCellSpacing w:w="15" w:type="dxa"/>
        </w:trPr>
        <w:tc>
          <w:tcPr>
            <w:tcW w:w="0" w:type="auto"/>
            <w:vAlign w:val="center"/>
            <w:hideMark/>
          </w:tcPr>
          <w:p w14:paraId="2337268E" w14:textId="77777777" w:rsidR="009A669D" w:rsidRPr="009A669D" w:rsidRDefault="009A669D" w:rsidP="009A669D">
            <w:pPr>
              <w:pStyle w:val="NormalWeb"/>
              <w:rPr>
                <w:b/>
                <w:bCs/>
              </w:rPr>
            </w:pPr>
            <w:r w:rsidRPr="009A669D">
              <w:rPr>
                <w:b/>
                <w:bCs/>
              </w:rPr>
              <w:t>Metric</w:t>
            </w:r>
          </w:p>
        </w:tc>
        <w:tc>
          <w:tcPr>
            <w:tcW w:w="0" w:type="auto"/>
            <w:vAlign w:val="center"/>
            <w:hideMark/>
          </w:tcPr>
          <w:p w14:paraId="15CEE6F6" w14:textId="77777777" w:rsidR="009A669D" w:rsidRPr="009A669D" w:rsidRDefault="009A669D" w:rsidP="009A669D">
            <w:pPr>
              <w:pStyle w:val="NormalWeb"/>
              <w:rPr>
                <w:b/>
                <w:bCs/>
              </w:rPr>
            </w:pPr>
            <w:r w:rsidRPr="009A669D">
              <w:rPr>
                <w:b/>
                <w:bCs/>
              </w:rPr>
              <w:t>Price (mean)</w:t>
            </w:r>
          </w:p>
        </w:tc>
        <w:tc>
          <w:tcPr>
            <w:tcW w:w="0" w:type="auto"/>
            <w:vAlign w:val="center"/>
            <w:hideMark/>
          </w:tcPr>
          <w:p w14:paraId="3D7F28E2" w14:textId="77777777" w:rsidR="009A669D" w:rsidRPr="009A669D" w:rsidRDefault="009A669D" w:rsidP="009A669D">
            <w:pPr>
              <w:pStyle w:val="NormalWeb"/>
              <w:rPr>
                <w:b/>
                <w:bCs/>
              </w:rPr>
            </w:pPr>
            <w:r w:rsidRPr="009A669D">
              <w:rPr>
                <w:b/>
                <w:bCs/>
              </w:rPr>
              <w:t>Range</w:t>
            </w:r>
          </w:p>
        </w:tc>
      </w:tr>
      <w:tr w:rsidR="009A669D" w:rsidRPr="009A669D" w14:paraId="5B0EE82D" w14:textId="77777777" w:rsidTr="009A669D">
        <w:trPr>
          <w:tblCellSpacing w:w="15" w:type="dxa"/>
        </w:trPr>
        <w:tc>
          <w:tcPr>
            <w:tcW w:w="0" w:type="auto"/>
            <w:vAlign w:val="center"/>
            <w:hideMark/>
          </w:tcPr>
          <w:p w14:paraId="6C6CA9D0" w14:textId="77777777" w:rsidR="009A669D" w:rsidRPr="009A669D" w:rsidRDefault="009A669D" w:rsidP="009A669D">
            <w:pPr>
              <w:pStyle w:val="NormalWeb"/>
            </w:pPr>
            <w:r w:rsidRPr="009A669D">
              <w:t>Mean</w:t>
            </w:r>
          </w:p>
        </w:tc>
        <w:tc>
          <w:tcPr>
            <w:tcW w:w="0" w:type="auto"/>
            <w:vAlign w:val="center"/>
            <w:hideMark/>
          </w:tcPr>
          <w:p w14:paraId="1FBB90FE" w14:textId="77777777" w:rsidR="009A669D" w:rsidRPr="009A669D" w:rsidRDefault="009A669D" w:rsidP="009A669D">
            <w:pPr>
              <w:pStyle w:val="NormalWeb"/>
            </w:pPr>
            <w:r w:rsidRPr="009A669D">
              <w:t>99.89</w:t>
            </w:r>
          </w:p>
        </w:tc>
        <w:tc>
          <w:tcPr>
            <w:tcW w:w="0" w:type="auto"/>
            <w:vAlign w:val="center"/>
            <w:hideMark/>
          </w:tcPr>
          <w:p w14:paraId="79B620A2" w14:textId="77777777" w:rsidR="009A669D" w:rsidRPr="009A669D" w:rsidRDefault="009A669D" w:rsidP="009A669D">
            <w:pPr>
              <w:pStyle w:val="NormalWeb"/>
            </w:pPr>
            <w:r w:rsidRPr="009A669D">
              <w:t>89.94 – 112.12</w:t>
            </w:r>
          </w:p>
        </w:tc>
      </w:tr>
      <w:tr w:rsidR="009A669D" w:rsidRPr="009A669D" w14:paraId="193AD225" w14:textId="77777777" w:rsidTr="009A669D">
        <w:trPr>
          <w:tblCellSpacing w:w="15" w:type="dxa"/>
        </w:trPr>
        <w:tc>
          <w:tcPr>
            <w:tcW w:w="0" w:type="auto"/>
            <w:vAlign w:val="center"/>
            <w:hideMark/>
          </w:tcPr>
          <w:p w14:paraId="65EDF3F7" w14:textId="77777777" w:rsidR="009A669D" w:rsidRPr="009A669D" w:rsidRDefault="009A669D" w:rsidP="009A669D">
            <w:pPr>
              <w:pStyle w:val="NormalWeb"/>
            </w:pPr>
            <w:r w:rsidRPr="009A669D">
              <w:t>Std. Dev</w:t>
            </w:r>
          </w:p>
        </w:tc>
        <w:tc>
          <w:tcPr>
            <w:tcW w:w="0" w:type="auto"/>
            <w:vAlign w:val="center"/>
            <w:hideMark/>
          </w:tcPr>
          <w:p w14:paraId="74B540F7" w14:textId="77777777" w:rsidR="009A669D" w:rsidRPr="009A669D" w:rsidRDefault="009A669D" w:rsidP="009A669D">
            <w:pPr>
              <w:pStyle w:val="NormalWeb"/>
            </w:pPr>
            <w:r w:rsidRPr="009A669D">
              <w:t>5.76</w:t>
            </w:r>
          </w:p>
        </w:tc>
        <w:tc>
          <w:tcPr>
            <w:tcW w:w="0" w:type="auto"/>
            <w:vAlign w:val="center"/>
            <w:hideMark/>
          </w:tcPr>
          <w:p w14:paraId="688A35B2" w14:textId="77777777" w:rsidR="009A669D" w:rsidRPr="009A669D" w:rsidRDefault="009A669D" w:rsidP="009A669D">
            <w:pPr>
              <w:pStyle w:val="NormalWeb"/>
            </w:pPr>
          </w:p>
        </w:tc>
      </w:tr>
      <w:tr w:rsidR="009A669D" w:rsidRPr="009A669D" w14:paraId="556D97EA" w14:textId="77777777" w:rsidTr="009A669D">
        <w:trPr>
          <w:tblCellSpacing w:w="15" w:type="dxa"/>
        </w:trPr>
        <w:tc>
          <w:tcPr>
            <w:tcW w:w="0" w:type="auto"/>
            <w:vAlign w:val="center"/>
            <w:hideMark/>
          </w:tcPr>
          <w:p w14:paraId="009C9F2D" w14:textId="77777777" w:rsidR="009A669D" w:rsidRPr="009A669D" w:rsidRDefault="009A669D" w:rsidP="009A669D">
            <w:pPr>
              <w:pStyle w:val="NormalWeb"/>
            </w:pPr>
            <w:r w:rsidRPr="009A669D">
              <w:t>25–75%</w:t>
            </w:r>
          </w:p>
        </w:tc>
        <w:tc>
          <w:tcPr>
            <w:tcW w:w="0" w:type="auto"/>
            <w:vAlign w:val="center"/>
            <w:hideMark/>
          </w:tcPr>
          <w:p w14:paraId="13932AA3" w14:textId="77777777" w:rsidR="009A669D" w:rsidRPr="009A669D" w:rsidRDefault="009A669D" w:rsidP="009A669D">
            <w:pPr>
              <w:pStyle w:val="NormalWeb"/>
            </w:pPr>
            <w:r w:rsidRPr="009A669D">
              <w:t>94.18 – 104.25</w:t>
            </w:r>
          </w:p>
        </w:tc>
        <w:tc>
          <w:tcPr>
            <w:tcW w:w="0" w:type="auto"/>
            <w:vAlign w:val="center"/>
            <w:hideMark/>
          </w:tcPr>
          <w:p w14:paraId="0FD765EB" w14:textId="77777777" w:rsidR="009A669D" w:rsidRPr="009A669D" w:rsidRDefault="009A669D" w:rsidP="009A669D">
            <w:pPr>
              <w:pStyle w:val="NormalWeb"/>
            </w:pPr>
          </w:p>
        </w:tc>
      </w:tr>
    </w:tbl>
    <w:p w14:paraId="5EB1EDC7" w14:textId="2B80771E" w:rsidR="009A669D" w:rsidRPr="00B5728B" w:rsidRDefault="009A669D" w:rsidP="009A669D">
      <w:pPr>
        <w:pStyle w:val="NormalWeb"/>
      </w:pPr>
      <w:r w:rsidRPr="00B5728B">
        <w:t>Insights</w:t>
      </w:r>
    </w:p>
    <w:p w14:paraId="52DE06A3" w14:textId="77777777" w:rsidR="009A669D" w:rsidRPr="009A669D" w:rsidRDefault="009A669D" w:rsidP="009A669D">
      <w:pPr>
        <w:pStyle w:val="NormalWeb"/>
        <w:numPr>
          <w:ilvl w:val="0"/>
          <w:numId w:val="7"/>
        </w:numPr>
      </w:pPr>
      <w:r w:rsidRPr="009A669D">
        <w:t xml:space="preserve">DXY fluctuated between </w:t>
      </w:r>
      <w:r w:rsidRPr="009A669D">
        <w:rPr>
          <w:b/>
          <w:bCs/>
        </w:rPr>
        <w:t>~90 and 112</w:t>
      </w:r>
      <w:r w:rsidRPr="009A669D">
        <w:t xml:space="preserve"> with an average of </w:t>
      </w:r>
      <w:r w:rsidRPr="009A669D">
        <w:rPr>
          <w:b/>
          <w:bCs/>
        </w:rPr>
        <w:t>~99.9</w:t>
      </w:r>
      <w:r w:rsidRPr="009A669D">
        <w:t>.</w:t>
      </w:r>
    </w:p>
    <w:p w14:paraId="2AB17BF3" w14:textId="77777777" w:rsidR="009A669D" w:rsidRPr="009A669D" w:rsidRDefault="009A669D" w:rsidP="009A669D">
      <w:pPr>
        <w:pStyle w:val="NormalWeb"/>
        <w:numPr>
          <w:ilvl w:val="0"/>
          <w:numId w:val="7"/>
        </w:numPr>
      </w:pPr>
      <w:r w:rsidRPr="009A669D">
        <w:t>A strong dollar phase is visible in mid-2022 when DXY peaked.</w:t>
      </w:r>
    </w:p>
    <w:p w14:paraId="75ECDFDB" w14:textId="77777777" w:rsidR="009A669D" w:rsidRPr="00B5728B" w:rsidRDefault="009A669D" w:rsidP="009A669D">
      <w:pPr>
        <w:pStyle w:val="NormalWeb"/>
        <w:numPr>
          <w:ilvl w:val="0"/>
          <w:numId w:val="7"/>
        </w:numPr>
      </w:pPr>
      <w:r w:rsidRPr="009A669D">
        <w:t xml:space="preserve">This trend often moves </w:t>
      </w:r>
      <w:r w:rsidRPr="009A669D">
        <w:rPr>
          <w:b/>
          <w:bCs/>
        </w:rPr>
        <w:t>opposite to gold</w:t>
      </w:r>
      <w:r w:rsidRPr="009A669D">
        <w:t xml:space="preserve"> — when DXY rises, gold typically falls.</w:t>
      </w:r>
    </w:p>
    <w:p w14:paraId="179806D0" w14:textId="77777777" w:rsidR="009A669D" w:rsidRPr="00B5728B" w:rsidRDefault="009A669D" w:rsidP="009A669D">
      <w:pPr>
        <w:pStyle w:val="NormalWeb"/>
      </w:pPr>
    </w:p>
    <w:p w14:paraId="3184B76D" w14:textId="4509E547" w:rsidR="009A669D" w:rsidRPr="00B5728B" w:rsidRDefault="009A669D" w:rsidP="009A669D">
      <w:pPr>
        <w:pStyle w:val="NormalWeb"/>
      </w:pPr>
      <w:r w:rsidRPr="00B5728B">
        <w:t>CPI (Consumer Price Index)</w:t>
      </w:r>
      <w:r w:rsidR="002F1C46" w:rsidRPr="00B5728B">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655"/>
      </w:tblGrid>
      <w:tr w:rsidR="009A669D" w:rsidRPr="009A669D" w14:paraId="70B5AD5A" w14:textId="77777777" w:rsidTr="009A669D">
        <w:trPr>
          <w:tblHeader/>
          <w:tblCellSpacing w:w="15" w:type="dxa"/>
        </w:trPr>
        <w:tc>
          <w:tcPr>
            <w:tcW w:w="0" w:type="auto"/>
            <w:vAlign w:val="center"/>
            <w:hideMark/>
          </w:tcPr>
          <w:p w14:paraId="2F1035B9" w14:textId="77777777" w:rsidR="009A669D" w:rsidRPr="009A669D" w:rsidRDefault="009A669D" w:rsidP="009A669D">
            <w:pPr>
              <w:pStyle w:val="NormalWeb"/>
              <w:rPr>
                <w:b/>
                <w:bCs/>
              </w:rPr>
            </w:pPr>
            <w:r w:rsidRPr="009A669D">
              <w:rPr>
                <w:b/>
                <w:bCs/>
              </w:rPr>
              <w:t>Metric</w:t>
            </w:r>
          </w:p>
        </w:tc>
        <w:tc>
          <w:tcPr>
            <w:tcW w:w="0" w:type="auto"/>
            <w:vAlign w:val="center"/>
            <w:hideMark/>
          </w:tcPr>
          <w:p w14:paraId="1BE9BAF3" w14:textId="77777777" w:rsidR="009A669D" w:rsidRPr="009A669D" w:rsidRDefault="009A669D" w:rsidP="009A669D">
            <w:pPr>
              <w:pStyle w:val="NormalWeb"/>
              <w:rPr>
                <w:b/>
                <w:bCs/>
              </w:rPr>
            </w:pPr>
            <w:r w:rsidRPr="009A669D">
              <w:rPr>
                <w:b/>
                <w:bCs/>
              </w:rPr>
              <w:t>CPI (Index)</w:t>
            </w:r>
          </w:p>
        </w:tc>
      </w:tr>
      <w:tr w:rsidR="009A669D" w:rsidRPr="009A669D" w14:paraId="79972B9F" w14:textId="77777777" w:rsidTr="009A669D">
        <w:trPr>
          <w:tblCellSpacing w:w="15" w:type="dxa"/>
        </w:trPr>
        <w:tc>
          <w:tcPr>
            <w:tcW w:w="0" w:type="auto"/>
            <w:vAlign w:val="center"/>
            <w:hideMark/>
          </w:tcPr>
          <w:p w14:paraId="04C854ED" w14:textId="77777777" w:rsidR="009A669D" w:rsidRPr="009A669D" w:rsidRDefault="009A669D" w:rsidP="009A669D">
            <w:pPr>
              <w:pStyle w:val="NormalWeb"/>
            </w:pPr>
            <w:r w:rsidRPr="009A669D">
              <w:t>Count</w:t>
            </w:r>
          </w:p>
        </w:tc>
        <w:tc>
          <w:tcPr>
            <w:tcW w:w="0" w:type="auto"/>
            <w:vAlign w:val="center"/>
            <w:hideMark/>
          </w:tcPr>
          <w:p w14:paraId="146ECC10" w14:textId="77777777" w:rsidR="009A669D" w:rsidRPr="009A669D" w:rsidRDefault="009A669D" w:rsidP="009A669D">
            <w:pPr>
              <w:pStyle w:val="NormalWeb"/>
            </w:pPr>
            <w:r w:rsidRPr="009A669D">
              <w:t>60 months</w:t>
            </w:r>
          </w:p>
        </w:tc>
      </w:tr>
      <w:tr w:rsidR="009A669D" w:rsidRPr="009A669D" w14:paraId="124F8BC3" w14:textId="77777777" w:rsidTr="009A669D">
        <w:trPr>
          <w:tblCellSpacing w:w="15" w:type="dxa"/>
        </w:trPr>
        <w:tc>
          <w:tcPr>
            <w:tcW w:w="0" w:type="auto"/>
            <w:vAlign w:val="center"/>
            <w:hideMark/>
          </w:tcPr>
          <w:p w14:paraId="37715A3D" w14:textId="77777777" w:rsidR="009A669D" w:rsidRPr="009A669D" w:rsidRDefault="009A669D" w:rsidP="009A669D">
            <w:pPr>
              <w:pStyle w:val="NormalWeb"/>
            </w:pPr>
            <w:r w:rsidRPr="009A669D">
              <w:t>Mean</w:t>
            </w:r>
          </w:p>
        </w:tc>
        <w:tc>
          <w:tcPr>
            <w:tcW w:w="0" w:type="auto"/>
            <w:vAlign w:val="center"/>
            <w:hideMark/>
          </w:tcPr>
          <w:p w14:paraId="129FAA28" w14:textId="77777777" w:rsidR="009A669D" w:rsidRPr="009A669D" w:rsidRDefault="009A669D" w:rsidP="009A669D">
            <w:pPr>
              <w:pStyle w:val="NormalWeb"/>
            </w:pPr>
            <w:r w:rsidRPr="009A669D">
              <w:t>289.17</w:t>
            </w:r>
          </w:p>
        </w:tc>
      </w:tr>
      <w:tr w:rsidR="009A669D" w:rsidRPr="009A669D" w14:paraId="0F815FEB" w14:textId="77777777" w:rsidTr="009A669D">
        <w:trPr>
          <w:tblCellSpacing w:w="15" w:type="dxa"/>
        </w:trPr>
        <w:tc>
          <w:tcPr>
            <w:tcW w:w="0" w:type="auto"/>
            <w:vAlign w:val="center"/>
            <w:hideMark/>
          </w:tcPr>
          <w:p w14:paraId="10B17968" w14:textId="77777777" w:rsidR="009A669D" w:rsidRPr="009A669D" w:rsidRDefault="009A669D" w:rsidP="009A669D">
            <w:pPr>
              <w:pStyle w:val="NormalWeb"/>
            </w:pPr>
            <w:r w:rsidRPr="009A669D">
              <w:t>Min–Max</w:t>
            </w:r>
          </w:p>
        </w:tc>
        <w:tc>
          <w:tcPr>
            <w:tcW w:w="0" w:type="auto"/>
            <w:vAlign w:val="center"/>
            <w:hideMark/>
          </w:tcPr>
          <w:p w14:paraId="038B3BCA" w14:textId="77777777" w:rsidR="009A669D" w:rsidRPr="009A669D" w:rsidRDefault="009A669D" w:rsidP="009A669D">
            <w:pPr>
              <w:pStyle w:val="NormalWeb"/>
            </w:pPr>
            <w:r w:rsidRPr="009A669D">
              <w:t>255.80 – 319.09</w:t>
            </w:r>
          </w:p>
        </w:tc>
      </w:tr>
      <w:tr w:rsidR="009A669D" w:rsidRPr="009A669D" w14:paraId="4992ED7A" w14:textId="77777777" w:rsidTr="009A669D">
        <w:trPr>
          <w:tblCellSpacing w:w="15" w:type="dxa"/>
        </w:trPr>
        <w:tc>
          <w:tcPr>
            <w:tcW w:w="0" w:type="auto"/>
            <w:vAlign w:val="center"/>
            <w:hideMark/>
          </w:tcPr>
          <w:p w14:paraId="7149824D" w14:textId="77777777" w:rsidR="009A669D" w:rsidRPr="009A669D" w:rsidRDefault="009A669D" w:rsidP="009A669D">
            <w:pPr>
              <w:pStyle w:val="NormalWeb"/>
            </w:pPr>
            <w:r w:rsidRPr="009A669D">
              <w:t>Std. Dev</w:t>
            </w:r>
          </w:p>
        </w:tc>
        <w:tc>
          <w:tcPr>
            <w:tcW w:w="0" w:type="auto"/>
            <w:vAlign w:val="center"/>
            <w:hideMark/>
          </w:tcPr>
          <w:p w14:paraId="2C18AC33" w14:textId="77777777" w:rsidR="009A669D" w:rsidRPr="009A669D" w:rsidRDefault="009A669D" w:rsidP="009A669D">
            <w:pPr>
              <w:pStyle w:val="NormalWeb"/>
            </w:pPr>
            <w:r w:rsidRPr="009A669D">
              <w:t>21.06</w:t>
            </w:r>
          </w:p>
        </w:tc>
      </w:tr>
    </w:tbl>
    <w:p w14:paraId="7211FD82" w14:textId="6182C0EF" w:rsidR="009A669D" w:rsidRPr="00B5728B" w:rsidRDefault="009A669D" w:rsidP="009A669D">
      <w:pPr>
        <w:pStyle w:val="NormalWeb"/>
      </w:pPr>
      <w:r w:rsidRPr="00B5728B">
        <w:t>Insights</w:t>
      </w:r>
    </w:p>
    <w:p w14:paraId="023AD143" w14:textId="62A51073" w:rsidR="009A669D" w:rsidRPr="009A669D" w:rsidRDefault="009A669D" w:rsidP="009A669D">
      <w:pPr>
        <w:pStyle w:val="NormalWeb"/>
        <w:numPr>
          <w:ilvl w:val="0"/>
          <w:numId w:val="8"/>
        </w:numPr>
      </w:pPr>
      <w:r w:rsidRPr="009A669D">
        <w:t>CPI increased steadily, showing rising inflation over the period.</w:t>
      </w:r>
    </w:p>
    <w:p w14:paraId="6C9095C3" w14:textId="31036A0F" w:rsidR="009A669D" w:rsidRPr="009A669D" w:rsidRDefault="009A669D" w:rsidP="009A669D">
      <w:pPr>
        <w:pStyle w:val="NormalWeb"/>
        <w:numPr>
          <w:ilvl w:val="0"/>
          <w:numId w:val="8"/>
        </w:numPr>
      </w:pPr>
      <w:r w:rsidRPr="009A669D">
        <w:t xml:space="preserve">The average index level was around 289, </w:t>
      </w:r>
      <w:proofErr w:type="gramStart"/>
      <w:r w:rsidRPr="009A669D">
        <w:t>peaking</w:t>
      </w:r>
      <w:proofErr w:type="gramEnd"/>
      <w:r w:rsidRPr="009A669D">
        <w:t xml:space="preserve"> over 319 in 2025.</w:t>
      </w:r>
    </w:p>
    <w:p w14:paraId="10BA3C6B" w14:textId="01CE5AA5" w:rsidR="009A669D" w:rsidRPr="00B5728B" w:rsidRDefault="009A669D" w:rsidP="009A669D">
      <w:pPr>
        <w:pStyle w:val="NormalWeb"/>
        <w:numPr>
          <w:ilvl w:val="0"/>
          <w:numId w:val="8"/>
        </w:numPr>
      </w:pPr>
      <w:r w:rsidRPr="00B5728B">
        <w:t>This supports gold's role as an inflation hedge.</w:t>
      </w:r>
    </w:p>
    <w:p w14:paraId="0C4B8C85" w14:textId="31B75CD8" w:rsidR="002F1C46" w:rsidRPr="00B5728B" w:rsidRDefault="002F1C46" w:rsidP="002F1C46">
      <w:pPr>
        <w:pStyle w:val="NormalWeb"/>
      </w:pPr>
      <w:r w:rsidRPr="00B5728B">
        <w:t>Inflation Data (CPIAUCSL)</w:t>
      </w:r>
    </w:p>
    <w:p w14:paraId="3B29AE59" w14:textId="57BBEF6E" w:rsidR="002F1C46" w:rsidRPr="00B5728B" w:rsidRDefault="002F1C46" w:rsidP="002F1C46">
      <w:pPr>
        <w:pStyle w:val="NormalWeb"/>
      </w:pPr>
      <w:r w:rsidRPr="00B5728B">
        <w:t xml:space="preserve">Inflation </w:t>
      </w:r>
      <w:proofErr w:type="gramStart"/>
      <w:r w:rsidRPr="00B5728B">
        <w:t>share</w:t>
      </w:r>
      <w:proofErr w:type="gramEnd"/>
      <w:r w:rsidRPr="00B5728B">
        <w:t xml:space="preserve"> the same insights </w:t>
      </w:r>
      <w:proofErr w:type="gramStart"/>
      <w:r w:rsidRPr="00B5728B">
        <w:t>with</w:t>
      </w:r>
      <w:proofErr w:type="gramEnd"/>
      <w:r w:rsidRPr="00B5728B">
        <w:t xml:space="preserve"> CPI. </w:t>
      </w:r>
    </w:p>
    <w:p w14:paraId="43E17F2B" w14:textId="77777777" w:rsidR="00E57FE0" w:rsidRPr="00B5728B" w:rsidRDefault="00E57FE0" w:rsidP="002F1C46">
      <w:pPr>
        <w:pStyle w:val="NormalWeb"/>
      </w:pPr>
    </w:p>
    <w:p w14:paraId="57DB8D70" w14:textId="77777777" w:rsidR="00E57FE0" w:rsidRPr="00B5728B" w:rsidRDefault="00E57FE0" w:rsidP="002F1C46">
      <w:pPr>
        <w:pStyle w:val="NormalWeb"/>
      </w:pPr>
    </w:p>
    <w:p w14:paraId="2470AD6B" w14:textId="77777777" w:rsidR="00E57FE0" w:rsidRPr="00B5728B" w:rsidRDefault="00E57FE0" w:rsidP="002F1C46">
      <w:pPr>
        <w:pStyle w:val="NormalWeb"/>
      </w:pPr>
    </w:p>
    <w:p w14:paraId="6E16CADB" w14:textId="355077B1" w:rsidR="002F1C46" w:rsidRPr="00B5728B" w:rsidRDefault="002F1C46" w:rsidP="002F1C46">
      <w:pPr>
        <w:pStyle w:val="NormalWeb"/>
      </w:pPr>
      <w:r w:rsidRPr="00B5728B">
        <w:t xml:space="preserve">10 years Treasure Yield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375"/>
      </w:tblGrid>
      <w:tr w:rsidR="002F1C46" w:rsidRPr="002F1C46" w14:paraId="61A804C2" w14:textId="77777777" w:rsidTr="00E57FE0">
        <w:trPr>
          <w:tblHeader/>
          <w:tblCellSpacing w:w="15" w:type="dxa"/>
        </w:trPr>
        <w:tc>
          <w:tcPr>
            <w:tcW w:w="0" w:type="auto"/>
            <w:vAlign w:val="center"/>
            <w:hideMark/>
          </w:tcPr>
          <w:p w14:paraId="67EAB27F" w14:textId="77777777" w:rsidR="002F1C46" w:rsidRPr="002F1C46" w:rsidRDefault="002F1C46" w:rsidP="002F1C46">
            <w:pPr>
              <w:pStyle w:val="NormalWeb"/>
              <w:rPr>
                <w:b/>
                <w:bCs/>
              </w:rPr>
            </w:pPr>
            <w:r w:rsidRPr="002F1C46">
              <w:rPr>
                <w:b/>
                <w:bCs/>
              </w:rPr>
              <w:t>Metric</w:t>
            </w:r>
          </w:p>
        </w:tc>
        <w:tc>
          <w:tcPr>
            <w:tcW w:w="0" w:type="auto"/>
            <w:vAlign w:val="center"/>
            <w:hideMark/>
          </w:tcPr>
          <w:p w14:paraId="31CEB2A4" w14:textId="77777777" w:rsidR="002F1C46" w:rsidRPr="002F1C46" w:rsidRDefault="002F1C46" w:rsidP="002F1C46">
            <w:pPr>
              <w:pStyle w:val="NormalWeb"/>
              <w:rPr>
                <w:b/>
                <w:bCs/>
              </w:rPr>
            </w:pPr>
            <w:r w:rsidRPr="002F1C46">
              <w:rPr>
                <w:b/>
                <w:bCs/>
              </w:rPr>
              <w:t>Yield (%)</w:t>
            </w:r>
          </w:p>
        </w:tc>
      </w:tr>
      <w:tr w:rsidR="002F1C46" w:rsidRPr="002F1C46" w14:paraId="2CB84634" w14:textId="77777777" w:rsidTr="00E57FE0">
        <w:trPr>
          <w:tblCellSpacing w:w="15" w:type="dxa"/>
        </w:trPr>
        <w:tc>
          <w:tcPr>
            <w:tcW w:w="0" w:type="auto"/>
            <w:vAlign w:val="center"/>
            <w:hideMark/>
          </w:tcPr>
          <w:p w14:paraId="05CB75C0" w14:textId="77777777" w:rsidR="002F1C46" w:rsidRPr="002F1C46" w:rsidRDefault="002F1C46" w:rsidP="002F1C46">
            <w:pPr>
              <w:pStyle w:val="NormalWeb"/>
            </w:pPr>
            <w:r w:rsidRPr="002F1C46">
              <w:t>Count</w:t>
            </w:r>
          </w:p>
        </w:tc>
        <w:tc>
          <w:tcPr>
            <w:tcW w:w="0" w:type="auto"/>
            <w:vAlign w:val="center"/>
            <w:hideMark/>
          </w:tcPr>
          <w:p w14:paraId="6970F01C" w14:textId="77777777" w:rsidR="002F1C46" w:rsidRPr="002F1C46" w:rsidRDefault="002F1C46" w:rsidP="002F1C46">
            <w:pPr>
              <w:pStyle w:val="NormalWeb"/>
            </w:pPr>
            <w:r w:rsidRPr="002F1C46">
              <w:t>61 months</w:t>
            </w:r>
          </w:p>
        </w:tc>
      </w:tr>
      <w:tr w:rsidR="002F1C46" w:rsidRPr="002F1C46" w14:paraId="7FAC5B3B" w14:textId="77777777" w:rsidTr="00E57FE0">
        <w:trPr>
          <w:tblCellSpacing w:w="15" w:type="dxa"/>
        </w:trPr>
        <w:tc>
          <w:tcPr>
            <w:tcW w:w="0" w:type="auto"/>
            <w:vAlign w:val="center"/>
            <w:hideMark/>
          </w:tcPr>
          <w:p w14:paraId="3469FF2D" w14:textId="77777777" w:rsidR="002F1C46" w:rsidRPr="002F1C46" w:rsidRDefault="002F1C46" w:rsidP="002F1C46">
            <w:pPr>
              <w:pStyle w:val="NormalWeb"/>
            </w:pPr>
            <w:r w:rsidRPr="002F1C46">
              <w:t>Mean</w:t>
            </w:r>
          </w:p>
        </w:tc>
        <w:tc>
          <w:tcPr>
            <w:tcW w:w="0" w:type="auto"/>
            <w:vAlign w:val="center"/>
            <w:hideMark/>
          </w:tcPr>
          <w:p w14:paraId="616F235C" w14:textId="77777777" w:rsidR="002F1C46" w:rsidRPr="002F1C46" w:rsidRDefault="002F1C46" w:rsidP="002F1C46">
            <w:pPr>
              <w:pStyle w:val="NormalWeb"/>
            </w:pPr>
            <w:r w:rsidRPr="002F1C46">
              <w:t>2.72%</w:t>
            </w:r>
          </w:p>
        </w:tc>
      </w:tr>
      <w:tr w:rsidR="002F1C46" w:rsidRPr="002F1C46" w14:paraId="2F2B496B" w14:textId="77777777" w:rsidTr="00E57FE0">
        <w:trPr>
          <w:tblCellSpacing w:w="15" w:type="dxa"/>
        </w:trPr>
        <w:tc>
          <w:tcPr>
            <w:tcW w:w="0" w:type="auto"/>
            <w:vAlign w:val="center"/>
            <w:hideMark/>
          </w:tcPr>
          <w:p w14:paraId="1234EC55" w14:textId="77777777" w:rsidR="002F1C46" w:rsidRPr="002F1C46" w:rsidRDefault="002F1C46" w:rsidP="002F1C46">
            <w:pPr>
              <w:pStyle w:val="NormalWeb"/>
            </w:pPr>
            <w:r w:rsidRPr="002F1C46">
              <w:t>Min–Max</w:t>
            </w:r>
          </w:p>
        </w:tc>
        <w:tc>
          <w:tcPr>
            <w:tcW w:w="0" w:type="auto"/>
            <w:vAlign w:val="center"/>
            <w:hideMark/>
          </w:tcPr>
          <w:p w14:paraId="135B4323" w14:textId="77777777" w:rsidR="002F1C46" w:rsidRPr="002F1C46" w:rsidRDefault="002F1C46" w:rsidP="002F1C46">
            <w:pPr>
              <w:pStyle w:val="NormalWeb"/>
            </w:pPr>
            <w:r w:rsidRPr="002F1C46">
              <w:t>0.62 – 4.80%</w:t>
            </w:r>
          </w:p>
        </w:tc>
      </w:tr>
      <w:tr w:rsidR="002F1C46" w:rsidRPr="002F1C46" w14:paraId="3C7BE22A" w14:textId="77777777" w:rsidTr="00E57FE0">
        <w:trPr>
          <w:tblCellSpacing w:w="15" w:type="dxa"/>
        </w:trPr>
        <w:tc>
          <w:tcPr>
            <w:tcW w:w="0" w:type="auto"/>
            <w:vAlign w:val="center"/>
            <w:hideMark/>
          </w:tcPr>
          <w:p w14:paraId="2AAC4E16" w14:textId="77777777" w:rsidR="002F1C46" w:rsidRPr="002F1C46" w:rsidRDefault="002F1C46" w:rsidP="002F1C46">
            <w:pPr>
              <w:pStyle w:val="NormalWeb"/>
            </w:pPr>
            <w:r w:rsidRPr="002F1C46">
              <w:t>Std. Dev</w:t>
            </w:r>
          </w:p>
        </w:tc>
        <w:tc>
          <w:tcPr>
            <w:tcW w:w="0" w:type="auto"/>
            <w:vAlign w:val="center"/>
            <w:hideMark/>
          </w:tcPr>
          <w:p w14:paraId="2F3C6F05" w14:textId="77777777" w:rsidR="002F1C46" w:rsidRPr="002F1C46" w:rsidRDefault="002F1C46" w:rsidP="002F1C46">
            <w:pPr>
              <w:pStyle w:val="NormalWeb"/>
            </w:pPr>
            <w:r w:rsidRPr="002F1C46">
              <w:t>1.41</w:t>
            </w:r>
          </w:p>
        </w:tc>
      </w:tr>
    </w:tbl>
    <w:p w14:paraId="089FCFB0" w14:textId="77777777" w:rsidR="00E57FE0" w:rsidRPr="00B5728B" w:rsidRDefault="00E57FE0" w:rsidP="00E57FE0">
      <w:pPr>
        <w:pStyle w:val="NormalWeb"/>
      </w:pPr>
      <w:r w:rsidRPr="00B5728B">
        <w:t>Insight</w:t>
      </w:r>
    </w:p>
    <w:p w14:paraId="43B3A1D2" w14:textId="77777777" w:rsidR="00E57FE0" w:rsidRPr="00B5728B" w:rsidRDefault="00E57FE0" w:rsidP="00E57FE0">
      <w:pPr>
        <w:pStyle w:val="NormalWeb"/>
        <w:numPr>
          <w:ilvl w:val="0"/>
          <w:numId w:val="10"/>
        </w:numPr>
      </w:pPr>
      <w:r w:rsidRPr="00E57FE0">
        <w:t xml:space="preserve">Treasury yields started very low and climbed steadily, peaking at </w:t>
      </w:r>
      <w:r w:rsidRPr="00E57FE0">
        <w:rPr>
          <w:b/>
          <w:bCs/>
        </w:rPr>
        <w:t>4.8%</w:t>
      </w:r>
      <w:r w:rsidRPr="00E57FE0">
        <w:t>.</w:t>
      </w:r>
    </w:p>
    <w:p w14:paraId="746394EA" w14:textId="77777777" w:rsidR="00E57FE0" w:rsidRPr="00B5728B" w:rsidRDefault="00E57FE0" w:rsidP="00E57FE0">
      <w:pPr>
        <w:pStyle w:val="NormalWeb"/>
        <w:numPr>
          <w:ilvl w:val="0"/>
          <w:numId w:val="10"/>
        </w:numPr>
      </w:pPr>
      <w:r w:rsidRPr="00E57FE0">
        <w:t xml:space="preserve">This reflects the </w:t>
      </w:r>
      <w:r w:rsidRPr="00E57FE0">
        <w:rPr>
          <w:b/>
          <w:bCs/>
        </w:rPr>
        <w:t>Fed’s tightening policy</w:t>
      </w:r>
      <w:r w:rsidRPr="00E57FE0">
        <w:t xml:space="preserve"> to fight inflation.</w:t>
      </w:r>
    </w:p>
    <w:p w14:paraId="7ADA00DE" w14:textId="70F14EA9" w:rsidR="00E57FE0" w:rsidRPr="00B5728B" w:rsidRDefault="00E57FE0" w:rsidP="00E57FE0">
      <w:pPr>
        <w:pStyle w:val="NormalWeb"/>
        <w:numPr>
          <w:ilvl w:val="0"/>
          <w:numId w:val="10"/>
        </w:numPr>
      </w:pPr>
      <w:r w:rsidRPr="00E57FE0">
        <w:t xml:space="preserve">Higher yields often make bonds more attractive than gold, putting </w:t>
      </w:r>
      <w:r w:rsidRPr="00E57FE0">
        <w:rPr>
          <w:b/>
          <w:bCs/>
        </w:rPr>
        <w:t>downward pressure on gold prices</w:t>
      </w:r>
      <w:r w:rsidRPr="00E57FE0">
        <w:t>.</w:t>
      </w:r>
    </w:p>
    <w:p w14:paraId="6E8A611F" w14:textId="2B46B610" w:rsidR="00E57FE0" w:rsidRPr="00E57FE0" w:rsidRDefault="00E57FE0" w:rsidP="00E57FE0">
      <w:pPr>
        <w:pStyle w:val="NormalWeb"/>
      </w:pPr>
      <w:r w:rsidRPr="00B5728B">
        <w:t>Cause and Effect Summary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4"/>
        <w:gridCol w:w="66"/>
        <w:gridCol w:w="66"/>
        <w:gridCol w:w="66"/>
        <w:gridCol w:w="66"/>
        <w:gridCol w:w="66"/>
        <w:gridCol w:w="66"/>
        <w:gridCol w:w="1020"/>
        <w:gridCol w:w="66"/>
        <w:gridCol w:w="66"/>
        <w:gridCol w:w="66"/>
        <w:gridCol w:w="2532"/>
      </w:tblGrid>
      <w:tr w:rsidR="00E57FE0" w:rsidRPr="00B5728B" w14:paraId="3EB40E33" w14:textId="77777777" w:rsidTr="00D148BD">
        <w:trPr>
          <w:tblHeader/>
          <w:tblCellSpacing w:w="15" w:type="dxa"/>
        </w:trPr>
        <w:tc>
          <w:tcPr>
            <w:tcW w:w="0" w:type="auto"/>
            <w:vAlign w:val="center"/>
            <w:hideMark/>
          </w:tcPr>
          <w:p w14:paraId="149A4C7F" w14:textId="77777777" w:rsidR="00E57FE0" w:rsidRPr="00E57FE0" w:rsidRDefault="00E57FE0" w:rsidP="00E57FE0">
            <w:pPr>
              <w:pStyle w:val="NormalWeb"/>
              <w:rPr>
                <w:b/>
                <w:bCs/>
              </w:rPr>
            </w:pPr>
            <w:r w:rsidRPr="00E57FE0">
              <w:rPr>
                <w:b/>
                <w:bCs/>
              </w:rPr>
              <w:lastRenderedPageBreak/>
              <w:t>Indicator</w:t>
            </w:r>
          </w:p>
        </w:tc>
        <w:tc>
          <w:tcPr>
            <w:tcW w:w="0" w:type="auto"/>
          </w:tcPr>
          <w:p w14:paraId="5547E53E" w14:textId="77777777" w:rsidR="00E57FE0" w:rsidRPr="00B5728B" w:rsidRDefault="00E57FE0" w:rsidP="00E57FE0">
            <w:pPr>
              <w:pStyle w:val="NormalWeb"/>
              <w:rPr>
                <w:b/>
                <w:bCs/>
              </w:rPr>
            </w:pPr>
          </w:p>
        </w:tc>
        <w:tc>
          <w:tcPr>
            <w:tcW w:w="0" w:type="auto"/>
          </w:tcPr>
          <w:p w14:paraId="27ED7860" w14:textId="77777777" w:rsidR="00E57FE0" w:rsidRPr="00B5728B" w:rsidRDefault="00E57FE0" w:rsidP="00E57FE0">
            <w:pPr>
              <w:pStyle w:val="NormalWeb"/>
              <w:rPr>
                <w:b/>
                <w:bCs/>
              </w:rPr>
            </w:pPr>
          </w:p>
        </w:tc>
        <w:tc>
          <w:tcPr>
            <w:tcW w:w="0" w:type="auto"/>
          </w:tcPr>
          <w:p w14:paraId="299056CA" w14:textId="56196967" w:rsidR="00E57FE0" w:rsidRPr="00B5728B" w:rsidRDefault="00E57FE0" w:rsidP="00E57FE0">
            <w:pPr>
              <w:pStyle w:val="NormalWeb"/>
              <w:rPr>
                <w:b/>
                <w:bCs/>
              </w:rPr>
            </w:pPr>
          </w:p>
        </w:tc>
        <w:tc>
          <w:tcPr>
            <w:tcW w:w="0" w:type="auto"/>
          </w:tcPr>
          <w:p w14:paraId="63760F47" w14:textId="5CD9C611" w:rsidR="00E57FE0" w:rsidRPr="00B5728B" w:rsidRDefault="00E57FE0" w:rsidP="00E57FE0">
            <w:pPr>
              <w:pStyle w:val="NormalWeb"/>
              <w:rPr>
                <w:b/>
                <w:bCs/>
              </w:rPr>
            </w:pPr>
          </w:p>
        </w:tc>
        <w:tc>
          <w:tcPr>
            <w:tcW w:w="0" w:type="auto"/>
          </w:tcPr>
          <w:p w14:paraId="35055199" w14:textId="70D62C80" w:rsidR="00E57FE0" w:rsidRPr="00B5728B" w:rsidRDefault="00E57FE0" w:rsidP="00E57FE0">
            <w:pPr>
              <w:pStyle w:val="NormalWeb"/>
              <w:rPr>
                <w:b/>
                <w:bCs/>
              </w:rPr>
            </w:pPr>
          </w:p>
        </w:tc>
        <w:tc>
          <w:tcPr>
            <w:tcW w:w="0" w:type="auto"/>
          </w:tcPr>
          <w:p w14:paraId="05F748F5" w14:textId="659234ED" w:rsidR="00E57FE0" w:rsidRPr="00B5728B" w:rsidRDefault="00E57FE0" w:rsidP="00E57FE0">
            <w:pPr>
              <w:pStyle w:val="NormalWeb"/>
              <w:rPr>
                <w:b/>
                <w:bCs/>
              </w:rPr>
            </w:pPr>
          </w:p>
        </w:tc>
        <w:tc>
          <w:tcPr>
            <w:tcW w:w="0" w:type="auto"/>
            <w:vAlign w:val="center"/>
            <w:hideMark/>
          </w:tcPr>
          <w:p w14:paraId="7E755224" w14:textId="08BE4204" w:rsidR="00E57FE0" w:rsidRPr="00E57FE0" w:rsidRDefault="00E57FE0" w:rsidP="00E57FE0">
            <w:pPr>
              <w:pStyle w:val="NormalWeb"/>
              <w:rPr>
                <w:b/>
                <w:bCs/>
              </w:rPr>
            </w:pPr>
            <w:r w:rsidRPr="00E57FE0">
              <w:rPr>
                <w:b/>
                <w:bCs/>
              </w:rPr>
              <w:t>Direction</w:t>
            </w:r>
          </w:p>
        </w:tc>
        <w:tc>
          <w:tcPr>
            <w:tcW w:w="0" w:type="auto"/>
          </w:tcPr>
          <w:p w14:paraId="5E3C5D75" w14:textId="77777777" w:rsidR="00E57FE0" w:rsidRPr="00B5728B" w:rsidRDefault="00E57FE0" w:rsidP="00E57FE0">
            <w:pPr>
              <w:pStyle w:val="NormalWeb"/>
              <w:rPr>
                <w:b/>
                <w:bCs/>
              </w:rPr>
            </w:pPr>
          </w:p>
        </w:tc>
        <w:tc>
          <w:tcPr>
            <w:tcW w:w="0" w:type="auto"/>
          </w:tcPr>
          <w:p w14:paraId="049E8F39" w14:textId="77777777" w:rsidR="00E57FE0" w:rsidRPr="00B5728B" w:rsidRDefault="00E57FE0" w:rsidP="00E57FE0">
            <w:pPr>
              <w:pStyle w:val="NormalWeb"/>
              <w:rPr>
                <w:b/>
                <w:bCs/>
              </w:rPr>
            </w:pPr>
          </w:p>
        </w:tc>
        <w:tc>
          <w:tcPr>
            <w:tcW w:w="0" w:type="auto"/>
          </w:tcPr>
          <w:p w14:paraId="00C6B3A8" w14:textId="332A9B8F" w:rsidR="00E57FE0" w:rsidRPr="00B5728B" w:rsidRDefault="00E57FE0" w:rsidP="00E57FE0">
            <w:pPr>
              <w:pStyle w:val="NormalWeb"/>
              <w:rPr>
                <w:b/>
                <w:bCs/>
              </w:rPr>
            </w:pPr>
          </w:p>
        </w:tc>
        <w:tc>
          <w:tcPr>
            <w:tcW w:w="0" w:type="auto"/>
            <w:vAlign w:val="center"/>
            <w:hideMark/>
          </w:tcPr>
          <w:p w14:paraId="75DD1D25" w14:textId="74A88A18" w:rsidR="00E57FE0" w:rsidRPr="00E57FE0" w:rsidRDefault="00E57FE0" w:rsidP="00E57FE0">
            <w:pPr>
              <w:pStyle w:val="NormalWeb"/>
              <w:rPr>
                <w:b/>
                <w:bCs/>
              </w:rPr>
            </w:pPr>
            <w:r w:rsidRPr="00E57FE0">
              <w:rPr>
                <w:b/>
                <w:bCs/>
              </w:rPr>
              <w:t>Gold Reaction</w:t>
            </w:r>
          </w:p>
        </w:tc>
      </w:tr>
      <w:tr w:rsidR="00E57FE0" w:rsidRPr="00B5728B" w14:paraId="6E0B82DF" w14:textId="77777777" w:rsidTr="00D148BD">
        <w:trPr>
          <w:tblCellSpacing w:w="15" w:type="dxa"/>
        </w:trPr>
        <w:tc>
          <w:tcPr>
            <w:tcW w:w="0" w:type="auto"/>
            <w:vAlign w:val="center"/>
            <w:hideMark/>
          </w:tcPr>
          <w:p w14:paraId="1C919AD0" w14:textId="77777777" w:rsidR="00E57FE0" w:rsidRPr="00E57FE0" w:rsidRDefault="00E57FE0" w:rsidP="00E57FE0">
            <w:pPr>
              <w:pStyle w:val="NormalWeb"/>
            </w:pPr>
            <w:r w:rsidRPr="00E57FE0">
              <w:rPr>
                <w:rFonts w:ascii="Segoe UI Emoji" w:hAnsi="Segoe UI Emoji" w:cs="Segoe UI Emoji"/>
              </w:rPr>
              <w:t>📉</w:t>
            </w:r>
            <w:r w:rsidRPr="00E57FE0">
              <w:t xml:space="preserve"> DXY ↓ (weak dollar)</w:t>
            </w:r>
          </w:p>
        </w:tc>
        <w:tc>
          <w:tcPr>
            <w:tcW w:w="0" w:type="auto"/>
          </w:tcPr>
          <w:p w14:paraId="22128AAA" w14:textId="77777777" w:rsidR="00E57FE0" w:rsidRPr="00B5728B" w:rsidRDefault="00E57FE0" w:rsidP="00E57FE0">
            <w:pPr>
              <w:pStyle w:val="NormalWeb"/>
            </w:pPr>
          </w:p>
        </w:tc>
        <w:tc>
          <w:tcPr>
            <w:tcW w:w="0" w:type="auto"/>
          </w:tcPr>
          <w:p w14:paraId="2E06AFEF" w14:textId="77777777" w:rsidR="00E57FE0" w:rsidRPr="00B5728B" w:rsidRDefault="00E57FE0" w:rsidP="00E57FE0">
            <w:pPr>
              <w:pStyle w:val="NormalWeb"/>
            </w:pPr>
          </w:p>
        </w:tc>
        <w:tc>
          <w:tcPr>
            <w:tcW w:w="0" w:type="auto"/>
          </w:tcPr>
          <w:p w14:paraId="3956C5F8" w14:textId="5C2FBA30" w:rsidR="00E57FE0" w:rsidRPr="00B5728B" w:rsidRDefault="00E57FE0" w:rsidP="00E57FE0">
            <w:pPr>
              <w:pStyle w:val="NormalWeb"/>
            </w:pPr>
          </w:p>
        </w:tc>
        <w:tc>
          <w:tcPr>
            <w:tcW w:w="0" w:type="auto"/>
          </w:tcPr>
          <w:p w14:paraId="62C67417" w14:textId="215E4A58" w:rsidR="00E57FE0" w:rsidRPr="00B5728B" w:rsidRDefault="00E57FE0" w:rsidP="00E57FE0">
            <w:pPr>
              <w:pStyle w:val="NormalWeb"/>
            </w:pPr>
          </w:p>
        </w:tc>
        <w:tc>
          <w:tcPr>
            <w:tcW w:w="0" w:type="auto"/>
          </w:tcPr>
          <w:p w14:paraId="422FF576" w14:textId="4334FC79" w:rsidR="00E57FE0" w:rsidRPr="00B5728B" w:rsidRDefault="00E57FE0" w:rsidP="00E57FE0">
            <w:pPr>
              <w:pStyle w:val="NormalWeb"/>
            </w:pPr>
          </w:p>
        </w:tc>
        <w:tc>
          <w:tcPr>
            <w:tcW w:w="0" w:type="auto"/>
          </w:tcPr>
          <w:p w14:paraId="47581ECA" w14:textId="28182AD5" w:rsidR="00E57FE0" w:rsidRPr="00B5728B" w:rsidRDefault="00E57FE0" w:rsidP="00E57FE0">
            <w:pPr>
              <w:pStyle w:val="NormalWeb"/>
            </w:pPr>
          </w:p>
        </w:tc>
        <w:tc>
          <w:tcPr>
            <w:tcW w:w="0" w:type="auto"/>
            <w:vAlign w:val="center"/>
            <w:hideMark/>
          </w:tcPr>
          <w:p w14:paraId="18ECE0B3" w14:textId="7AB686A3" w:rsidR="00E57FE0" w:rsidRPr="00E57FE0" w:rsidRDefault="00E57FE0" w:rsidP="00E57FE0">
            <w:pPr>
              <w:pStyle w:val="NormalWeb"/>
            </w:pPr>
            <w:r w:rsidRPr="00E57FE0">
              <w:t>Down</w:t>
            </w:r>
          </w:p>
        </w:tc>
        <w:tc>
          <w:tcPr>
            <w:tcW w:w="0" w:type="auto"/>
          </w:tcPr>
          <w:p w14:paraId="6A448F0D" w14:textId="77777777" w:rsidR="00E57FE0" w:rsidRPr="00B5728B" w:rsidRDefault="00E57FE0" w:rsidP="00E57FE0">
            <w:pPr>
              <w:pStyle w:val="NormalWeb"/>
            </w:pPr>
          </w:p>
        </w:tc>
        <w:tc>
          <w:tcPr>
            <w:tcW w:w="0" w:type="auto"/>
          </w:tcPr>
          <w:p w14:paraId="7C9A4C84" w14:textId="77777777" w:rsidR="00E57FE0" w:rsidRPr="00B5728B" w:rsidRDefault="00E57FE0" w:rsidP="00E57FE0">
            <w:pPr>
              <w:pStyle w:val="NormalWeb"/>
            </w:pPr>
          </w:p>
        </w:tc>
        <w:tc>
          <w:tcPr>
            <w:tcW w:w="0" w:type="auto"/>
          </w:tcPr>
          <w:p w14:paraId="73492C84" w14:textId="51E9421E" w:rsidR="00E57FE0" w:rsidRPr="00B5728B" w:rsidRDefault="00E57FE0" w:rsidP="00E57FE0">
            <w:pPr>
              <w:pStyle w:val="NormalWeb"/>
            </w:pPr>
          </w:p>
        </w:tc>
        <w:tc>
          <w:tcPr>
            <w:tcW w:w="0" w:type="auto"/>
            <w:vAlign w:val="center"/>
            <w:hideMark/>
          </w:tcPr>
          <w:p w14:paraId="52750346" w14:textId="61E6EE19" w:rsidR="00E57FE0" w:rsidRPr="00E57FE0" w:rsidRDefault="00E57FE0" w:rsidP="00E57FE0">
            <w:pPr>
              <w:pStyle w:val="NormalWeb"/>
            </w:pPr>
            <w:r w:rsidRPr="00E57FE0">
              <w:t>Gold ↑</w:t>
            </w:r>
          </w:p>
        </w:tc>
      </w:tr>
      <w:tr w:rsidR="00E57FE0" w:rsidRPr="00B5728B" w14:paraId="0134DC66" w14:textId="77777777" w:rsidTr="00D148BD">
        <w:trPr>
          <w:tblCellSpacing w:w="15" w:type="dxa"/>
        </w:trPr>
        <w:tc>
          <w:tcPr>
            <w:tcW w:w="0" w:type="auto"/>
            <w:vAlign w:val="center"/>
            <w:hideMark/>
          </w:tcPr>
          <w:p w14:paraId="4AA89B2C" w14:textId="77777777" w:rsidR="00E57FE0" w:rsidRPr="00E57FE0" w:rsidRDefault="00E57FE0" w:rsidP="00E57FE0">
            <w:pPr>
              <w:pStyle w:val="NormalWeb"/>
            </w:pPr>
            <w:r w:rsidRPr="00E57FE0">
              <w:rPr>
                <w:rFonts w:ascii="Segoe UI Emoji" w:hAnsi="Segoe UI Emoji" w:cs="Segoe UI Emoji"/>
              </w:rPr>
              <w:t>📈</w:t>
            </w:r>
            <w:r w:rsidRPr="00E57FE0">
              <w:t xml:space="preserve"> CPI ↑ (inflation)</w:t>
            </w:r>
          </w:p>
        </w:tc>
        <w:tc>
          <w:tcPr>
            <w:tcW w:w="0" w:type="auto"/>
          </w:tcPr>
          <w:p w14:paraId="0A5A33BB" w14:textId="77777777" w:rsidR="00E57FE0" w:rsidRPr="00B5728B" w:rsidRDefault="00E57FE0" w:rsidP="00E57FE0">
            <w:pPr>
              <w:pStyle w:val="NormalWeb"/>
            </w:pPr>
          </w:p>
        </w:tc>
        <w:tc>
          <w:tcPr>
            <w:tcW w:w="0" w:type="auto"/>
          </w:tcPr>
          <w:p w14:paraId="58997365" w14:textId="77777777" w:rsidR="00E57FE0" w:rsidRPr="00B5728B" w:rsidRDefault="00E57FE0" w:rsidP="00E57FE0">
            <w:pPr>
              <w:pStyle w:val="NormalWeb"/>
            </w:pPr>
          </w:p>
        </w:tc>
        <w:tc>
          <w:tcPr>
            <w:tcW w:w="0" w:type="auto"/>
          </w:tcPr>
          <w:p w14:paraId="78B5A29D" w14:textId="51983E43" w:rsidR="00E57FE0" w:rsidRPr="00B5728B" w:rsidRDefault="00E57FE0" w:rsidP="00E57FE0">
            <w:pPr>
              <w:pStyle w:val="NormalWeb"/>
            </w:pPr>
          </w:p>
        </w:tc>
        <w:tc>
          <w:tcPr>
            <w:tcW w:w="0" w:type="auto"/>
          </w:tcPr>
          <w:p w14:paraId="78D3FECC" w14:textId="50F5972E" w:rsidR="00E57FE0" w:rsidRPr="00B5728B" w:rsidRDefault="00E57FE0" w:rsidP="00E57FE0">
            <w:pPr>
              <w:pStyle w:val="NormalWeb"/>
            </w:pPr>
          </w:p>
        </w:tc>
        <w:tc>
          <w:tcPr>
            <w:tcW w:w="0" w:type="auto"/>
          </w:tcPr>
          <w:p w14:paraId="267687C2" w14:textId="726070CB" w:rsidR="00E57FE0" w:rsidRPr="00B5728B" w:rsidRDefault="00E57FE0" w:rsidP="00E57FE0">
            <w:pPr>
              <w:pStyle w:val="NormalWeb"/>
            </w:pPr>
          </w:p>
        </w:tc>
        <w:tc>
          <w:tcPr>
            <w:tcW w:w="0" w:type="auto"/>
          </w:tcPr>
          <w:p w14:paraId="5475AFF7" w14:textId="44E87FAA" w:rsidR="00E57FE0" w:rsidRPr="00B5728B" w:rsidRDefault="00E57FE0" w:rsidP="00E57FE0">
            <w:pPr>
              <w:pStyle w:val="NormalWeb"/>
            </w:pPr>
          </w:p>
        </w:tc>
        <w:tc>
          <w:tcPr>
            <w:tcW w:w="0" w:type="auto"/>
            <w:vAlign w:val="center"/>
            <w:hideMark/>
          </w:tcPr>
          <w:p w14:paraId="4155D20F" w14:textId="1AA203BA" w:rsidR="00E57FE0" w:rsidRPr="00E57FE0" w:rsidRDefault="00E57FE0" w:rsidP="00E57FE0">
            <w:pPr>
              <w:pStyle w:val="NormalWeb"/>
            </w:pPr>
            <w:r w:rsidRPr="00E57FE0">
              <w:t>Up</w:t>
            </w:r>
          </w:p>
        </w:tc>
        <w:tc>
          <w:tcPr>
            <w:tcW w:w="0" w:type="auto"/>
          </w:tcPr>
          <w:p w14:paraId="625F6FE5" w14:textId="77777777" w:rsidR="00E57FE0" w:rsidRPr="00B5728B" w:rsidRDefault="00E57FE0" w:rsidP="00E57FE0">
            <w:pPr>
              <w:pStyle w:val="NormalWeb"/>
            </w:pPr>
          </w:p>
        </w:tc>
        <w:tc>
          <w:tcPr>
            <w:tcW w:w="0" w:type="auto"/>
          </w:tcPr>
          <w:p w14:paraId="4543B76B" w14:textId="77777777" w:rsidR="00E57FE0" w:rsidRPr="00B5728B" w:rsidRDefault="00E57FE0" w:rsidP="00E57FE0">
            <w:pPr>
              <w:pStyle w:val="NormalWeb"/>
            </w:pPr>
          </w:p>
        </w:tc>
        <w:tc>
          <w:tcPr>
            <w:tcW w:w="0" w:type="auto"/>
          </w:tcPr>
          <w:p w14:paraId="30A6AF59" w14:textId="46765911" w:rsidR="00E57FE0" w:rsidRPr="00B5728B" w:rsidRDefault="00E57FE0" w:rsidP="00E57FE0">
            <w:pPr>
              <w:pStyle w:val="NormalWeb"/>
            </w:pPr>
          </w:p>
        </w:tc>
        <w:tc>
          <w:tcPr>
            <w:tcW w:w="0" w:type="auto"/>
            <w:vAlign w:val="center"/>
            <w:hideMark/>
          </w:tcPr>
          <w:p w14:paraId="14685295" w14:textId="593DBDC9" w:rsidR="00E57FE0" w:rsidRPr="00E57FE0" w:rsidRDefault="00E57FE0" w:rsidP="00E57FE0">
            <w:pPr>
              <w:pStyle w:val="NormalWeb"/>
            </w:pPr>
            <w:r w:rsidRPr="00E57FE0">
              <w:t>Gold ↑ (hedge)</w:t>
            </w:r>
          </w:p>
        </w:tc>
      </w:tr>
      <w:tr w:rsidR="00E57FE0" w:rsidRPr="00B5728B" w14:paraId="21D9BC97" w14:textId="77777777" w:rsidTr="00D148BD">
        <w:trPr>
          <w:tblCellSpacing w:w="15" w:type="dxa"/>
        </w:trPr>
        <w:tc>
          <w:tcPr>
            <w:tcW w:w="0" w:type="auto"/>
            <w:vAlign w:val="center"/>
            <w:hideMark/>
          </w:tcPr>
          <w:p w14:paraId="63F7E65B" w14:textId="77777777" w:rsidR="00E57FE0" w:rsidRPr="00E57FE0" w:rsidRDefault="00E57FE0" w:rsidP="00E57FE0">
            <w:pPr>
              <w:pStyle w:val="NormalWeb"/>
            </w:pPr>
            <w:r w:rsidRPr="00E57FE0">
              <w:rPr>
                <w:rFonts w:ascii="Segoe UI Emoji" w:hAnsi="Segoe UI Emoji" w:cs="Segoe UI Emoji"/>
              </w:rPr>
              <w:t>📈</w:t>
            </w:r>
            <w:r w:rsidRPr="00E57FE0">
              <w:t xml:space="preserve"> Fed Rate / Treasury ↑</w:t>
            </w:r>
          </w:p>
        </w:tc>
        <w:tc>
          <w:tcPr>
            <w:tcW w:w="0" w:type="auto"/>
          </w:tcPr>
          <w:p w14:paraId="485B5EE3" w14:textId="77777777" w:rsidR="00E57FE0" w:rsidRPr="00B5728B" w:rsidRDefault="00E57FE0" w:rsidP="00E57FE0">
            <w:pPr>
              <w:pStyle w:val="NormalWeb"/>
            </w:pPr>
          </w:p>
        </w:tc>
        <w:tc>
          <w:tcPr>
            <w:tcW w:w="0" w:type="auto"/>
          </w:tcPr>
          <w:p w14:paraId="43D3C18B" w14:textId="77777777" w:rsidR="00E57FE0" w:rsidRPr="00B5728B" w:rsidRDefault="00E57FE0" w:rsidP="00E57FE0">
            <w:pPr>
              <w:pStyle w:val="NormalWeb"/>
            </w:pPr>
          </w:p>
        </w:tc>
        <w:tc>
          <w:tcPr>
            <w:tcW w:w="0" w:type="auto"/>
          </w:tcPr>
          <w:p w14:paraId="1F42426E" w14:textId="11ECC87B" w:rsidR="00E57FE0" w:rsidRPr="00B5728B" w:rsidRDefault="00E57FE0" w:rsidP="00E57FE0">
            <w:pPr>
              <w:pStyle w:val="NormalWeb"/>
            </w:pPr>
          </w:p>
        </w:tc>
        <w:tc>
          <w:tcPr>
            <w:tcW w:w="0" w:type="auto"/>
          </w:tcPr>
          <w:p w14:paraId="5554BE04" w14:textId="6B2C583E" w:rsidR="00E57FE0" w:rsidRPr="00B5728B" w:rsidRDefault="00E57FE0" w:rsidP="00E57FE0">
            <w:pPr>
              <w:pStyle w:val="NormalWeb"/>
            </w:pPr>
          </w:p>
        </w:tc>
        <w:tc>
          <w:tcPr>
            <w:tcW w:w="0" w:type="auto"/>
          </w:tcPr>
          <w:p w14:paraId="1C8A58F8" w14:textId="77E2DD67" w:rsidR="00E57FE0" w:rsidRPr="00B5728B" w:rsidRDefault="00E57FE0" w:rsidP="00E57FE0">
            <w:pPr>
              <w:pStyle w:val="NormalWeb"/>
            </w:pPr>
          </w:p>
        </w:tc>
        <w:tc>
          <w:tcPr>
            <w:tcW w:w="0" w:type="auto"/>
          </w:tcPr>
          <w:p w14:paraId="277099A9" w14:textId="2C42DFA4" w:rsidR="00E57FE0" w:rsidRPr="00B5728B" w:rsidRDefault="00E57FE0" w:rsidP="00E57FE0">
            <w:pPr>
              <w:pStyle w:val="NormalWeb"/>
            </w:pPr>
          </w:p>
        </w:tc>
        <w:tc>
          <w:tcPr>
            <w:tcW w:w="0" w:type="auto"/>
            <w:vAlign w:val="center"/>
            <w:hideMark/>
          </w:tcPr>
          <w:p w14:paraId="384D1ED5" w14:textId="41EC75D1" w:rsidR="00E57FE0" w:rsidRPr="00E57FE0" w:rsidRDefault="00E57FE0" w:rsidP="00E57FE0">
            <w:pPr>
              <w:pStyle w:val="NormalWeb"/>
            </w:pPr>
            <w:r w:rsidRPr="00E57FE0">
              <w:t>Up</w:t>
            </w:r>
          </w:p>
        </w:tc>
        <w:tc>
          <w:tcPr>
            <w:tcW w:w="0" w:type="auto"/>
          </w:tcPr>
          <w:p w14:paraId="7F4E40BF" w14:textId="77777777" w:rsidR="00E57FE0" w:rsidRPr="00B5728B" w:rsidRDefault="00E57FE0" w:rsidP="00E57FE0">
            <w:pPr>
              <w:pStyle w:val="NormalWeb"/>
            </w:pPr>
          </w:p>
        </w:tc>
        <w:tc>
          <w:tcPr>
            <w:tcW w:w="0" w:type="auto"/>
          </w:tcPr>
          <w:p w14:paraId="27DC7C44" w14:textId="77777777" w:rsidR="00E57FE0" w:rsidRPr="00B5728B" w:rsidRDefault="00E57FE0" w:rsidP="00E57FE0">
            <w:pPr>
              <w:pStyle w:val="NormalWeb"/>
            </w:pPr>
          </w:p>
        </w:tc>
        <w:tc>
          <w:tcPr>
            <w:tcW w:w="0" w:type="auto"/>
          </w:tcPr>
          <w:p w14:paraId="26CF82EE" w14:textId="51E06055" w:rsidR="00E57FE0" w:rsidRPr="00B5728B" w:rsidRDefault="00E57FE0" w:rsidP="00E57FE0">
            <w:pPr>
              <w:pStyle w:val="NormalWeb"/>
            </w:pPr>
          </w:p>
        </w:tc>
        <w:tc>
          <w:tcPr>
            <w:tcW w:w="0" w:type="auto"/>
            <w:vAlign w:val="center"/>
            <w:hideMark/>
          </w:tcPr>
          <w:p w14:paraId="01A4944B" w14:textId="05A1AF52" w:rsidR="00E57FE0" w:rsidRPr="00E57FE0" w:rsidRDefault="00E57FE0" w:rsidP="00E57FE0">
            <w:pPr>
              <w:pStyle w:val="NormalWeb"/>
            </w:pPr>
            <w:r w:rsidRPr="00E57FE0">
              <w:t>Gold ↓ (opportunity cost)</w:t>
            </w:r>
          </w:p>
        </w:tc>
      </w:tr>
    </w:tbl>
    <w:p w14:paraId="5983D578" w14:textId="77777777" w:rsidR="002F1C46" w:rsidRPr="009A669D" w:rsidRDefault="002F1C46" w:rsidP="002F1C46">
      <w:pPr>
        <w:pStyle w:val="NormalWeb"/>
      </w:pPr>
    </w:p>
    <w:p w14:paraId="72EB5D10" w14:textId="77777777" w:rsidR="00D47A64" w:rsidRPr="00B5728B" w:rsidRDefault="00D47A64" w:rsidP="000D777F">
      <w:pPr>
        <w:pStyle w:val="NormalWeb"/>
      </w:pPr>
    </w:p>
    <w:p w14:paraId="574F2DA2" w14:textId="77777777" w:rsidR="000D777F" w:rsidRPr="00B5728B" w:rsidRDefault="000D777F" w:rsidP="000D777F">
      <w:pPr>
        <w:pStyle w:val="Heading3"/>
        <w:rPr>
          <w:rFonts w:ascii="Times New Roman" w:hAnsi="Times New Roman" w:cs="Times New Roman"/>
        </w:rPr>
      </w:pPr>
      <w:r w:rsidRPr="00B5728B">
        <w:rPr>
          <w:rStyle w:val="Strong"/>
          <w:rFonts w:ascii="Times New Roman" w:hAnsi="Times New Roman" w:cs="Times New Roman"/>
          <w:b w:val="0"/>
          <w:bCs w:val="0"/>
        </w:rPr>
        <w:t>5.1 Descriptive Statistics</w:t>
      </w:r>
    </w:p>
    <w:p w14:paraId="1396725A" w14:textId="1D9C8FA7" w:rsidR="000D777F" w:rsidRPr="00B5728B" w:rsidRDefault="000D777F" w:rsidP="000D777F">
      <w:pPr>
        <w:pStyle w:val="NormalWeb"/>
        <w:rPr>
          <w:rStyle w:val="Strong"/>
          <w:rFonts w:eastAsiaTheme="majorEastAsia"/>
        </w:rPr>
      </w:pPr>
      <w:r w:rsidRPr="00B5728B">
        <w:t xml:space="preserve">Basic statistical analysis provides insights into </w:t>
      </w:r>
      <w:r w:rsidRPr="00B5728B">
        <w:rPr>
          <w:rStyle w:val="Strong"/>
          <w:rFonts w:eastAsiaTheme="majorEastAsia"/>
        </w:rPr>
        <w:t>mean, median, standard deviation, and range.</w:t>
      </w:r>
    </w:p>
    <w:p w14:paraId="15CF1136" w14:textId="77777777" w:rsidR="00D47A64" w:rsidRPr="00B5728B" w:rsidRDefault="00D47A64" w:rsidP="000D777F">
      <w:pPr>
        <w:pStyle w:val="NormalWeb"/>
        <w:rPr>
          <w:rStyle w:val="Strong"/>
          <w:rFonts w:eastAsiaTheme="majorEastAsia"/>
        </w:rPr>
      </w:pPr>
    </w:p>
    <w:p w14:paraId="384B8696" w14:textId="77777777" w:rsidR="00D47A64" w:rsidRPr="00B5728B" w:rsidRDefault="00D47A64" w:rsidP="000D777F">
      <w:pPr>
        <w:pStyle w:val="NormalWeb"/>
        <w:rPr>
          <w:rStyle w:val="Strong"/>
          <w:rFonts w:eastAsiaTheme="majorEastAsia"/>
        </w:rPr>
      </w:pPr>
    </w:p>
    <w:p w14:paraId="1B93EB91" w14:textId="4FEC2156" w:rsidR="000D777F" w:rsidRPr="00B5728B" w:rsidRDefault="000D777F" w:rsidP="000D777F">
      <w:pPr>
        <w:pStyle w:val="NormalWeb"/>
      </w:pPr>
    </w:p>
    <w:p w14:paraId="75E4E80D" w14:textId="77777777" w:rsidR="00696677" w:rsidRPr="00B5728B" w:rsidRDefault="00696677" w:rsidP="007E2135">
      <w:pPr>
        <w:rPr>
          <w:rFonts w:ascii="Times New Roman" w:hAnsi="Times New Roman" w:cs="Times New Roman"/>
        </w:rPr>
      </w:pPr>
    </w:p>
    <w:p w14:paraId="468338AD" w14:textId="66BC8747" w:rsidR="00195334" w:rsidRPr="00B5728B" w:rsidRDefault="00195334" w:rsidP="007E2135">
      <w:pPr>
        <w:rPr>
          <w:rFonts w:ascii="Times New Roman" w:hAnsi="Times New Roman" w:cs="Times New Roman"/>
        </w:rPr>
      </w:pPr>
    </w:p>
    <w:p w14:paraId="3FAC8FDA" w14:textId="77777777" w:rsidR="00195334" w:rsidRPr="00B5728B" w:rsidRDefault="00195334" w:rsidP="007E2135">
      <w:pPr>
        <w:rPr>
          <w:rFonts w:ascii="Times New Roman" w:hAnsi="Times New Roman" w:cs="Times New Roman"/>
        </w:rPr>
      </w:pPr>
    </w:p>
    <w:p w14:paraId="4EC42134" w14:textId="77777777" w:rsidR="00195334" w:rsidRPr="00B5728B" w:rsidRDefault="00195334" w:rsidP="007E2135">
      <w:pPr>
        <w:rPr>
          <w:rFonts w:ascii="Times New Roman" w:hAnsi="Times New Roman" w:cs="Times New Roman"/>
        </w:rPr>
      </w:pPr>
    </w:p>
    <w:p w14:paraId="46134C54" w14:textId="42D3C192" w:rsidR="00195334" w:rsidRPr="00B5728B" w:rsidRDefault="001763E3" w:rsidP="007E2135">
      <w:pPr>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9504" behindDoc="0" locked="0" layoutInCell="1" allowOverlap="1" wp14:anchorId="7572FB64" wp14:editId="50B5E0F2">
            <wp:simplePos x="0" y="0"/>
            <wp:positionH relativeFrom="margin">
              <wp:align>center</wp:align>
            </wp:positionH>
            <wp:positionV relativeFrom="paragraph">
              <wp:posOffset>90755</wp:posOffset>
            </wp:positionV>
            <wp:extent cx="5943600" cy="3365500"/>
            <wp:effectExtent l="0" t="0" r="0" b="6350"/>
            <wp:wrapTopAndBottom/>
            <wp:docPr id="1183541716"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41716" name="Picture 1" descr="A graph showing a 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anchor>
        </w:drawing>
      </w:r>
    </w:p>
    <w:p w14:paraId="7EF75A0D" w14:textId="77777777" w:rsidR="001763E3" w:rsidRPr="001763E3" w:rsidRDefault="001763E3" w:rsidP="001763E3">
      <w:pPr>
        <w:rPr>
          <w:rFonts w:ascii="Times New Roman" w:hAnsi="Times New Roman" w:cs="Times New Roman"/>
          <w:b/>
          <w:bCs/>
        </w:rPr>
      </w:pPr>
      <w:r w:rsidRPr="001763E3">
        <w:rPr>
          <w:rFonts w:ascii="Times New Roman" w:hAnsi="Times New Roman" w:cs="Times New Roman"/>
          <w:b/>
          <w:bCs/>
        </w:rPr>
        <w:t>DXY Index Over Time</w:t>
      </w:r>
    </w:p>
    <w:p w14:paraId="72469962" w14:textId="77777777" w:rsidR="001763E3" w:rsidRPr="001763E3" w:rsidRDefault="001763E3" w:rsidP="001763E3">
      <w:pPr>
        <w:numPr>
          <w:ilvl w:val="0"/>
          <w:numId w:val="17"/>
        </w:numPr>
        <w:rPr>
          <w:rFonts w:ascii="Times New Roman" w:hAnsi="Times New Roman" w:cs="Times New Roman"/>
        </w:rPr>
      </w:pPr>
      <w:r w:rsidRPr="001763E3">
        <w:rPr>
          <w:rFonts w:ascii="Times New Roman" w:hAnsi="Times New Roman" w:cs="Times New Roman"/>
          <w:b/>
          <w:bCs/>
        </w:rPr>
        <w:t>2020–2021</w:t>
      </w:r>
      <w:r w:rsidRPr="001763E3">
        <w:rPr>
          <w:rFonts w:ascii="Times New Roman" w:hAnsi="Times New Roman" w:cs="Times New Roman"/>
        </w:rPr>
        <w:t>: Dollar weakened (fell from ~100 to ~90) as central banks cut rates and injected liquidity.</w:t>
      </w:r>
    </w:p>
    <w:p w14:paraId="19773DC3" w14:textId="00511ACF" w:rsidR="001763E3" w:rsidRPr="001763E3" w:rsidRDefault="001763E3" w:rsidP="001763E3">
      <w:pPr>
        <w:numPr>
          <w:ilvl w:val="0"/>
          <w:numId w:val="17"/>
        </w:numPr>
        <w:rPr>
          <w:rFonts w:ascii="Times New Roman" w:hAnsi="Times New Roman" w:cs="Times New Roman"/>
        </w:rPr>
      </w:pPr>
      <w:r w:rsidRPr="001763E3">
        <w:rPr>
          <w:rFonts w:ascii="Times New Roman" w:hAnsi="Times New Roman" w:cs="Times New Roman"/>
          <w:b/>
          <w:bCs/>
        </w:rPr>
        <w:t>Mid-2022</w:t>
      </w:r>
      <w:r w:rsidRPr="001763E3">
        <w:rPr>
          <w:rFonts w:ascii="Times New Roman" w:hAnsi="Times New Roman" w:cs="Times New Roman"/>
        </w:rPr>
        <w:t>: Sharp spike to ~112, driven by aggressive Fed rate hikes fighting inflation.</w:t>
      </w:r>
    </w:p>
    <w:p w14:paraId="0E8930BE" w14:textId="478FC83A" w:rsidR="001763E3" w:rsidRPr="001763E3" w:rsidRDefault="001763E3" w:rsidP="001763E3">
      <w:pPr>
        <w:numPr>
          <w:ilvl w:val="0"/>
          <w:numId w:val="17"/>
        </w:numPr>
        <w:rPr>
          <w:rFonts w:ascii="Times New Roman" w:hAnsi="Times New Roman" w:cs="Times New Roman"/>
        </w:rPr>
      </w:pPr>
      <w:r w:rsidRPr="001763E3">
        <w:rPr>
          <w:rFonts w:ascii="Times New Roman" w:hAnsi="Times New Roman" w:cs="Times New Roman"/>
          <w:b/>
          <w:bCs/>
        </w:rPr>
        <w:t>2023</w:t>
      </w:r>
      <w:r w:rsidRPr="001763E3">
        <w:rPr>
          <w:rFonts w:ascii="Times New Roman" w:hAnsi="Times New Roman" w:cs="Times New Roman"/>
        </w:rPr>
        <w:t>: Rapid decline back toward the low-90s, reflecting market readjustment.</w:t>
      </w:r>
    </w:p>
    <w:p w14:paraId="401FA6C4" w14:textId="4D43AE38" w:rsidR="001763E3" w:rsidRPr="001763E3" w:rsidRDefault="001763E3" w:rsidP="001763E3">
      <w:pPr>
        <w:numPr>
          <w:ilvl w:val="0"/>
          <w:numId w:val="17"/>
        </w:numPr>
        <w:rPr>
          <w:rFonts w:ascii="Times New Roman" w:hAnsi="Times New Roman" w:cs="Times New Roman"/>
        </w:rPr>
      </w:pPr>
      <w:r w:rsidRPr="001763E3">
        <w:rPr>
          <w:rFonts w:ascii="Times New Roman" w:hAnsi="Times New Roman" w:cs="Times New Roman"/>
          <w:b/>
          <w:bCs/>
        </w:rPr>
        <w:t>Late 2024</w:t>
      </w:r>
      <w:r w:rsidRPr="001763E3">
        <w:rPr>
          <w:rFonts w:ascii="Times New Roman" w:hAnsi="Times New Roman" w:cs="Times New Roman"/>
        </w:rPr>
        <w:t>: Modest rebound near ~106 as policy uncertainty persisted.</w:t>
      </w:r>
    </w:p>
    <w:p w14:paraId="32E1893B" w14:textId="50ADF945" w:rsidR="00195334" w:rsidRPr="00B5728B" w:rsidRDefault="00195334" w:rsidP="007E2135">
      <w:pPr>
        <w:rPr>
          <w:rFonts w:ascii="Times New Roman" w:hAnsi="Times New Roman" w:cs="Times New Roman"/>
        </w:rPr>
      </w:pPr>
    </w:p>
    <w:p w14:paraId="5513BD23" w14:textId="3ECDBE03" w:rsidR="00195334" w:rsidRPr="00B5728B" w:rsidRDefault="00195334" w:rsidP="007E2135">
      <w:pPr>
        <w:rPr>
          <w:rFonts w:ascii="Times New Roman" w:hAnsi="Times New Roman" w:cs="Times New Roman"/>
        </w:rPr>
      </w:pPr>
    </w:p>
    <w:p w14:paraId="041361D4" w14:textId="516FFC86" w:rsidR="00195334" w:rsidRPr="00B5728B" w:rsidRDefault="00195334" w:rsidP="007E2135">
      <w:pPr>
        <w:rPr>
          <w:rFonts w:ascii="Times New Roman" w:hAnsi="Times New Roman" w:cs="Times New Roman"/>
        </w:rPr>
      </w:pPr>
    </w:p>
    <w:p w14:paraId="75027368" w14:textId="318351A1" w:rsidR="00195334" w:rsidRPr="00B5728B" w:rsidRDefault="00195334" w:rsidP="007E2135">
      <w:pPr>
        <w:rPr>
          <w:rFonts w:ascii="Times New Roman" w:hAnsi="Times New Roman" w:cs="Times New Roman"/>
        </w:rPr>
      </w:pPr>
    </w:p>
    <w:p w14:paraId="2E497880" w14:textId="71ECAD6C" w:rsidR="00195334" w:rsidRPr="00B5728B" w:rsidRDefault="00195334" w:rsidP="007E2135">
      <w:pPr>
        <w:rPr>
          <w:rFonts w:ascii="Times New Roman" w:hAnsi="Times New Roman" w:cs="Times New Roman"/>
        </w:rPr>
      </w:pPr>
    </w:p>
    <w:p w14:paraId="30BEBBD2" w14:textId="296CC45B" w:rsidR="001763E3" w:rsidRPr="00B5728B" w:rsidRDefault="001763E3" w:rsidP="007E2135">
      <w:pPr>
        <w:rPr>
          <w:rFonts w:ascii="Times New Roman" w:hAnsi="Times New Roman" w:cs="Times New Roman"/>
        </w:rPr>
      </w:pPr>
    </w:p>
    <w:p w14:paraId="25788B15" w14:textId="4033F2E7" w:rsidR="001763E3" w:rsidRPr="00B5728B" w:rsidRDefault="001763E3">
      <w:pPr>
        <w:rPr>
          <w:rFonts w:ascii="Times New Roman" w:hAnsi="Times New Roman" w:cs="Times New Roman"/>
        </w:rPr>
      </w:pPr>
      <w:r w:rsidRPr="00B5728B">
        <w:rPr>
          <w:rFonts w:ascii="Times New Roman" w:hAnsi="Times New Roman" w:cs="Times New Roman"/>
        </w:rPr>
        <w:br w:type="page"/>
      </w:r>
    </w:p>
    <w:p w14:paraId="093500AA" w14:textId="7CFEDECA" w:rsidR="001763E3" w:rsidRPr="00B5728B" w:rsidRDefault="00DC6F68" w:rsidP="007E2135">
      <w:pPr>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58240" behindDoc="0" locked="0" layoutInCell="1" allowOverlap="1" wp14:anchorId="0F8189EE" wp14:editId="6864FB6F">
            <wp:simplePos x="0" y="0"/>
            <wp:positionH relativeFrom="margin">
              <wp:align>right</wp:align>
            </wp:positionH>
            <wp:positionV relativeFrom="paragraph">
              <wp:posOffset>68580</wp:posOffset>
            </wp:positionV>
            <wp:extent cx="5943600" cy="3353435"/>
            <wp:effectExtent l="0" t="0" r="0" b="0"/>
            <wp:wrapTopAndBottom/>
            <wp:docPr id="1456699432" name="Picture 1" descr="A graph of a distribution of us dollar inde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99432" name="Picture 1" descr="A graph of a distribution of us dollar index&#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p>
    <w:p w14:paraId="43D2387D" w14:textId="77777777" w:rsidR="00DC6F68" w:rsidRPr="00DC6F68" w:rsidRDefault="00DC6F68" w:rsidP="00DC6F68">
      <w:pPr>
        <w:rPr>
          <w:rFonts w:ascii="Times New Roman" w:hAnsi="Times New Roman" w:cs="Times New Roman"/>
        </w:rPr>
      </w:pPr>
      <w:r w:rsidRPr="00DC6F68">
        <w:rPr>
          <w:rFonts w:ascii="Times New Roman" w:hAnsi="Times New Roman" w:cs="Times New Roman"/>
        </w:rPr>
        <w:t>Distribution of US Dollar Index</w:t>
      </w:r>
    </w:p>
    <w:p w14:paraId="72CDF8A3" w14:textId="77777777" w:rsidR="00DC6F68" w:rsidRPr="00B5728B" w:rsidRDefault="00DC6F68" w:rsidP="00DC6F68">
      <w:pPr>
        <w:pStyle w:val="ListParagraph"/>
        <w:numPr>
          <w:ilvl w:val="0"/>
          <w:numId w:val="20"/>
        </w:numPr>
        <w:rPr>
          <w:rFonts w:ascii="Times New Roman" w:hAnsi="Times New Roman" w:cs="Times New Roman"/>
        </w:rPr>
      </w:pPr>
      <w:r w:rsidRPr="00B5728B">
        <w:rPr>
          <w:rFonts w:ascii="Times New Roman" w:hAnsi="Times New Roman" w:cs="Times New Roman"/>
        </w:rPr>
        <w:t>Range: Values spanned ~90–112.</w:t>
      </w:r>
    </w:p>
    <w:p w14:paraId="3E3AF3A8" w14:textId="77777777" w:rsidR="00DC6F68" w:rsidRPr="00B5728B" w:rsidRDefault="00DC6F68" w:rsidP="00DC6F68">
      <w:pPr>
        <w:pStyle w:val="ListParagraph"/>
        <w:numPr>
          <w:ilvl w:val="0"/>
          <w:numId w:val="20"/>
        </w:numPr>
        <w:rPr>
          <w:rFonts w:ascii="Times New Roman" w:hAnsi="Times New Roman" w:cs="Times New Roman"/>
        </w:rPr>
      </w:pPr>
      <w:r w:rsidRPr="00B5728B">
        <w:rPr>
          <w:rFonts w:ascii="Times New Roman" w:hAnsi="Times New Roman" w:cs="Times New Roman"/>
        </w:rPr>
        <w:t>Mode: Most frequent readings around 102–106.</w:t>
      </w:r>
    </w:p>
    <w:p w14:paraId="48F473D1" w14:textId="77777777" w:rsidR="00DC6F68" w:rsidRPr="00B5728B" w:rsidRDefault="00DC6F68" w:rsidP="00DC6F68">
      <w:pPr>
        <w:pStyle w:val="ListParagraph"/>
        <w:numPr>
          <w:ilvl w:val="0"/>
          <w:numId w:val="20"/>
        </w:numPr>
        <w:rPr>
          <w:rFonts w:ascii="Times New Roman" w:hAnsi="Times New Roman" w:cs="Times New Roman"/>
        </w:rPr>
      </w:pPr>
      <w:r w:rsidRPr="00B5728B">
        <w:rPr>
          <w:rFonts w:ascii="Times New Roman" w:hAnsi="Times New Roman" w:cs="Times New Roman"/>
        </w:rPr>
        <w:t>Shape: Slight bimodal clustering (low-90s vs high-100s), reflecting two policy regimes.</w:t>
      </w:r>
    </w:p>
    <w:p w14:paraId="15C883EA" w14:textId="4B77BE6F" w:rsidR="00195334" w:rsidRPr="00B5728B" w:rsidRDefault="00195334" w:rsidP="007E2135">
      <w:pPr>
        <w:rPr>
          <w:rFonts w:ascii="Times New Roman" w:hAnsi="Times New Roman" w:cs="Times New Roman"/>
        </w:rPr>
      </w:pPr>
    </w:p>
    <w:p w14:paraId="605AF6E7" w14:textId="50BAF46C" w:rsidR="00195334" w:rsidRPr="00B5728B" w:rsidRDefault="00195334" w:rsidP="007E2135">
      <w:pPr>
        <w:rPr>
          <w:rFonts w:ascii="Times New Roman" w:hAnsi="Times New Roman" w:cs="Times New Roman"/>
        </w:rPr>
      </w:pPr>
    </w:p>
    <w:p w14:paraId="617CD53D" w14:textId="73E9D620" w:rsidR="00195334" w:rsidRPr="00B5728B" w:rsidRDefault="00195334" w:rsidP="007E2135">
      <w:pPr>
        <w:rPr>
          <w:rFonts w:ascii="Times New Roman" w:hAnsi="Times New Roman" w:cs="Times New Roman"/>
        </w:rPr>
      </w:pPr>
    </w:p>
    <w:p w14:paraId="59778154" w14:textId="0704D358" w:rsidR="00195334" w:rsidRPr="00B5728B" w:rsidRDefault="00DC6F68" w:rsidP="007E2135">
      <w:pPr>
        <w:rPr>
          <w:rFonts w:ascii="Times New Roman" w:hAnsi="Times New Roman" w:cs="Times New Roman"/>
        </w:rPr>
      </w:pPr>
      <w:r w:rsidRPr="00B5728B">
        <w:rPr>
          <w:rFonts w:ascii="Times New Roman" w:hAnsi="Times New Roman" w:cs="Times New Roman"/>
          <w:noProof/>
        </w:rPr>
        <w:lastRenderedPageBreak/>
        <w:drawing>
          <wp:inline distT="0" distB="0" distL="0" distR="0" wp14:anchorId="17BB3170" wp14:editId="0A2C19DB">
            <wp:extent cx="5943600" cy="3014980"/>
            <wp:effectExtent l="0" t="0" r="0" b="0"/>
            <wp:docPr id="1316961078" name="Picture 1" descr="A line graph with numbers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61078" name="Picture 1" descr="A line graph with numbers and a point&#10;&#10;AI-generated content may be incorrect."/>
                    <pic:cNvPicPr/>
                  </pic:nvPicPr>
                  <pic:blipFill>
                    <a:blip r:embed="rId7"/>
                    <a:stretch>
                      <a:fillRect/>
                    </a:stretch>
                  </pic:blipFill>
                  <pic:spPr>
                    <a:xfrm>
                      <a:off x="0" y="0"/>
                      <a:ext cx="5943600" cy="3014980"/>
                    </a:xfrm>
                    <a:prstGeom prst="rect">
                      <a:avLst/>
                    </a:prstGeom>
                  </pic:spPr>
                </pic:pic>
              </a:graphicData>
            </a:graphic>
          </wp:inline>
        </w:drawing>
      </w:r>
    </w:p>
    <w:p w14:paraId="74007718" w14:textId="740C6DF1" w:rsidR="00195334" w:rsidRPr="00B5728B" w:rsidRDefault="004A7DA4" w:rsidP="007E2135">
      <w:pPr>
        <w:rPr>
          <w:rFonts w:ascii="Times New Roman" w:hAnsi="Times New Roman" w:cs="Times New Roman"/>
          <w:b/>
          <w:bCs/>
        </w:rPr>
      </w:pPr>
      <w:r w:rsidRPr="00B5728B">
        <w:rPr>
          <w:rFonts w:ascii="Times New Roman" w:hAnsi="Times New Roman" w:cs="Times New Roman"/>
          <w:b/>
          <w:bCs/>
        </w:rPr>
        <w:t>Gold Price Over Time</w:t>
      </w:r>
    </w:p>
    <w:p w14:paraId="2032D60F" w14:textId="77777777" w:rsidR="004A7DA4" w:rsidRPr="004A7DA4" w:rsidRDefault="004A7DA4" w:rsidP="004A7DA4">
      <w:pPr>
        <w:numPr>
          <w:ilvl w:val="0"/>
          <w:numId w:val="27"/>
        </w:numPr>
        <w:rPr>
          <w:rFonts w:ascii="Times New Roman" w:hAnsi="Times New Roman" w:cs="Times New Roman"/>
        </w:rPr>
      </w:pPr>
      <w:r w:rsidRPr="004A7DA4">
        <w:rPr>
          <w:rFonts w:ascii="Times New Roman" w:hAnsi="Times New Roman" w:cs="Times New Roman"/>
        </w:rPr>
        <w:t xml:space="preserve">Gold rose uninterrupted from </w:t>
      </w:r>
      <w:r w:rsidRPr="004A7DA4">
        <w:rPr>
          <w:rFonts w:ascii="Times New Roman" w:hAnsi="Times New Roman" w:cs="Times New Roman"/>
          <w:b/>
          <w:bCs/>
        </w:rPr>
        <w:t>$1,583</w:t>
      </w:r>
      <w:r w:rsidRPr="004A7DA4">
        <w:rPr>
          <w:rFonts w:ascii="Times New Roman" w:hAnsi="Times New Roman" w:cs="Times New Roman"/>
        </w:rPr>
        <w:t xml:space="preserve"> to </w:t>
      </w:r>
      <w:r w:rsidRPr="004A7DA4">
        <w:rPr>
          <w:rFonts w:ascii="Times New Roman" w:hAnsi="Times New Roman" w:cs="Times New Roman"/>
          <w:b/>
          <w:bCs/>
        </w:rPr>
        <w:t>$2,657</w:t>
      </w:r>
      <w:r w:rsidRPr="004A7DA4">
        <w:rPr>
          <w:rFonts w:ascii="Times New Roman" w:hAnsi="Times New Roman" w:cs="Times New Roman"/>
        </w:rPr>
        <w:t xml:space="preserve"> over 51 months.</w:t>
      </w:r>
    </w:p>
    <w:p w14:paraId="594AAF6D" w14:textId="77777777" w:rsidR="004A7DA4" w:rsidRPr="004A7DA4" w:rsidRDefault="004A7DA4" w:rsidP="004A7DA4">
      <w:pPr>
        <w:numPr>
          <w:ilvl w:val="0"/>
          <w:numId w:val="27"/>
        </w:numPr>
        <w:rPr>
          <w:rFonts w:ascii="Times New Roman" w:hAnsi="Times New Roman" w:cs="Times New Roman"/>
        </w:rPr>
      </w:pPr>
      <w:r w:rsidRPr="004A7DA4">
        <w:rPr>
          <w:rFonts w:ascii="Times New Roman" w:hAnsi="Times New Roman" w:cs="Times New Roman"/>
        </w:rPr>
        <w:t xml:space="preserve">The climb was </w:t>
      </w:r>
      <w:r w:rsidRPr="004A7DA4">
        <w:rPr>
          <w:rFonts w:ascii="Times New Roman" w:hAnsi="Times New Roman" w:cs="Times New Roman"/>
          <w:b/>
          <w:bCs/>
        </w:rPr>
        <w:t>smooth</w:t>
      </w:r>
      <w:r w:rsidRPr="004A7DA4">
        <w:rPr>
          <w:rFonts w:ascii="Times New Roman" w:hAnsi="Times New Roman" w:cs="Times New Roman"/>
        </w:rPr>
        <w:t xml:space="preserve">, with </w:t>
      </w:r>
      <w:r w:rsidRPr="004A7DA4">
        <w:rPr>
          <w:rFonts w:ascii="Times New Roman" w:hAnsi="Times New Roman" w:cs="Times New Roman"/>
          <w:b/>
          <w:bCs/>
        </w:rPr>
        <w:t>no down-months</w:t>
      </w:r>
      <w:r w:rsidRPr="004A7DA4">
        <w:rPr>
          <w:rFonts w:ascii="Times New Roman" w:hAnsi="Times New Roman" w:cs="Times New Roman"/>
        </w:rPr>
        <w:t xml:space="preserve"> and evenly spaced monthly gains.</w:t>
      </w:r>
    </w:p>
    <w:p w14:paraId="2138C85C" w14:textId="77777777" w:rsidR="004A7DA4" w:rsidRPr="004A7DA4" w:rsidRDefault="004A7DA4" w:rsidP="004A7DA4">
      <w:pPr>
        <w:numPr>
          <w:ilvl w:val="0"/>
          <w:numId w:val="27"/>
        </w:numPr>
        <w:rPr>
          <w:rFonts w:ascii="Times New Roman" w:hAnsi="Times New Roman" w:cs="Times New Roman"/>
        </w:rPr>
      </w:pPr>
      <w:r w:rsidRPr="004A7DA4">
        <w:rPr>
          <w:rFonts w:ascii="Times New Roman" w:hAnsi="Times New Roman" w:cs="Times New Roman"/>
        </w:rPr>
        <w:t xml:space="preserve">That’s an average increase of </w:t>
      </w:r>
      <w:r w:rsidRPr="004A7DA4">
        <w:rPr>
          <w:rFonts w:ascii="Times New Roman" w:hAnsi="Times New Roman" w:cs="Times New Roman"/>
          <w:b/>
          <w:bCs/>
        </w:rPr>
        <w:t>$21 per month</w:t>
      </w:r>
      <w:r w:rsidRPr="004A7DA4">
        <w:rPr>
          <w:rFonts w:ascii="Times New Roman" w:hAnsi="Times New Roman" w:cs="Times New Roman"/>
        </w:rPr>
        <w:t>, reflecting steady inflationary and safe-haven demand.</w:t>
      </w:r>
    </w:p>
    <w:p w14:paraId="1D16A9DD" w14:textId="791EE0FA" w:rsidR="001763E3" w:rsidRPr="00B5728B" w:rsidRDefault="001763E3" w:rsidP="007E2135">
      <w:pPr>
        <w:rPr>
          <w:rFonts w:ascii="Times New Roman" w:hAnsi="Times New Roman" w:cs="Times New Roman"/>
        </w:rPr>
      </w:pPr>
    </w:p>
    <w:p w14:paraId="1F27E538" w14:textId="0214F37A" w:rsidR="001763E3" w:rsidRPr="00B5728B" w:rsidRDefault="001763E3">
      <w:pPr>
        <w:rPr>
          <w:rFonts w:ascii="Times New Roman" w:hAnsi="Times New Roman" w:cs="Times New Roman"/>
        </w:rPr>
      </w:pPr>
      <w:r w:rsidRPr="00B5728B">
        <w:rPr>
          <w:rFonts w:ascii="Times New Roman" w:hAnsi="Times New Roman" w:cs="Times New Roman"/>
        </w:rPr>
        <w:br w:type="page"/>
      </w:r>
    </w:p>
    <w:p w14:paraId="259B7E91" w14:textId="1E1E89A8" w:rsidR="001763E3" w:rsidRPr="00B5728B" w:rsidRDefault="001763E3" w:rsidP="007E2135">
      <w:pPr>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70528" behindDoc="0" locked="0" layoutInCell="1" allowOverlap="1" wp14:anchorId="3E2F9E9A" wp14:editId="5D80C603">
            <wp:simplePos x="0" y="0"/>
            <wp:positionH relativeFrom="margin">
              <wp:posOffset>-90535</wp:posOffset>
            </wp:positionH>
            <wp:positionV relativeFrom="paragraph">
              <wp:posOffset>208</wp:posOffset>
            </wp:positionV>
            <wp:extent cx="5943600" cy="3353435"/>
            <wp:effectExtent l="0" t="0" r="0" b="0"/>
            <wp:wrapTopAndBottom/>
            <wp:docPr id="1592995507" name="Picture 1" descr="A graph showing the distribution of gold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5507" name="Picture 1" descr="A graph showing the distribution of gold pric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p>
    <w:p w14:paraId="46E72D92" w14:textId="02566A18" w:rsidR="001763E3" w:rsidRPr="001763E3" w:rsidRDefault="001763E3" w:rsidP="001763E3">
      <w:pPr>
        <w:rPr>
          <w:rFonts w:ascii="Times New Roman" w:hAnsi="Times New Roman" w:cs="Times New Roman"/>
          <w:b/>
          <w:bCs/>
        </w:rPr>
      </w:pPr>
      <w:r w:rsidRPr="001763E3">
        <w:rPr>
          <w:rFonts w:ascii="Times New Roman" w:hAnsi="Times New Roman" w:cs="Times New Roman"/>
          <w:b/>
          <w:bCs/>
        </w:rPr>
        <w:t>Distribution of Gold Prices</w:t>
      </w:r>
    </w:p>
    <w:p w14:paraId="2DCC1CF2" w14:textId="77777777" w:rsidR="001763E3" w:rsidRPr="001763E3" w:rsidRDefault="001763E3" w:rsidP="001763E3">
      <w:pPr>
        <w:numPr>
          <w:ilvl w:val="0"/>
          <w:numId w:val="18"/>
        </w:numPr>
        <w:rPr>
          <w:rFonts w:ascii="Times New Roman" w:hAnsi="Times New Roman" w:cs="Times New Roman"/>
        </w:rPr>
      </w:pPr>
      <w:r w:rsidRPr="001763E3">
        <w:rPr>
          <w:rFonts w:ascii="Times New Roman" w:hAnsi="Times New Roman" w:cs="Times New Roman"/>
          <w:b/>
          <w:bCs/>
        </w:rPr>
        <w:t>Concentration</w:t>
      </w:r>
      <w:r w:rsidRPr="001763E3">
        <w:rPr>
          <w:rFonts w:ascii="Times New Roman" w:hAnsi="Times New Roman" w:cs="Times New Roman"/>
        </w:rPr>
        <w:t>: Most monthly closes fell between ~$1,700–$2,000.</w:t>
      </w:r>
    </w:p>
    <w:p w14:paraId="0A7F40C4" w14:textId="379B7277" w:rsidR="001763E3" w:rsidRPr="001763E3" w:rsidRDefault="001763E3" w:rsidP="001763E3">
      <w:pPr>
        <w:numPr>
          <w:ilvl w:val="0"/>
          <w:numId w:val="18"/>
        </w:numPr>
        <w:rPr>
          <w:rFonts w:ascii="Times New Roman" w:hAnsi="Times New Roman" w:cs="Times New Roman"/>
        </w:rPr>
      </w:pPr>
      <w:r w:rsidRPr="001763E3">
        <w:rPr>
          <w:rFonts w:ascii="Times New Roman" w:hAnsi="Times New Roman" w:cs="Times New Roman"/>
          <w:b/>
          <w:bCs/>
        </w:rPr>
        <w:t>Skew</w:t>
      </w:r>
      <w:r w:rsidRPr="001763E3">
        <w:rPr>
          <w:rFonts w:ascii="Times New Roman" w:hAnsi="Times New Roman" w:cs="Times New Roman"/>
        </w:rPr>
        <w:t>: Right-tail outliers up to ~$2,700 pull the mean above the median.</w:t>
      </w:r>
    </w:p>
    <w:p w14:paraId="4EE4524E" w14:textId="75205A05" w:rsidR="001763E3" w:rsidRPr="001763E3" w:rsidRDefault="001763E3" w:rsidP="001763E3">
      <w:pPr>
        <w:numPr>
          <w:ilvl w:val="0"/>
          <w:numId w:val="18"/>
        </w:numPr>
        <w:rPr>
          <w:rFonts w:ascii="Times New Roman" w:hAnsi="Times New Roman" w:cs="Times New Roman"/>
        </w:rPr>
      </w:pPr>
      <w:r w:rsidRPr="001763E3">
        <w:rPr>
          <w:rFonts w:ascii="Times New Roman" w:hAnsi="Times New Roman" w:cs="Times New Roman"/>
          <w:b/>
          <w:bCs/>
        </w:rPr>
        <w:t>Insight</w:t>
      </w:r>
      <w:r w:rsidRPr="001763E3">
        <w:rPr>
          <w:rFonts w:ascii="Times New Roman" w:hAnsi="Times New Roman" w:cs="Times New Roman"/>
        </w:rPr>
        <w:t>: Occasional spikes drove the overall upward trend.</w:t>
      </w:r>
    </w:p>
    <w:p w14:paraId="1A7F3B02" w14:textId="0190767F" w:rsidR="00195334" w:rsidRPr="00B5728B" w:rsidRDefault="00195334" w:rsidP="007E2135">
      <w:pPr>
        <w:rPr>
          <w:rFonts w:ascii="Times New Roman" w:hAnsi="Times New Roman" w:cs="Times New Roman"/>
        </w:rPr>
      </w:pPr>
    </w:p>
    <w:p w14:paraId="73A922E0" w14:textId="54AC2EDD" w:rsidR="00195334" w:rsidRPr="00B5728B" w:rsidRDefault="002B4547" w:rsidP="007E2135">
      <w:pPr>
        <w:rPr>
          <w:rFonts w:ascii="Times New Roman" w:hAnsi="Times New Roman" w:cs="Times New Roman"/>
        </w:rPr>
      </w:pPr>
      <w:r w:rsidRPr="00B5728B">
        <w:rPr>
          <w:rFonts w:ascii="Times New Roman" w:hAnsi="Times New Roman" w:cs="Times New Roman"/>
          <w:noProof/>
        </w:rPr>
        <w:lastRenderedPageBreak/>
        <w:drawing>
          <wp:inline distT="0" distB="0" distL="0" distR="0" wp14:anchorId="55736CF2" wp14:editId="2CCA0353">
            <wp:extent cx="5038725" cy="6315075"/>
            <wp:effectExtent l="0" t="0" r="9525" b="9525"/>
            <wp:docPr id="2047652715" name="Picture 1" descr="A yellow rectangular object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2715" name="Picture 1" descr="A yellow rectangular object with black numbers&#10;&#10;AI-generated content may be incorrect."/>
                    <pic:cNvPicPr/>
                  </pic:nvPicPr>
                  <pic:blipFill>
                    <a:blip r:embed="rId9"/>
                    <a:stretch>
                      <a:fillRect/>
                    </a:stretch>
                  </pic:blipFill>
                  <pic:spPr>
                    <a:xfrm>
                      <a:off x="0" y="0"/>
                      <a:ext cx="5038725" cy="6315075"/>
                    </a:xfrm>
                    <a:prstGeom prst="rect">
                      <a:avLst/>
                    </a:prstGeom>
                  </pic:spPr>
                </pic:pic>
              </a:graphicData>
            </a:graphic>
          </wp:inline>
        </w:drawing>
      </w:r>
    </w:p>
    <w:p w14:paraId="6EE9D069" w14:textId="77777777" w:rsidR="00195334" w:rsidRPr="00B5728B" w:rsidRDefault="00195334" w:rsidP="007E2135">
      <w:pPr>
        <w:rPr>
          <w:rFonts w:ascii="Times New Roman" w:hAnsi="Times New Roman" w:cs="Times New Roman"/>
        </w:rPr>
      </w:pPr>
    </w:p>
    <w:p w14:paraId="1C20E975" w14:textId="77777777" w:rsidR="00195334" w:rsidRPr="00B5728B" w:rsidRDefault="00195334" w:rsidP="007E2135">
      <w:pPr>
        <w:rPr>
          <w:rFonts w:ascii="Times New Roman" w:hAnsi="Times New Roman" w:cs="Times New Roman"/>
        </w:rPr>
      </w:pPr>
    </w:p>
    <w:p w14:paraId="507B742F"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Gold Price Outliers (Boxplot)</w:t>
      </w:r>
    </w:p>
    <w:p w14:paraId="2B251FC5" w14:textId="77777777" w:rsidR="00DC6F68" w:rsidRPr="00DC6F68" w:rsidRDefault="00DC6F68" w:rsidP="00DC6F68">
      <w:pPr>
        <w:numPr>
          <w:ilvl w:val="0"/>
          <w:numId w:val="19"/>
        </w:numPr>
        <w:rPr>
          <w:rFonts w:ascii="Times New Roman" w:hAnsi="Times New Roman" w:cs="Times New Roman"/>
        </w:rPr>
      </w:pPr>
      <w:r w:rsidRPr="00DC6F68">
        <w:rPr>
          <w:rFonts w:ascii="Times New Roman" w:hAnsi="Times New Roman" w:cs="Times New Roman"/>
          <w:b/>
          <w:bCs/>
        </w:rPr>
        <w:t>Median &amp; IQR</w:t>
      </w:r>
      <w:r w:rsidRPr="00DC6F68">
        <w:rPr>
          <w:rFonts w:ascii="Times New Roman" w:hAnsi="Times New Roman" w:cs="Times New Roman"/>
        </w:rPr>
        <w:t>: Middle 50% ranged roughly $1,750–$2,200.</w:t>
      </w:r>
    </w:p>
    <w:p w14:paraId="4A40833C" w14:textId="77777777" w:rsidR="00DC6F68" w:rsidRPr="00DC6F68" w:rsidRDefault="00DC6F68" w:rsidP="00DC6F68">
      <w:pPr>
        <w:numPr>
          <w:ilvl w:val="0"/>
          <w:numId w:val="19"/>
        </w:numPr>
        <w:rPr>
          <w:rFonts w:ascii="Times New Roman" w:hAnsi="Times New Roman" w:cs="Times New Roman"/>
        </w:rPr>
      </w:pPr>
      <w:r w:rsidRPr="00DC6F68">
        <w:rPr>
          <w:rFonts w:ascii="Times New Roman" w:hAnsi="Times New Roman" w:cs="Times New Roman"/>
          <w:b/>
          <w:bCs/>
        </w:rPr>
        <w:t>Whiskers &amp; Outliers</w:t>
      </w:r>
      <w:r w:rsidRPr="00DC6F68">
        <w:rPr>
          <w:rFonts w:ascii="Times New Roman" w:hAnsi="Times New Roman" w:cs="Times New Roman"/>
        </w:rPr>
        <w:t xml:space="preserve">: A few </w:t>
      </w:r>
      <w:proofErr w:type="gramStart"/>
      <w:r w:rsidRPr="00DC6F68">
        <w:rPr>
          <w:rFonts w:ascii="Times New Roman" w:hAnsi="Times New Roman" w:cs="Times New Roman"/>
        </w:rPr>
        <w:t>extreme</w:t>
      </w:r>
      <w:proofErr w:type="gramEnd"/>
      <w:r w:rsidRPr="00DC6F68">
        <w:rPr>
          <w:rFonts w:ascii="Times New Roman" w:hAnsi="Times New Roman" w:cs="Times New Roman"/>
        </w:rPr>
        <w:t xml:space="preserve"> high-price months stretched above $2,600.</w:t>
      </w:r>
    </w:p>
    <w:p w14:paraId="27F77741" w14:textId="77777777" w:rsidR="00DC6F68" w:rsidRPr="00DC6F68" w:rsidRDefault="00DC6F68" w:rsidP="00DC6F68">
      <w:pPr>
        <w:numPr>
          <w:ilvl w:val="0"/>
          <w:numId w:val="19"/>
        </w:numPr>
        <w:rPr>
          <w:rFonts w:ascii="Times New Roman" w:hAnsi="Times New Roman" w:cs="Times New Roman"/>
        </w:rPr>
      </w:pPr>
      <w:r w:rsidRPr="00DC6F68">
        <w:rPr>
          <w:rFonts w:ascii="Times New Roman" w:hAnsi="Times New Roman" w:cs="Times New Roman"/>
          <w:b/>
          <w:bCs/>
        </w:rPr>
        <w:t>Interpretation</w:t>
      </w:r>
      <w:r w:rsidRPr="00DC6F68">
        <w:rPr>
          <w:rFonts w:ascii="Times New Roman" w:hAnsi="Times New Roman" w:cs="Times New Roman"/>
        </w:rPr>
        <w:t>: While gold steadily climbed, extreme market events punctuated sharper highs.</w:t>
      </w:r>
    </w:p>
    <w:p w14:paraId="2F243CCF" w14:textId="08E73D9D" w:rsidR="00195334" w:rsidRPr="00B5728B" w:rsidRDefault="00DC6F68" w:rsidP="007E2135">
      <w:pPr>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59264" behindDoc="0" locked="0" layoutInCell="1" allowOverlap="1" wp14:anchorId="63635E70" wp14:editId="4F237FC9">
            <wp:simplePos x="0" y="0"/>
            <wp:positionH relativeFrom="page">
              <wp:posOffset>889000</wp:posOffset>
            </wp:positionH>
            <wp:positionV relativeFrom="paragraph">
              <wp:posOffset>208915</wp:posOffset>
            </wp:positionV>
            <wp:extent cx="5943600" cy="3014980"/>
            <wp:effectExtent l="0" t="0" r="0" b="0"/>
            <wp:wrapTopAndBottom/>
            <wp:docPr id="1003373271" name="Picture 1" descr="A white background with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3271" name="Picture 1" descr="A white background with purple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14:sizeRelH relativeFrom="margin">
              <wp14:pctWidth>0</wp14:pctWidth>
            </wp14:sizeRelH>
            <wp14:sizeRelV relativeFrom="margin">
              <wp14:pctHeight>0</wp14:pctHeight>
            </wp14:sizeRelV>
          </wp:anchor>
        </w:drawing>
      </w:r>
    </w:p>
    <w:p w14:paraId="0267EA76"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Gold vs. DXY Scatter</w:t>
      </w:r>
    </w:p>
    <w:p w14:paraId="679A66AA" w14:textId="77777777" w:rsidR="00DC6F68" w:rsidRPr="00DC6F68" w:rsidRDefault="00DC6F68" w:rsidP="00DC6F68">
      <w:pPr>
        <w:numPr>
          <w:ilvl w:val="0"/>
          <w:numId w:val="21"/>
        </w:numPr>
        <w:rPr>
          <w:rFonts w:ascii="Times New Roman" w:hAnsi="Times New Roman" w:cs="Times New Roman"/>
        </w:rPr>
      </w:pPr>
      <w:r w:rsidRPr="00DC6F68">
        <w:rPr>
          <w:rFonts w:ascii="Times New Roman" w:hAnsi="Times New Roman" w:cs="Times New Roman"/>
          <w:b/>
          <w:bCs/>
        </w:rPr>
        <w:t>Clear inverse correlation</w:t>
      </w:r>
      <w:r w:rsidRPr="00DC6F68">
        <w:rPr>
          <w:rFonts w:ascii="Times New Roman" w:hAnsi="Times New Roman" w:cs="Times New Roman"/>
        </w:rPr>
        <w:t>: High DXY points align with lower gold prices and vice versa.</w:t>
      </w:r>
    </w:p>
    <w:p w14:paraId="08066C4F" w14:textId="4BD116CA" w:rsidR="00DC6F68" w:rsidRPr="00B5728B" w:rsidRDefault="00DC6F68" w:rsidP="00DC6F68">
      <w:pPr>
        <w:numPr>
          <w:ilvl w:val="0"/>
          <w:numId w:val="21"/>
        </w:numPr>
        <w:rPr>
          <w:rFonts w:ascii="Times New Roman" w:hAnsi="Times New Roman" w:cs="Times New Roman"/>
        </w:rPr>
      </w:pPr>
      <w:r w:rsidRPr="00DC6F68">
        <w:rPr>
          <w:rFonts w:ascii="Times New Roman" w:hAnsi="Times New Roman" w:cs="Times New Roman"/>
          <w:b/>
          <w:bCs/>
        </w:rPr>
        <w:t>Implication</w:t>
      </w:r>
      <w:r w:rsidRPr="00DC6F68">
        <w:rPr>
          <w:rFonts w:ascii="Times New Roman" w:hAnsi="Times New Roman" w:cs="Times New Roman"/>
        </w:rPr>
        <w:t>: Dollar strength is a leading indicator for short-term gold weakness.</w:t>
      </w:r>
      <w:r w:rsidRPr="00B5728B">
        <w:rPr>
          <w:rFonts w:ascii="Times New Roman" w:hAnsi="Times New Roman" w:cs="Times New Roman"/>
          <w:noProof/>
        </w:rPr>
        <w:drawing>
          <wp:anchor distT="0" distB="0" distL="114300" distR="114300" simplePos="0" relativeHeight="251672576" behindDoc="0" locked="0" layoutInCell="1" allowOverlap="1" wp14:anchorId="368C82C6" wp14:editId="41691898">
            <wp:simplePos x="0" y="0"/>
            <wp:positionH relativeFrom="column">
              <wp:posOffset>50800</wp:posOffset>
            </wp:positionH>
            <wp:positionV relativeFrom="paragraph">
              <wp:posOffset>402590</wp:posOffset>
            </wp:positionV>
            <wp:extent cx="5943600" cy="3147060"/>
            <wp:effectExtent l="0" t="0" r="0" b="0"/>
            <wp:wrapTopAndBottom/>
            <wp:docPr id="1175591248"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5887" name="Picture 1" descr="A graph showing a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14:sizeRelH relativeFrom="margin">
              <wp14:pctWidth>0</wp14:pctWidth>
            </wp14:sizeRelH>
            <wp14:sizeRelV relativeFrom="margin">
              <wp14:pctHeight>0</wp14:pctHeight>
            </wp14:sizeRelV>
          </wp:anchor>
        </w:drawing>
      </w:r>
    </w:p>
    <w:p w14:paraId="7975CC3E" w14:textId="1C60806F"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CPI Over Time</w:t>
      </w:r>
    </w:p>
    <w:p w14:paraId="3729538C" w14:textId="77777777" w:rsidR="00DC6F68" w:rsidRPr="00DC6F68" w:rsidRDefault="00DC6F68" w:rsidP="00DC6F68">
      <w:pPr>
        <w:numPr>
          <w:ilvl w:val="0"/>
          <w:numId w:val="22"/>
        </w:numPr>
        <w:rPr>
          <w:rFonts w:ascii="Times New Roman" w:hAnsi="Times New Roman" w:cs="Times New Roman"/>
        </w:rPr>
      </w:pPr>
      <w:r w:rsidRPr="00DC6F68">
        <w:rPr>
          <w:rFonts w:ascii="Times New Roman" w:hAnsi="Times New Roman" w:cs="Times New Roman"/>
          <w:b/>
          <w:bCs/>
        </w:rPr>
        <w:t>Steady climb</w:t>
      </w:r>
      <w:r w:rsidRPr="00DC6F68">
        <w:rPr>
          <w:rFonts w:ascii="Times New Roman" w:hAnsi="Times New Roman" w:cs="Times New Roman"/>
        </w:rPr>
        <w:t xml:space="preserve"> from ~256 to ~319 (2020–2025).</w:t>
      </w:r>
    </w:p>
    <w:p w14:paraId="4776E06D" w14:textId="77777777" w:rsidR="00DC6F68" w:rsidRPr="00DC6F68" w:rsidRDefault="00DC6F68" w:rsidP="00DC6F68">
      <w:pPr>
        <w:numPr>
          <w:ilvl w:val="0"/>
          <w:numId w:val="22"/>
        </w:numPr>
        <w:rPr>
          <w:rFonts w:ascii="Times New Roman" w:hAnsi="Times New Roman" w:cs="Times New Roman"/>
        </w:rPr>
      </w:pPr>
      <w:r w:rsidRPr="00DC6F68">
        <w:rPr>
          <w:rFonts w:ascii="Times New Roman" w:hAnsi="Times New Roman" w:cs="Times New Roman"/>
          <w:b/>
          <w:bCs/>
        </w:rPr>
        <w:t>Takeaway</w:t>
      </w:r>
      <w:r w:rsidRPr="00DC6F68">
        <w:rPr>
          <w:rFonts w:ascii="Times New Roman" w:hAnsi="Times New Roman" w:cs="Times New Roman"/>
        </w:rPr>
        <w:t>: Persistent inflation pressure — supports gold’s role as an inflation he</w:t>
      </w:r>
    </w:p>
    <w:p w14:paraId="60BA6A57" w14:textId="3913C019" w:rsidR="00195334" w:rsidRPr="00B5728B" w:rsidRDefault="00767C5F" w:rsidP="007E2135">
      <w:pPr>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7456" behindDoc="0" locked="0" layoutInCell="1" allowOverlap="1" wp14:anchorId="3FDCD184" wp14:editId="079636DE">
            <wp:simplePos x="0" y="0"/>
            <wp:positionH relativeFrom="margin">
              <wp:align>right</wp:align>
            </wp:positionH>
            <wp:positionV relativeFrom="paragraph">
              <wp:posOffset>111125</wp:posOffset>
            </wp:positionV>
            <wp:extent cx="5943600" cy="3043555"/>
            <wp:effectExtent l="0" t="0" r="0" b="4445"/>
            <wp:wrapTopAndBottom/>
            <wp:docPr id="66639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9438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anchor>
        </w:drawing>
      </w:r>
    </w:p>
    <w:p w14:paraId="713B88BB" w14:textId="3C8AEF86"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Fed Funds Rate Over Time</w:t>
      </w:r>
    </w:p>
    <w:p w14:paraId="13F96F30" w14:textId="516D9103" w:rsidR="00DC6F68" w:rsidRPr="00DC6F68" w:rsidRDefault="00DC6F68" w:rsidP="00DC6F68">
      <w:pPr>
        <w:numPr>
          <w:ilvl w:val="0"/>
          <w:numId w:val="23"/>
        </w:numPr>
        <w:rPr>
          <w:rFonts w:ascii="Times New Roman" w:hAnsi="Times New Roman" w:cs="Times New Roman"/>
        </w:rPr>
      </w:pPr>
      <w:r w:rsidRPr="00DC6F68">
        <w:rPr>
          <w:rFonts w:ascii="Times New Roman" w:hAnsi="Times New Roman" w:cs="Times New Roman"/>
          <w:b/>
          <w:bCs/>
        </w:rPr>
        <w:t>2020–2021</w:t>
      </w:r>
      <w:r w:rsidRPr="00DC6F68">
        <w:rPr>
          <w:rFonts w:ascii="Times New Roman" w:hAnsi="Times New Roman" w:cs="Times New Roman"/>
        </w:rPr>
        <w:t>: Near-zero rates.</w:t>
      </w:r>
    </w:p>
    <w:p w14:paraId="632B44A6" w14:textId="45E76BF0" w:rsidR="00DC6F68" w:rsidRPr="00DC6F68" w:rsidRDefault="00DC6F68" w:rsidP="00DC6F68">
      <w:pPr>
        <w:numPr>
          <w:ilvl w:val="0"/>
          <w:numId w:val="23"/>
        </w:numPr>
        <w:rPr>
          <w:rFonts w:ascii="Times New Roman" w:hAnsi="Times New Roman" w:cs="Times New Roman"/>
        </w:rPr>
      </w:pPr>
      <w:r w:rsidRPr="00DC6F68">
        <w:rPr>
          <w:rFonts w:ascii="Times New Roman" w:hAnsi="Times New Roman" w:cs="Times New Roman"/>
          <w:b/>
          <w:bCs/>
        </w:rPr>
        <w:t>2022–2024</w:t>
      </w:r>
      <w:r w:rsidRPr="00DC6F68">
        <w:rPr>
          <w:rFonts w:ascii="Times New Roman" w:hAnsi="Times New Roman" w:cs="Times New Roman"/>
        </w:rPr>
        <w:t>: Rapid, stepwise hikes reaching ~5.4%.</w:t>
      </w:r>
    </w:p>
    <w:p w14:paraId="0DF587B3" w14:textId="49E3E08A" w:rsidR="00DC6F68" w:rsidRPr="00DC6F68" w:rsidRDefault="00DC6F68" w:rsidP="00DC6F68">
      <w:pPr>
        <w:numPr>
          <w:ilvl w:val="0"/>
          <w:numId w:val="23"/>
        </w:numPr>
        <w:rPr>
          <w:rFonts w:ascii="Times New Roman" w:hAnsi="Times New Roman" w:cs="Times New Roman"/>
        </w:rPr>
      </w:pPr>
      <w:r w:rsidRPr="00DC6F68">
        <w:rPr>
          <w:rFonts w:ascii="Times New Roman" w:hAnsi="Times New Roman" w:cs="Times New Roman"/>
          <w:b/>
          <w:bCs/>
        </w:rPr>
        <w:t>Early 2025</w:t>
      </w:r>
      <w:r w:rsidRPr="00DC6F68">
        <w:rPr>
          <w:rFonts w:ascii="Times New Roman" w:hAnsi="Times New Roman" w:cs="Times New Roman"/>
        </w:rPr>
        <w:t>: Slight pause/cut.</w:t>
      </w:r>
    </w:p>
    <w:p w14:paraId="1F638704" w14:textId="4AF57628" w:rsidR="00DC6F68" w:rsidRPr="00DC6F68" w:rsidRDefault="00DC6F68" w:rsidP="00DC6F68">
      <w:pPr>
        <w:numPr>
          <w:ilvl w:val="0"/>
          <w:numId w:val="23"/>
        </w:numPr>
        <w:rPr>
          <w:rFonts w:ascii="Times New Roman" w:hAnsi="Times New Roman" w:cs="Times New Roman"/>
        </w:rPr>
      </w:pPr>
      <w:r w:rsidRPr="00DC6F68">
        <w:rPr>
          <w:rFonts w:ascii="Times New Roman" w:hAnsi="Times New Roman" w:cs="Times New Roman"/>
          <w:b/>
          <w:bCs/>
        </w:rPr>
        <w:t>Insight</w:t>
      </w:r>
      <w:r w:rsidRPr="00DC6F68">
        <w:rPr>
          <w:rFonts w:ascii="Times New Roman" w:hAnsi="Times New Roman" w:cs="Times New Roman"/>
        </w:rPr>
        <w:t>: Rising rates raised gold’s opportunity cost, pressuring its appeal during hike cycles.</w:t>
      </w:r>
    </w:p>
    <w:p w14:paraId="7851847B" w14:textId="3418AA53" w:rsidR="00195334" w:rsidRPr="00B5728B" w:rsidRDefault="00195334" w:rsidP="007E2135">
      <w:pPr>
        <w:rPr>
          <w:rFonts w:ascii="Times New Roman" w:hAnsi="Times New Roman" w:cs="Times New Roman"/>
        </w:rPr>
      </w:pPr>
    </w:p>
    <w:p w14:paraId="499ACD0E" w14:textId="407CC148" w:rsidR="007E2135" w:rsidRPr="00B5728B" w:rsidRDefault="007E2135" w:rsidP="007E2135">
      <w:pPr>
        <w:rPr>
          <w:rFonts w:ascii="Times New Roman" w:hAnsi="Times New Roman" w:cs="Times New Roman"/>
        </w:rPr>
      </w:pPr>
    </w:p>
    <w:p w14:paraId="2C0CD030" w14:textId="4239E95D" w:rsidR="007E2135" w:rsidRPr="00B5728B" w:rsidRDefault="007E2135" w:rsidP="007E2135">
      <w:pPr>
        <w:rPr>
          <w:rFonts w:ascii="Times New Roman" w:hAnsi="Times New Roman" w:cs="Times New Roman"/>
        </w:rPr>
      </w:pPr>
    </w:p>
    <w:p w14:paraId="35ECF934" w14:textId="5755FEB2" w:rsidR="00195334" w:rsidRPr="00B5728B" w:rsidRDefault="00195334" w:rsidP="007E2135">
      <w:pPr>
        <w:rPr>
          <w:rFonts w:ascii="Times New Roman" w:hAnsi="Times New Roman" w:cs="Times New Roman"/>
        </w:rPr>
      </w:pPr>
    </w:p>
    <w:p w14:paraId="389E5C28" w14:textId="2A9FE2AF" w:rsidR="002B4547" w:rsidRPr="00B5728B" w:rsidRDefault="002B4547" w:rsidP="007E2135">
      <w:pPr>
        <w:rPr>
          <w:rFonts w:ascii="Times New Roman" w:hAnsi="Times New Roman" w:cs="Times New Roman"/>
        </w:rPr>
      </w:pPr>
    </w:p>
    <w:p w14:paraId="1711F540" w14:textId="7A874DA8" w:rsidR="002B4547" w:rsidRPr="00B5728B" w:rsidRDefault="002B4547" w:rsidP="007E2135">
      <w:pPr>
        <w:rPr>
          <w:rFonts w:ascii="Times New Roman" w:hAnsi="Times New Roman" w:cs="Times New Roman"/>
        </w:rPr>
      </w:pPr>
    </w:p>
    <w:p w14:paraId="7E1EB6BF" w14:textId="3BD65BB5" w:rsidR="00DC6F68" w:rsidRPr="00B5728B" w:rsidRDefault="00DC6F68" w:rsidP="007E2135">
      <w:pPr>
        <w:rPr>
          <w:rFonts w:ascii="Times New Roman" w:hAnsi="Times New Roman" w:cs="Times New Roman"/>
        </w:rPr>
      </w:pPr>
    </w:p>
    <w:p w14:paraId="76B9BC2E" w14:textId="77777777" w:rsidR="00DC6F68" w:rsidRPr="00B5728B" w:rsidRDefault="00DC6F68" w:rsidP="007E2135">
      <w:pPr>
        <w:rPr>
          <w:rFonts w:ascii="Times New Roman" w:hAnsi="Times New Roman" w:cs="Times New Roman"/>
          <w:b/>
          <w:bCs/>
        </w:rPr>
      </w:pPr>
      <w:r w:rsidRPr="00B5728B">
        <w:rPr>
          <w:rFonts w:ascii="Times New Roman" w:hAnsi="Times New Roman" w:cs="Times New Roman"/>
          <w:b/>
          <w:bCs/>
          <w:noProof/>
        </w:rPr>
        <w:lastRenderedPageBreak/>
        <w:drawing>
          <wp:anchor distT="0" distB="0" distL="114300" distR="114300" simplePos="0" relativeHeight="251668480" behindDoc="0" locked="0" layoutInCell="1" allowOverlap="1" wp14:anchorId="4FD4BA68" wp14:editId="67CE8EDF">
            <wp:simplePos x="0" y="0"/>
            <wp:positionH relativeFrom="margin">
              <wp:align>right</wp:align>
            </wp:positionH>
            <wp:positionV relativeFrom="paragraph">
              <wp:posOffset>0</wp:posOffset>
            </wp:positionV>
            <wp:extent cx="5943600" cy="3416935"/>
            <wp:effectExtent l="0" t="0" r="0" b="0"/>
            <wp:wrapTopAndBottom/>
            <wp:docPr id="1435102240" name="Picture 1" descr="A graph of 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2240" name="Picture 1" descr="A graph of a graph with red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anchor>
        </w:drawing>
      </w:r>
      <w:r w:rsidRPr="00B5728B">
        <w:rPr>
          <w:rFonts w:ascii="Times New Roman" w:hAnsi="Times New Roman" w:cs="Times New Roman"/>
          <w:b/>
          <w:bCs/>
        </w:rPr>
        <w:t>Fed Fund rate by Year</w:t>
      </w:r>
    </w:p>
    <w:p w14:paraId="1547EF68" w14:textId="77777777" w:rsidR="00767C5F" w:rsidRPr="00767C5F" w:rsidRDefault="00767C5F" w:rsidP="00767C5F">
      <w:pPr>
        <w:numPr>
          <w:ilvl w:val="0"/>
          <w:numId w:val="25"/>
        </w:numPr>
        <w:rPr>
          <w:rFonts w:ascii="Times New Roman" w:hAnsi="Times New Roman" w:cs="Times New Roman"/>
          <w:b/>
          <w:bCs/>
        </w:rPr>
      </w:pPr>
      <w:r w:rsidRPr="00767C5F">
        <w:rPr>
          <w:rFonts w:ascii="Times New Roman" w:hAnsi="Times New Roman" w:cs="Times New Roman"/>
          <w:b/>
          <w:bCs/>
        </w:rPr>
        <w:t xml:space="preserve">Spike from 2022 onward, then </w:t>
      </w:r>
      <w:proofErr w:type="gramStart"/>
      <w:r w:rsidRPr="00767C5F">
        <w:rPr>
          <w:rFonts w:ascii="Times New Roman" w:hAnsi="Times New Roman" w:cs="Times New Roman"/>
          <w:b/>
          <w:bCs/>
        </w:rPr>
        <w:t>slight</w:t>
      </w:r>
      <w:proofErr w:type="gramEnd"/>
      <w:r w:rsidRPr="00767C5F">
        <w:rPr>
          <w:rFonts w:ascii="Times New Roman" w:hAnsi="Times New Roman" w:cs="Times New Roman"/>
          <w:b/>
          <w:bCs/>
        </w:rPr>
        <w:t xml:space="preserve"> easing in 2025.</w:t>
      </w:r>
    </w:p>
    <w:p w14:paraId="03B83536" w14:textId="77777777" w:rsidR="00767C5F" w:rsidRPr="00767C5F" w:rsidRDefault="00767C5F" w:rsidP="00767C5F">
      <w:pPr>
        <w:numPr>
          <w:ilvl w:val="0"/>
          <w:numId w:val="25"/>
        </w:numPr>
        <w:rPr>
          <w:rFonts w:ascii="Times New Roman" w:hAnsi="Times New Roman" w:cs="Times New Roman"/>
          <w:b/>
          <w:bCs/>
        </w:rPr>
      </w:pPr>
      <w:r w:rsidRPr="00767C5F">
        <w:rPr>
          <w:rFonts w:ascii="Times New Roman" w:hAnsi="Times New Roman" w:cs="Times New Roman"/>
          <w:b/>
          <w:bCs/>
        </w:rPr>
        <w:t>Context: Aligns with inflation-fighting cycle peaking in 2023–24.</w:t>
      </w:r>
    </w:p>
    <w:p w14:paraId="496F8E0C" w14:textId="77777777" w:rsidR="00767C5F" w:rsidRPr="00B5728B" w:rsidRDefault="00767C5F" w:rsidP="007E2135">
      <w:pPr>
        <w:rPr>
          <w:rFonts w:ascii="Times New Roman" w:hAnsi="Times New Roman" w:cs="Times New Roman"/>
          <w:b/>
          <w:bCs/>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66"/>
        <w:gridCol w:w="66"/>
        <w:gridCol w:w="66"/>
        <w:gridCol w:w="66"/>
        <w:gridCol w:w="66"/>
        <w:gridCol w:w="66"/>
        <w:gridCol w:w="66"/>
        <w:gridCol w:w="66"/>
        <w:gridCol w:w="66"/>
        <w:gridCol w:w="66"/>
        <w:gridCol w:w="1436"/>
      </w:tblGrid>
      <w:tr w:rsidR="00DC6F68" w:rsidRPr="00B5728B" w14:paraId="01FD5FC9" w14:textId="77777777" w:rsidTr="00275D60">
        <w:trPr>
          <w:tblHeader/>
          <w:tblCellSpacing w:w="15" w:type="dxa"/>
        </w:trPr>
        <w:tc>
          <w:tcPr>
            <w:tcW w:w="0" w:type="auto"/>
            <w:vAlign w:val="center"/>
            <w:hideMark/>
          </w:tcPr>
          <w:p w14:paraId="47F33AD7"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Year</w:t>
            </w:r>
          </w:p>
        </w:tc>
        <w:tc>
          <w:tcPr>
            <w:tcW w:w="0" w:type="auto"/>
          </w:tcPr>
          <w:p w14:paraId="1315CBE4" w14:textId="77777777" w:rsidR="00DC6F68" w:rsidRPr="00B5728B" w:rsidRDefault="00DC6F68" w:rsidP="00DC6F68">
            <w:pPr>
              <w:rPr>
                <w:rFonts w:ascii="Times New Roman" w:hAnsi="Times New Roman" w:cs="Times New Roman"/>
                <w:b/>
                <w:bCs/>
              </w:rPr>
            </w:pPr>
          </w:p>
        </w:tc>
        <w:tc>
          <w:tcPr>
            <w:tcW w:w="0" w:type="auto"/>
          </w:tcPr>
          <w:p w14:paraId="121BB5E0" w14:textId="77777777" w:rsidR="00DC6F68" w:rsidRPr="00B5728B" w:rsidRDefault="00DC6F68" w:rsidP="00DC6F68">
            <w:pPr>
              <w:rPr>
                <w:rFonts w:ascii="Times New Roman" w:hAnsi="Times New Roman" w:cs="Times New Roman"/>
                <w:b/>
                <w:bCs/>
              </w:rPr>
            </w:pPr>
          </w:p>
        </w:tc>
        <w:tc>
          <w:tcPr>
            <w:tcW w:w="0" w:type="auto"/>
          </w:tcPr>
          <w:p w14:paraId="4D14F466" w14:textId="7148D4E1" w:rsidR="00DC6F68" w:rsidRPr="00B5728B" w:rsidRDefault="00DC6F68" w:rsidP="00DC6F68">
            <w:pPr>
              <w:rPr>
                <w:rFonts w:ascii="Times New Roman" w:hAnsi="Times New Roman" w:cs="Times New Roman"/>
                <w:b/>
                <w:bCs/>
              </w:rPr>
            </w:pPr>
          </w:p>
        </w:tc>
        <w:tc>
          <w:tcPr>
            <w:tcW w:w="0" w:type="auto"/>
          </w:tcPr>
          <w:p w14:paraId="06295B51" w14:textId="6C81DD55" w:rsidR="00DC6F68" w:rsidRPr="00B5728B" w:rsidRDefault="00DC6F68" w:rsidP="00DC6F68">
            <w:pPr>
              <w:rPr>
                <w:rFonts w:ascii="Times New Roman" w:hAnsi="Times New Roman" w:cs="Times New Roman"/>
                <w:b/>
                <w:bCs/>
              </w:rPr>
            </w:pPr>
          </w:p>
        </w:tc>
        <w:tc>
          <w:tcPr>
            <w:tcW w:w="0" w:type="auto"/>
          </w:tcPr>
          <w:p w14:paraId="02537C85" w14:textId="6ABA3FAA" w:rsidR="00DC6F68" w:rsidRPr="00B5728B" w:rsidRDefault="00DC6F68" w:rsidP="00DC6F68">
            <w:pPr>
              <w:rPr>
                <w:rFonts w:ascii="Times New Roman" w:hAnsi="Times New Roman" w:cs="Times New Roman"/>
                <w:b/>
                <w:bCs/>
              </w:rPr>
            </w:pPr>
          </w:p>
        </w:tc>
        <w:tc>
          <w:tcPr>
            <w:tcW w:w="0" w:type="auto"/>
          </w:tcPr>
          <w:p w14:paraId="7A333511" w14:textId="4B93DB5E" w:rsidR="00DC6F68" w:rsidRPr="00B5728B" w:rsidRDefault="00DC6F68" w:rsidP="00DC6F68">
            <w:pPr>
              <w:rPr>
                <w:rFonts w:ascii="Times New Roman" w:hAnsi="Times New Roman" w:cs="Times New Roman"/>
                <w:b/>
                <w:bCs/>
              </w:rPr>
            </w:pPr>
          </w:p>
        </w:tc>
        <w:tc>
          <w:tcPr>
            <w:tcW w:w="0" w:type="auto"/>
          </w:tcPr>
          <w:p w14:paraId="5EBD8ED5" w14:textId="3770B742" w:rsidR="00DC6F68" w:rsidRPr="00B5728B" w:rsidRDefault="00DC6F68" w:rsidP="00DC6F68">
            <w:pPr>
              <w:rPr>
                <w:rFonts w:ascii="Times New Roman" w:hAnsi="Times New Roman" w:cs="Times New Roman"/>
                <w:b/>
                <w:bCs/>
              </w:rPr>
            </w:pPr>
          </w:p>
        </w:tc>
        <w:tc>
          <w:tcPr>
            <w:tcW w:w="0" w:type="auto"/>
          </w:tcPr>
          <w:p w14:paraId="514893DB" w14:textId="119A1252" w:rsidR="00DC6F68" w:rsidRPr="00B5728B" w:rsidRDefault="00DC6F68" w:rsidP="00DC6F68">
            <w:pPr>
              <w:rPr>
                <w:rFonts w:ascii="Times New Roman" w:hAnsi="Times New Roman" w:cs="Times New Roman"/>
                <w:b/>
                <w:bCs/>
              </w:rPr>
            </w:pPr>
          </w:p>
        </w:tc>
        <w:tc>
          <w:tcPr>
            <w:tcW w:w="0" w:type="auto"/>
          </w:tcPr>
          <w:p w14:paraId="1DC583C6" w14:textId="56673AD3" w:rsidR="00DC6F68" w:rsidRPr="00B5728B" w:rsidRDefault="00DC6F68" w:rsidP="00DC6F68">
            <w:pPr>
              <w:rPr>
                <w:rFonts w:ascii="Times New Roman" w:hAnsi="Times New Roman" w:cs="Times New Roman"/>
                <w:b/>
                <w:bCs/>
              </w:rPr>
            </w:pPr>
          </w:p>
        </w:tc>
        <w:tc>
          <w:tcPr>
            <w:tcW w:w="0" w:type="auto"/>
          </w:tcPr>
          <w:p w14:paraId="63C58B4E" w14:textId="49DF7CDA" w:rsidR="00DC6F68" w:rsidRPr="00B5728B" w:rsidRDefault="00DC6F68" w:rsidP="00DC6F68">
            <w:pPr>
              <w:rPr>
                <w:rFonts w:ascii="Times New Roman" w:hAnsi="Times New Roman" w:cs="Times New Roman"/>
                <w:b/>
                <w:bCs/>
              </w:rPr>
            </w:pPr>
          </w:p>
        </w:tc>
        <w:tc>
          <w:tcPr>
            <w:tcW w:w="0" w:type="auto"/>
            <w:vAlign w:val="center"/>
            <w:hideMark/>
          </w:tcPr>
          <w:p w14:paraId="59252B5C" w14:textId="031F5326"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Avg. Rate (%)</w:t>
            </w:r>
          </w:p>
        </w:tc>
      </w:tr>
      <w:tr w:rsidR="00DC6F68" w:rsidRPr="00B5728B" w14:paraId="109065CE" w14:textId="77777777" w:rsidTr="00275D60">
        <w:trPr>
          <w:tblCellSpacing w:w="15" w:type="dxa"/>
        </w:trPr>
        <w:tc>
          <w:tcPr>
            <w:tcW w:w="0" w:type="auto"/>
            <w:vAlign w:val="center"/>
            <w:hideMark/>
          </w:tcPr>
          <w:p w14:paraId="7050630E"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2020</w:t>
            </w:r>
          </w:p>
        </w:tc>
        <w:tc>
          <w:tcPr>
            <w:tcW w:w="0" w:type="auto"/>
          </w:tcPr>
          <w:p w14:paraId="76879C98" w14:textId="77777777" w:rsidR="00DC6F68" w:rsidRPr="00B5728B" w:rsidRDefault="00DC6F68" w:rsidP="00DC6F68">
            <w:pPr>
              <w:rPr>
                <w:rFonts w:ascii="Times New Roman" w:hAnsi="Times New Roman" w:cs="Times New Roman"/>
                <w:b/>
                <w:bCs/>
              </w:rPr>
            </w:pPr>
          </w:p>
        </w:tc>
        <w:tc>
          <w:tcPr>
            <w:tcW w:w="0" w:type="auto"/>
          </w:tcPr>
          <w:p w14:paraId="10E948B3" w14:textId="77777777" w:rsidR="00DC6F68" w:rsidRPr="00B5728B" w:rsidRDefault="00DC6F68" w:rsidP="00DC6F68">
            <w:pPr>
              <w:rPr>
                <w:rFonts w:ascii="Times New Roman" w:hAnsi="Times New Roman" w:cs="Times New Roman"/>
                <w:b/>
                <w:bCs/>
              </w:rPr>
            </w:pPr>
          </w:p>
        </w:tc>
        <w:tc>
          <w:tcPr>
            <w:tcW w:w="0" w:type="auto"/>
          </w:tcPr>
          <w:p w14:paraId="2A98160A" w14:textId="4C1D08D9" w:rsidR="00DC6F68" w:rsidRPr="00B5728B" w:rsidRDefault="00DC6F68" w:rsidP="00DC6F68">
            <w:pPr>
              <w:rPr>
                <w:rFonts w:ascii="Times New Roman" w:hAnsi="Times New Roman" w:cs="Times New Roman"/>
                <w:b/>
                <w:bCs/>
              </w:rPr>
            </w:pPr>
          </w:p>
        </w:tc>
        <w:tc>
          <w:tcPr>
            <w:tcW w:w="0" w:type="auto"/>
          </w:tcPr>
          <w:p w14:paraId="656D0E6D" w14:textId="37F0C3E6" w:rsidR="00DC6F68" w:rsidRPr="00B5728B" w:rsidRDefault="00DC6F68" w:rsidP="00DC6F68">
            <w:pPr>
              <w:rPr>
                <w:rFonts w:ascii="Times New Roman" w:hAnsi="Times New Roman" w:cs="Times New Roman"/>
                <w:b/>
                <w:bCs/>
              </w:rPr>
            </w:pPr>
          </w:p>
        </w:tc>
        <w:tc>
          <w:tcPr>
            <w:tcW w:w="0" w:type="auto"/>
          </w:tcPr>
          <w:p w14:paraId="46D36421" w14:textId="7BA0DDE2" w:rsidR="00DC6F68" w:rsidRPr="00B5728B" w:rsidRDefault="00DC6F68" w:rsidP="00DC6F68">
            <w:pPr>
              <w:rPr>
                <w:rFonts w:ascii="Times New Roman" w:hAnsi="Times New Roman" w:cs="Times New Roman"/>
                <w:b/>
                <w:bCs/>
              </w:rPr>
            </w:pPr>
          </w:p>
        </w:tc>
        <w:tc>
          <w:tcPr>
            <w:tcW w:w="0" w:type="auto"/>
          </w:tcPr>
          <w:p w14:paraId="082CC771" w14:textId="57DCA5D9" w:rsidR="00DC6F68" w:rsidRPr="00B5728B" w:rsidRDefault="00DC6F68" w:rsidP="00DC6F68">
            <w:pPr>
              <w:rPr>
                <w:rFonts w:ascii="Times New Roman" w:hAnsi="Times New Roman" w:cs="Times New Roman"/>
                <w:b/>
                <w:bCs/>
              </w:rPr>
            </w:pPr>
          </w:p>
        </w:tc>
        <w:tc>
          <w:tcPr>
            <w:tcW w:w="0" w:type="auto"/>
          </w:tcPr>
          <w:p w14:paraId="6704BC38" w14:textId="1987C211" w:rsidR="00DC6F68" w:rsidRPr="00B5728B" w:rsidRDefault="00DC6F68" w:rsidP="00DC6F68">
            <w:pPr>
              <w:rPr>
                <w:rFonts w:ascii="Times New Roman" w:hAnsi="Times New Roman" w:cs="Times New Roman"/>
                <w:b/>
                <w:bCs/>
              </w:rPr>
            </w:pPr>
          </w:p>
        </w:tc>
        <w:tc>
          <w:tcPr>
            <w:tcW w:w="0" w:type="auto"/>
          </w:tcPr>
          <w:p w14:paraId="586C0423" w14:textId="291D6051" w:rsidR="00DC6F68" w:rsidRPr="00B5728B" w:rsidRDefault="00DC6F68" w:rsidP="00DC6F68">
            <w:pPr>
              <w:rPr>
                <w:rFonts w:ascii="Times New Roman" w:hAnsi="Times New Roman" w:cs="Times New Roman"/>
                <w:b/>
                <w:bCs/>
              </w:rPr>
            </w:pPr>
          </w:p>
        </w:tc>
        <w:tc>
          <w:tcPr>
            <w:tcW w:w="0" w:type="auto"/>
          </w:tcPr>
          <w:p w14:paraId="360EDB4B" w14:textId="685D2547" w:rsidR="00DC6F68" w:rsidRPr="00B5728B" w:rsidRDefault="00DC6F68" w:rsidP="00DC6F68">
            <w:pPr>
              <w:rPr>
                <w:rFonts w:ascii="Times New Roman" w:hAnsi="Times New Roman" w:cs="Times New Roman"/>
                <w:b/>
                <w:bCs/>
              </w:rPr>
            </w:pPr>
          </w:p>
        </w:tc>
        <w:tc>
          <w:tcPr>
            <w:tcW w:w="0" w:type="auto"/>
          </w:tcPr>
          <w:p w14:paraId="7CA58FD3" w14:textId="3D5D0ED5" w:rsidR="00DC6F68" w:rsidRPr="00B5728B" w:rsidRDefault="00DC6F68" w:rsidP="00DC6F68">
            <w:pPr>
              <w:rPr>
                <w:rFonts w:ascii="Times New Roman" w:hAnsi="Times New Roman" w:cs="Times New Roman"/>
                <w:b/>
                <w:bCs/>
              </w:rPr>
            </w:pPr>
          </w:p>
        </w:tc>
        <w:tc>
          <w:tcPr>
            <w:tcW w:w="0" w:type="auto"/>
            <w:vAlign w:val="center"/>
            <w:hideMark/>
          </w:tcPr>
          <w:p w14:paraId="56F50367" w14:textId="2C7E1983"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0.36</w:t>
            </w:r>
          </w:p>
        </w:tc>
      </w:tr>
      <w:tr w:rsidR="00DC6F68" w:rsidRPr="00B5728B" w14:paraId="56A7DBE5" w14:textId="77777777" w:rsidTr="00275D60">
        <w:trPr>
          <w:tblCellSpacing w:w="15" w:type="dxa"/>
        </w:trPr>
        <w:tc>
          <w:tcPr>
            <w:tcW w:w="0" w:type="auto"/>
            <w:vAlign w:val="center"/>
            <w:hideMark/>
          </w:tcPr>
          <w:p w14:paraId="0E9E4C15"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2021</w:t>
            </w:r>
          </w:p>
        </w:tc>
        <w:tc>
          <w:tcPr>
            <w:tcW w:w="0" w:type="auto"/>
          </w:tcPr>
          <w:p w14:paraId="56FBA29F" w14:textId="77777777" w:rsidR="00DC6F68" w:rsidRPr="00B5728B" w:rsidRDefault="00DC6F68" w:rsidP="00DC6F68">
            <w:pPr>
              <w:rPr>
                <w:rFonts w:ascii="Times New Roman" w:hAnsi="Times New Roman" w:cs="Times New Roman"/>
                <w:b/>
                <w:bCs/>
              </w:rPr>
            </w:pPr>
          </w:p>
        </w:tc>
        <w:tc>
          <w:tcPr>
            <w:tcW w:w="0" w:type="auto"/>
          </w:tcPr>
          <w:p w14:paraId="0DEB30F9" w14:textId="77777777" w:rsidR="00DC6F68" w:rsidRPr="00B5728B" w:rsidRDefault="00DC6F68" w:rsidP="00DC6F68">
            <w:pPr>
              <w:rPr>
                <w:rFonts w:ascii="Times New Roman" w:hAnsi="Times New Roman" w:cs="Times New Roman"/>
                <w:b/>
                <w:bCs/>
              </w:rPr>
            </w:pPr>
          </w:p>
        </w:tc>
        <w:tc>
          <w:tcPr>
            <w:tcW w:w="0" w:type="auto"/>
          </w:tcPr>
          <w:p w14:paraId="30167DF7" w14:textId="6096A2AA" w:rsidR="00DC6F68" w:rsidRPr="00B5728B" w:rsidRDefault="00DC6F68" w:rsidP="00DC6F68">
            <w:pPr>
              <w:rPr>
                <w:rFonts w:ascii="Times New Roman" w:hAnsi="Times New Roman" w:cs="Times New Roman"/>
                <w:b/>
                <w:bCs/>
              </w:rPr>
            </w:pPr>
          </w:p>
        </w:tc>
        <w:tc>
          <w:tcPr>
            <w:tcW w:w="0" w:type="auto"/>
          </w:tcPr>
          <w:p w14:paraId="64708B49" w14:textId="27923C0D" w:rsidR="00DC6F68" w:rsidRPr="00B5728B" w:rsidRDefault="00DC6F68" w:rsidP="00DC6F68">
            <w:pPr>
              <w:rPr>
                <w:rFonts w:ascii="Times New Roman" w:hAnsi="Times New Roman" w:cs="Times New Roman"/>
                <w:b/>
                <w:bCs/>
              </w:rPr>
            </w:pPr>
          </w:p>
        </w:tc>
        <w:tc>
          <w:tcPr>
            <w:tcW w:w="0" w:type="auto"/>
          </w:tcPr>
          <w:p w14:paraId="5D6D7B5E" w14:textId="23CF5805" w:rsidR="00DC6F68" w:rsidRPr="00B5728B" w:rsidRDefault="00DC6F68" w:rsidP="00DC6F68">
            <w:pPr>
              <w:rPr>
                <w:rFonts w:ascii="Times New Roman" w:hAnsi="Times New Roman" w:cs="Times New Roman"/>
                <w:b/>
                <w:bCs/>
              </w:rPr>
            </w:pPr>
          </w:p>
        </w:tc>
        <w:tc>
          <w:tcPr>
            <w:tcW w:w="0" w:type="auto"/>
          </w:tcPr>
          <w:p w14:paraId="4F37B7E0" w14:textId="36B51EDB" w:rsidR="00DC6F68" w:rsidRPr="00B5728B" w:rsidRDefault="00DC6F68" w:rsidP="00DC6F68">
            <w:pPr>
              <w:rPr>
                <w:rFonts w:ascii="Times New Roman" w:hAnsi="Times New Roman" w:cs="Times New Roman"/>
                <w:b/>
                <w:bCs/>
              </w:rPr>
            </w:pPr>
          </w:p>
        </w:tc>
        <w:tc>
          <w:tcPr>
            <w:tcW w:w="0" w:type="auto"/>
          </w:tcPr>
          <w:p w14:paraId="4271117B" w14:textId="38EBF58B" w:rsidR="00DC6F68" w:rsidRPr="00B5728B" w:rsidRDefault="00DC6F68" w:rsidP="00DC6F68">
            <w:pPr>
              <w:rPr>
                <w:rFonts w:ascii="Times New Roman" w:hAnsi="Times New Roman" w:cs="Times New Roman"/>
                <w:b/>
                <w:bCs/>
              </w:rPr>
            </w:pPr>
          </w:p>
        </w:tc>
        <w:tc>
          <w:tcPr>
            <w:tcW w:w="0" w:type="auto"/>
          </w:tcPr>
          <w:p w14:paraId="478F3AB0" w14:textId="3BB5A469" w:rsidR="00DC6F68" w:rsidRPr="00B5728B" w:rsidRDefault="00DC6F68" w:rsidP="00DC6F68">
            <w:pPr>
              <w:rPr>
                <w:rFonts w:ascii="Times New Roman" w:hAnsi="Times New Roman" w:cs="Times New Roman"/>
                <w:b/>
                <w:bCs/>
              </w:rPr>
            </w:pPr>
          </w:p>
        </w:tc>
        <w:tc>
          <w:tcPr>
            <w:tcW w:w="0" w:type="auto"/>
          </w:tcPr>
          <w:p w14:paraId="54656DBB" w14:textId="42E78968" w:rsidR="00DC6F68" w:rsidRPr="00B5728B" w:rsidRDefault="00DC6F68" w:rsidP="00DC6F68">
            <w:pPr>
              <w:rPr>
                <w:rFonts w:ascii="Times New Roman" w:hAnsi="Times New Roman" w:cs="Times New Roman"/>
                <w:b/>
                <w:bCs/>
              </w:rPr>
            </w:pPr>
          </w:p>
        </w:tc>
        <w:tc>
          <w:tcPr>
            <w:tcW w:w="0" w:type="auto"/>
          </w:tcPr>
          <w:p w14:paraId="6552DA43" w14:textId="72FFA4E2" w:rsidR="00DC6F68" w:rsidRPr="00B5728B" w:rsidRDefault="00DC6F68" w:rsidP="00DC6F68">
            <w:pPr>
              <w:rPr>
                <w:rFonts w:ascii="Times New Roman" w:hAnsi="Times New Roman" w:cs="Times New Roman"/>
                <w:b/>
                <w:bCs/>
              </w:rPr>
            </w:pPr>
          </w:p>
        </w:tc>
        <w:tc>
          <w:tcPr>
            <w:tcW w:w="0" w:type="auto"/>
            <w:vAlign w:val="center"/>
            <w:hideMark/>
          </w:tcPr>
          <w:p w14:paraId="69D9769A" w14:textId="768B9EAA"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0.08</w:t>
            </w:r>
          </w:p>
        </w:tc>
      </w:tr>
      <w:tr w:rsidR="00DC6F68" w:rsidRPr="00B5728B" w14:paraId="466B9A1F" w14:textId="77777777" w:rsidTr="00275D60">
        <w:trPr>
          <w:tblCellSpacing w:w="15" w:type="dxa"/>
        </w:trPr>
        <w:tc>
          <w:tcPr>
            <w:tcW w:w="0" w:type="auto"/>
            <w:vAlign w:val="center"/>
            <w:hideMark/>
          </w:tcPr>
          <w:p w14:paraId="00ABB3E4"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2022</w:t>
            </w:r>
          </w:p>
        </w:tc>
        <w:tc>
          <w:tcPr>
            <w:tcW w:w="0" w:type="auto"/>
          </w:tcPr>
          <w:p w14:paraId="5B08BCD4" w14:textId="77777777" w:rsidR="00DC6F68" w:rsidRPr="00B5728B" w:rsidRDefault="00DC6F68" w:rsidP="00DC6F68">
            <w:pPr>
              <w:rPr>
                <w:rFonts w:ascii="Times New Roman" w:hAnsi="Times New Roman" w:cs="Times New Roman"/>
                <w:b/>
                <w:bCs/>
              </w:rPr>
            </w:pPr>
          </w:p>
        </w:tc>
        <w:tc>
          <w:tcPr>
            <w:tcW w:w="0" w:type="auto"/>
          </w:tcPr>
          <w:p w14:paraId="48ACEC15" w14:textId="77777777" w:rsidR="00DC6F68" w:rsidRPr="00B5728B" w:rsidRDefault="00DC6F68" w:rsidP="00DC6F68">
            <w:pPr>
              <w:rPr>
                <w:rFonts w:ascii="Times New Roman" w:hAnsi="Times New Roman" w:cs="Times New Roman"/>
                <w:b/>
                <w:bCs/>
              </w:rPr>
            </w:pPr>
          </w:p>
        </w:tc>
        <w:tc>
          <w:tcPr>
            <w:tcW w:w="0" w:type="auto"/>
          </w:tcPr>
          <w:p w14:paraId="7DFFCEBF" w14:textId="12C27270" w:rsidR="00DC6F68" w:rsidRPr="00B5728B" w:rsidRDefault="00DC6F68" w:rsidP="00DC6F68">
            <w:pPr>
              <w:rPr>
                <w:rFonts w:ascii="Times New Roman" w:hAnsi="Times New Roman" w:cs="Times New Roman"/>
                <w:b/>
                <w:bCs/>
              </w:rPr>
            </w:pPr>
          </w:p>
        </w:tc>
        <w:tc>
          <w:tcPr>
            <w:tcW w:w="0" w:type="auto"/>
          </w:tcPr>
          <w:p w14:paraId="24B6C913" w14:textId="69EB2BE5" w:rsidR="00DC6F68" w:rsidRPr="00B5728B" w:rsidRDefault="00DC6F68" w:rsidP="00DC6F68">
            <w:pPr>
              <w:rPr>
                <w:rFonts w:ascii="Times New Roman" w:hAnsi="Times New Roman" w:cs="Times New Roman"/>
                <w:b/>
                <w:bCs/>
              </w:rPr>
            </w:pPr>
          </w:p>
        </w:tc>
        <w:tc>
          <w:tcPr>
            <w:tcW w:w="0" w:type="auto"/>
          </w:tcPr>
          <w:p w14:paraId="6970681A" w14:textId="4C9C56B2" w:rsidR="00DC6F68" w:rsidRPr="00B5728B" w:rsidRDefault="00DC6F68" w:rsidP="00DC6F68">
            <w:pPr>
              <w:rPr>
                <w:rFonts w:ascii="Times New Roman" w:hAnsi="Times New Roman" w:cs="Times New Roman"/>
                <w:b/>
                <w:bCs/>
              </w:rPr>
            </w:pPr>
          </w:p>
        </w:tc>
        <w:tc>
          <w:tcPr>
            <w:tcW w:w="0" w:type="auto"/>
          </w:tcPr>
          <w:p w14:paraId="3F84DCEF" w14:textId="4C22ADBF" w:rsidR="00DC6F68" w:rsidRPr="00B5728B" w:rsidRDefault="00DC6F68" w:rsidP="00DC6F68">
            <w:pPr>
              <w:rPr>
                <w:rFonts w:ascii="Times New Roman" w:hAnsi="Times New Roman" w:cs="Times New Roman"/>
                <w:b/>
                <w:bCs/>
              </w:rPr>
            </w:pPr>
          </w:p>
        </w:tc>
        <w:tc>
          <w:tcPr>
            <w:tcW w:w="0" w:type="auto"/>
          </w:tcPr>
          <w:p w14:paraId="6FC04D7C" w14:textId="2795F92C" w:rsidR="00DC6F68" w:rsidRPr="00B5728B" w:rsidRDefault="00DC6F68" w:rsidP="00DC6F68">
            <w:pPr>
              <w:rPr>
                <w:rFonts w:ascii="Times New Roman" w:hAnsi="Times New Roman" w:cs="Times New Roman"/>
                <w:b/>
                <w:bCs/>
              </w:rPr>
            </w:pPr>
          </w:p>
        </w:tc>
        <w:tc>
          <w:tcPr>
            <w:tcW w:w="0" w:type="auto"/>
          </w:tcPr>
          <w:p w14:paraId="0106C1DD" w14:textId="06B88483" w:rsidR="00DC6F68" w:rsidRPr="00B5728B" w:rsidRDefault="00DC6F68" w:rsidP="00DC6F68">
            <w:pPr>
              <w:rPr>
                <w:rFonts w:ascii="Times New Roman" w:hAnsi="Times New Roman" w:cs="Times New Roman"/>
                <w:b/>
                <w:bCs/>
              </w:rPr>
            </w:pPr>
          </w:p>
        </w:tc>
        <w:tc>
          <w:tcPr>
            <w:tcW w:w="0" w:type="auto"/>
          </w:tcPr>
          <w:p w14:paraId="064F6688" w14:textId="5CCB5EF5" w:rsidR="00DC6F68" w:rsidRPr="00B5728B" w:rsidRDefault="00DC6F68" w:rsidP="00DC6F68">
            <w:pPr>
              <w:rPr>
                <w:rFonts w:ascii="Times New Roman" w:hAnsi="Times New Roman" w:cs="Times New Roman"/>
                <w:b/>
                <w:bCs/>
              </w:rPr>
            </w:pPr>
          </w:p>
        </w:tc>
        <w:tc>
          <w:tcPr>
            <w:tcW w:w="0" w:type="auto"/>
          </w:tcPr>
          <w:p w14:paraId="3CE47334" w14:textId="522F940C" w:rsidR="00DC6F68" w:rsidRPr="00B5728B" w:rsidRDefault="00DC6F68" w:rsidP="00DC6F68">
            <w:pPr>
              <w:rPr>
                <w:rFonts w:ascii="Times New Roman" w:hAnsi="Times New Roman" w:cs="Times New Roman"/>
                <w:b/>
                <w:bCs/>
              </w:rPr>
            </w:pPr>
          </w:p>
        </w:tc>
        <w:tc>
          <w:tcPr>
            <w:tcW w:w="0" w:type="auto"/>
            <w:vAlign w:val="center"/>
            <w:hideMark/>
          </w:tcPr>
          <w:p w14:paraId="5620E12F" w14:textId="368C3BF2"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1.67</w:t>
            </w:r>
          </w:p>
        </w:tc>
      </w:tr>
      <w:tr w:rsidR="00DC6F68" w:rsidRPr="00B5728B" w14:paraId="49B8E95B" w14:textId="77777777" w:rsidTr="00275D60">
        <w:trPr>
          <w:tblCellSpacing w:w="15" w:type="dxa"/>
        </w:trPr>
        <w:tc>
          <w:tcPr>
            <w:tcW w:w="0" w:type="auto"/>
            <w:vAlign w:val="center"/>
            <w:hideMark/>
          </w:tcPr>
          <w:p w14:paraId="29047898"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2023</w:t>
            </w:r>
          </w:p>
        </w:tc>
        <w:tc>
          <w:tcPr>
            <w:tcW w:w="0" w:type="auto"/>
          </w:tcPr>
          <w:p w14:paraId="4DAC20A1" w14:textId="77777777" w:rsidR="00DC6F68" w:rsidRPr="00B5728B" w:rsidRDefault="00DC6F68" w:rsidP="00DC6F68">
            <w:pPr>
              <w:rPr>
                <w:rFonts w:ascii="Times New Roman" w:hAnsi="Times New Roman" w:cs="Times New Roman"/>
                <w:b/>
                <w:bCs/>
              </w:rPr>
            </w:pPr>
          </w:p>
        </w:tc>
        <w:tc>
          <w:tcPr>
            <w:tcW w:w="0" w:type="auto"/>
          </w:tcPr>
          <w:p w14:paraId="1E92F337" w14:textId="77777777" w:rsidR="00DC6F68" w:rsidRPr="00B5728B" w:rsidRDefault="00DC6F68" w:rsidP="00DC6F68">
            <w:pPr>
              <w:rPr>
                <w:rFonts w:ascii="Times New Roman" w:hAnsi="Times New Roman" w:cs="Times New Roman"/>
                <w:b/>
                <w:bCs/>
              </w:rPr>
            </w:pPr>
          </w:p>
        </w:tc>
        <w:tc>
          <w:tcPr>
            <w:tcW w:w="0" w:type="auto"/>
          </w:tcPr>
          <w:p w14:paraId="231E2458" w14:textId="2CE9C0B7" w:rsidR="00DC6F68" w:rsidRPr="00B5728B" w:rsidRDefault="00DC6F68" w:rsidP="00DC6F68">
            <w:pPr>
              <w:rPr>
                <w:rFonts w:ascii="Times New Roman" w:hAnsi="Times New Roman" w:cs="Times New Roman"/>
                <w:b/>
                <w:bCs/>
              </w:rPr>
            </w:pPr>
          </w:p>
        </w:tc>
        <w:tc>
          <w:tcPr>
            <w:tcW w:w="0" w:type="auto"/>
          </w:tcPr>
          <w:p w14:paraId="006E4E7E" w14:textId="59AB7E6E" w:rsidR="00DC6F68" w:rsidRPr="00B5728B" w:rsidRDefault="00DC6F68" w:rsidP="00DC6F68">
            <w:pPr>
              <w:rPr>
                <w:rFonts w:ascii="Times New Roman" w:hAnsi="Times New Roman" w:cs="Times New Roman"/>
                <w:b/>
                <w:bCs/>
              </w:rPr>
            </w:pPr>
          </w:p>
        </w:tc>
        <w:tc>
          <w:tcPr>
            <w:tcW w:w="0" w:type="auto"/>
          </w:tcPr>
          <w:p w14:paraId="4F50B67C" w14:textId="134CB2A6" w:rsidR="00DC6F68" w:rsidRPr="00B5728B" w:rsidRDefault="00DC6F68" w:rsidP="00DC6F68">
            <w:pPr>
              <w:rPr>
                <w:rFonts w:ascii="Times New Roman" w:hAnsi="Times New Roman" w:cs="Times New Roman"/>
                <w:b/>
                <w:bCs/>
              </w:rPr>
            </w:pPr>
          </w:p>
        </w:tc>
        <w:tc>
          <w:tcPr>
            <w:tcW w:w="0" w:type="auto"/>
          </w:tcPr>
          <w:p w14:paraId="4DB5F5F9" w14:textId="1856A6FB" w:rsidR="00DC6F68" w:rsidRPr="00B5728B" w:rsidRDefault="00DC6F68" w:rsidP="00DC6F68">
            <w:pPr>
              <w:rPr>
                <w:rFonts w:ascii="Times New Roman" w:hAnsi="Times New Roman" w:cs="Times New Roman"/>
                <w:b/>
                <w:bCs/>
              </w:rPr>
            </w:pPr>
          </w:p>
        </w:tc>
        <w:tc>
          <w:tcPr>
            <w:tcW w:w="0" w:type="auto"/>
          </w:tcPr>
          <w:p w14:paraId="4CA8DFD8" w14:textId="671C8F65" w:rsidR="00DC6F68" w:rsidRPr="00B5728B" w:rsidRDefault="00DC6F68" w:rsidP="00DC6F68">
            <w:pPr>
              <w:rPr>
                <w:rFonts w:ascii="Times New Roman" w:hAnsi="Times New Roman" w:cs="Times New Roman"/>
                <w:b/>
                <w:bCs/>
              </w:rPr>
            </w:pPr>
          </w:p>
        </w:tc>
        <w:tc>
          <w:tcPr>
            <w:tcW w:w="0" w:type="auto"/>
          </w:tcPr>
          <w:p w14:paraId="0EAE6266" w14:textId="3F697B38" w:rsidR="00DC6F68" w:rsidRPr="00B5728B" w:rsidRDefault="00DC6F68" w:rsidP="00DC6F68">
            <w:pPr>
              <w:rPr>
                <w:rFonts w:ascii="Times New Roman" w:hAnsi="Times New Roman" w:cs="Times New Roman"/>
                <w:b/>
                <w:bCs/>
              </w:rPr>
            </w:pPr>
          </w:p>
        </w:tc>
        <w:tc>
          <w:tcPr>
            <w:tcW w:w="0" w:type="auto"/>
          </w:tcPr>
          <w:p w14:paraId="0B295147" w14:textId="7B47DB20" w:rsidR="00DC6F68" w:rsidRPr="00B5728B" w:rsidRDefault="00DC6F68" w:rsidP="00DC6F68">
            <w:pPr>
              <w:rPr>
                <w:rFonts w:ascii="Times New Roman" w:hAnsi="Times New Roman" w:cs="Times New Roman"/>
                <w:b/>
                <w:bCs/>
              </w:rPr>
            </w:pPr>
          </w:p>
        </w:tc>
        <w:tc>
          <w:tcPr>
            <w:tcW w:w="0" w:type="auto"/>
          </w:tcPr>
          <w:p w14:paraId="466580B1" w14:textId="2F1D1E8A" w:rsidR="00DC6F68" w:rsidRPr="00B5728B" w:rsidRDefault="00DC6F68" w:rsidP="00DC6F68">
            <w:pPr>
              <w:rPr>
                <w:rFonts w:ascii="Times New Roman" w:hAnsi="Times New Roman" w:cs="Times New Roman"/>
                <w:b/>
                <w:bCs/>
              </w:rPr>
            </w:pPr>
          </w:p>
        </w:tc>
        <w:tc>
          <w:tcPr>
            <w:tcW w:w="0" w:type="auto"/>
            <w:vAlign w:val="center"/>
            <w:hideMark/>
          </w:tcPr>
          <w:p w14:paraId="2B933730" w14:textId="232465E3"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5.02</w:t>
            </w:r>
          </w:p>
        </w:tc>
      </w:tr>
      <w:tr w:rsidR="00DC6F68" w:rsidRPr="00B5728B" w14:paraId="5B25E4B8" w14:textId="77777777" w:rsidTr="00275D60">
        <w:trPr>
          <w:tblCellSpacing w:w="15" w:type="dxa"/>
        </w:trPr>
        <w:tc>
          <w:tcPr>
            <w:tcW w:w="0" w:type="auto"/>
            <w:vAlign w:val="center"/>
            <w:hideMark/>
          </w:tcPr>
          <w:p w14:paraId="55DD1562"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2024</w:t>
            </w:r>
          </w:p>
        </w:tc>
        <w:tc>
          <w:tcPr>
            <w:tcW w:w="0" w:type="auto"/>
          </w:tcPr>
          <w:p w14:paraId="67CD7321" w14:textId="77777777" w:rsidR="00DC6F68" w:rsidRPr="00B5728B" w:rsidRDefault="00DC6F68" w:rsidP="00DC6F68">
            <w:pPr>
              <w:rPr>
                <w:rFonts w:ascii="Times New Roman" w:hAnsi="Times New Roman" w:cs="Times New Roman"/>
                <w:b/>
                <w:bCs/>
              </w:rPr>
            </w:pPr>
          </w:p>
        </w:tc>
        <w:tc>
          <w:tcPr>
            <w:tcW w:w="0" w:type="auto"/>
          </w:tcPr>
          <w:p w14:paraId="5BF99323" w14:textId="77777777" w:rsidR="00DC6F68" w:rsidRPr="00B5728B" w:rsidRDefault="00DC6F68" w:rsidP="00DC6F68">
            <w:pPr>
              <w:rPr>
                <w:rFonts w:ascii="Times New Roman" w:hAnsi="Times New Roman" w:cs="Times New Roman"/>
                <w:b/>
                <w:bCs/>
              </w:rPr>
            </w:pPr>
          </w:p>
        </w:tc>
        <w:tc>
          <w:tcPr>
            <w:tcW w:w="0" w:type="auto"/>
          </w:tcPr>
          <w:p w14:paraId="7D4CE15D" w14:textId="06894A71" w:rsidR="00DC6F68" w:rsidRPr="00B5728B" w:rsidRDefault="00DC6F68" w:rsidP="00DC6F68">
            <w:pPr>
              <w:rPr>
                <w:rFonts w:ascii="Times New Roman" w:hAnsi="Times New Roman" w:cs="Times New Roman"/>
                <w:b/>
                <w:bCs/>
              </w:rPr>
            </w:pPr>
          </w:p>
        </w:tc>
        <w:tc>
          <w:tcPr>
            <w:tcW w:w="0" w:type="auto"/>
          </w:tcPr>
          <w:p w14:paraId="1F8DF487" w14:textId="56650A66" w:rsidR="00DC6F68" w:rsidRPr="00B5728B" w:rsidRDefault="00DC6F68" w:rsidP="00DC6F68">
            <w:pPr>
              <w:rPr>
                <w:rFonts w:ascii="Times New Roman" w:hAnsi="Times New Roman" w:cs="Times New Roman"/>
                <w:b/>
                <w:bCs/>
              </w:rPr>
            </w:pPr>
          </w:p>
        </w:tc>
        <w:tc>
          <w:tcPr>
            <w:tcW w:w="0" w:type="auto"/>
          </w:tcPr>
          <w:p w14:paraId="49D26DCC" w14:textId="22C5F67E" w:rsidR="00DC6F68" w:rsidRPr="00B5728B" w:rsidRDefault="00DC6F68" w:rsidP="00DC6F68">
            <w:pPr>
              <w:rPr>
                <w:rFonts w:ascii="Times New Roman" w:hAnsi="Times New Roman" w:cs="Times New Roman"/>
                <w:b/>
                <w:bCs/>
              </w:rPr>
            </w:pPr>
          </w:p>
        </w:tc>
        <w:tc>
          <w:tcPr>
            <w:tcW w:w="0" w:type="auto"/>
          </w:tcPr>
          <w:p w14:paraId="15A49941" w14:textId="6675A1F0" w:rsidR="00DC6F68" w:rsidRPr="00B5728B" w:rsidRDefault="00DC6F68" w:rsidP="00DC6F68">
            <w:pPr>
              <w:rPr>
                <w:rFonts w:ascii="Times New Roman" w:hAnsi="Times New Roman" w:cs="Times New Roman"/>
                <w:b/>
                <w:bCs/>
              </w:rPr>
            </w:pPr>
          </w:p>
        </w:tc>
        <w:tc>
          <w:tcPr>
            <w:tcW w:w="0" w:type="auto"/>
          </w:tcPr>
          <w:p w14:paraId="71ADD93C" w14:textId="58AA3AF4" w:rsidR="00DC6F68" w:rsidRPr="00B5728B" w:rsidRDefault="00DC6F68" w:rsidP="00DC6F68">
            <w:pPr>
              <w:rPr>
                <w:rFonts w:ascii="Times New Roman" w:hAnsi="Times New Roman" w:cs="Times New Roman"/>
                <w:b/>
                <w:bCs/>
              </w:rPr>
            </w:pPr>
          </w:p>
        </w:tc>
        <w:tc>
          <w:tcPr>
            <w:tcW w:w="0" w:type="auto"/>
          </w:tcPr>
          <w:p w14:paraId="0176D45F" w14:textId="05A04CC5" w:rsidR="00DC6F68" w:rsidRPr="00B5728B" w:rsidRDefault="00DC6F68" w:rsidP="00DC6F68">
            <w:pPr>
              <w:rPr>
                <w:rFonts w:ascii="Times New Roman" w:hAnsi="Times New Roman" w:cs="Times New Roman"/>
                <w:b/>
                <w:bCs/>
              </w:rPr>
            </w:pPr>
          </w:p>
        </w:tc>
        <w:tc>
          <w:tcPr>
            <w:tcW w:w="0" w:type="auto"/>
          </w:tcPr>
          <w:p w14:paraId="1DFB4E42" w14:textId="5301A72A" w:rsidR="00DC6F68" w:rsidRPr="00B5728B" w:rsidRDefault="00DC6F68" w:rsidP="00DC6F68">
            <w:pPr>
              <w:rPr>
                <w:rFonts w:ascii="Times New Roman" w:hAnsi="Times New Roman" w:cs="Times New Roman"/>
                <w:b/>
                <w:bCs/>
              </w:rPr>
            </w:pPr>
          </w:p>
        </w:tc>
        <w:tc>
          <w:tcPr>
            <w:tcW w:w="0" w:type="auto"/>
          </w:tcPr>
          <w:p w14:paraId="07EDFE71" w14:textId="4B1FCCA9" w:rsidR="00DC6F68" w:rsidRPr="00B5728B" w:rsidRDefault="00DC6F68" w:rsidP="00DC6F68">
            <w:pPr>
              <w:rPr>
                <w:rFonts w:ascii="Times New Roman" w:hAnsi="Times New Roman" w:cs="Times New Roman"/>
                <w:b/>
                <w:bCs/>
              </w:rPr>
            </w:pPr>
          </w:p>
        </w:tc>
        <w:tc>
          <w:tcPr>
            <w:tcW w:w="0" w:type="auto"/>
            <w:vAlign w:val="center"/>
            <w:hideMark/>
          </w:tcPr>
          <w:p w14:paraId="1D8A3BD4" w14:textId="3F06EE3A"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5.13</w:t>
            </w:r>
          </w:p>
        </w:tc>
      </w:tr>
      <w:tr w:rsidR="00DC6F68" w:rsidRPr="00B5728B" w14:paraId="7597998E" w14:textId="77777777" w:rsidTr="00275D60">
        <w:trPr>
          <w:tblCellSpacing w:w="15" w:type="dxa"/>
        </w:trPr>
        <w:tc>
          <w:tcPr>
            <w:tcW w:w="0" w:type="auto"/>
            <w:vAlign w:val="center"/>
            <w:hideMark/>
          </w:tcPr>
          <w:p w14:paraId="57C4433B" w14:textId="77777777"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2025</w:t>
            </w:r>
          </w:p>
        </w:tc>
        <w:tc>
          <w:tcPr>
            <w:tcW w:w="0" w:type="auto"/>
          </w:tcPr>
          <w:p w14:paraId="13207C7B" w14:textId="77777777" w:rsidR="00DC6F68" w:rsidRPr="00B5728B" w:rsidRDefault="00DC6F68" w:rsidP="00DC6F68">
            <w:pPr>
              <w:rPr>
                <w:rFonts w:ascii="Times New Roman" w:hAnsi="Times New Roman" w:cs="Times New Roman"/>
                <w:b/>
                <w:bCs/>
              </w:rPr>
            </w:pPr>
          </w:p>
        </w:tc>
        <w:tc>
          <w:tcPr>
            <w:tcW w:w="0" w:type="auto"/>
          </w:tcPr>
          <w:p w14:paraId="46F0EE8D" w14:textId="77777777" w:rsidR="00DC6F68" w:rsidRPr="00B5728B" w:rsidRDefault="00DC6F68" w:rsidP="00DC6F68">
            <w:pPr>
              <w:rPr>
                <w:rFonts w:ascii="Times New Roman" w:hAnsi="Times New Roman" w:cs="Times New Roman"/>
                <w:b/>
                <w:bCs/>
              </w:rPr>
            </w:pPr>
          </w:p>
        </w:tc>
        <w:tc>
          <w:tcPr>
            <w:tcW w:w="0" w:type="auto"/>
          </w:tcPr>
          <w:p w14:paraId="74D86446" w14:textId="108E8780" w:rsidR="00DC6F68" w:rsidRPr="00B5728B" w:rsidRDefault="00DC6F68" w:rsidP="00DC6F68">
            <w:pPr>
              <w:rPr>
                <w:rFonts w:ascii="Times New Roman" w:hAnsi="Times New Roman" w:cs="Times New Roman"/>
                <w:b/>
                <w:bCs/>
              </w:rPr>
            </w:pPr>
          </w:p>
        </w:tc>
        <w:tc>
          <w:tcPr>
            <w:tcW w:w="0" w:type="auto"/>
          </w:tcPr>
          <w:p w14:paraId="7A050E69" w14:textId="096EA5B9" w:rsidR="00DC6F68" w:rsidRPr="00B5728B" w:rsidRDefault="00DC6F68" w:rsidP="00DC6F68">
            <w:pPr>
              <w:rPr>
                <w:rFonts w:ascii="Times New Roman" w:hAnsi="Times New Roman" w:cs="Times New Roman"/>
                <w:b/>
                <w:bCs/>
              </w:rPr>
            </w:pPr>
          </w:p>
        </w:tc>
        <w:tc>
          <w:tcPr>
            <w:tcW w:w="0" w:type="auto"/>
          </w:tcPr>
          <w:p w14:paraId="0E675D04" w14:textId="23EA993A" w:rsidR="00DC6F68" w:rsidRPr="00B5728B" w:rsidRDefault="00DC6F68" w:rsidP="00DC6F68">
            <w:pPr>
              <w:rPr>
                <w:rFonts w:ascii="Times New Roman" w:hAnsi="Times New Roman" w:cs="Times New Roman"/>
                <w:b/>
                <w:bCs/>
              </w:rPr>
            </w:pPr>
          </w:p>
        </w:tc>
        <w:tc>
          <w:tcPr>
            <w:tcW w:w="0" w:type="auto"/>
          </w:tcPr>
          <w:p w14:paraId="7444EE76" w14:textId="28CAFD62" w:rsidR="00DC6F68" w:rsidRPr="00B5728B" w:rsidRDefault="00DC6F68" w:rsidP="00DC6F68">
            <w:pPr>
              <w:rPr>
                <w:rFonts w:ascii="Times New Roman" w:hAnsi="Times New Roman" w:cs="Times New Roman"/>
                <w:b/>
                <w:bCs/>
              </w:rPr>
            </w:pPr>
          </w:p>
        </w:tc>
        <w:tc>
          <w:tcPr>
            <w:tcW w:w="0" w:type="auto"/>
          </w:tcPr>
          <w:p w14:paraId="37361B8A" w14:textId="66981AB1" w:rsidR="00DC6F68" w:rsidRPr="00B5728B" w:rsidRDefault="00DC6F68" w:rsidP="00DC6F68">
            <w:pPr>
              <w:rPr>
                <w:rFonts w:ascii="Times New Roman" w:hAnsi="Times New Roman" w:cs="Times New Roman"/>
                <w:b/>
                <w:bCs/>
              </w:rPr>
            </w:pPr>
          </w:p>
        </w:tc>
        <w:tc>
          <w:tcPr>
            <w:tcW w:w="0" w:type="auto"/>
          </w:tcPr>
          <w:p w14:paraId="0114F947" w14:textId="3573D16D" w:rsidR="00DC6F68" w:rsidRPr="00B5728B" w:rsidRDefault="00DC6F68" w:rsidP="00DC6F68">
            <w:pPr>
              <w:rPr>
                <w:rFonts w:ascii="Times New Roman" w:hAnsi="Times New Roman" w:cs="Times New Roman"/>
                <w:b/>
                <w:bCs/>
              </w:rPr>
            </w:pPr>
          </w:p>
        </w:tc>
        <w:tc>
          <w:tcPr>
            <w:tcW w:w="0" w:type="auto"/>
          </w:tcPr>
          <w:p w14:paraId="11640FA9" w14:textId="46BDF962" w:rsidR="00DC6F68" w:rsidRPr="00B5728B" w:rsidRDefault="00DC6F68" w:rsidP="00DC6F68">
            <w:pPr>
              <w:rPr>
                <w:rFonts w:ascii="Times New Roman" w:hAnsi="Times New Roman" w:cs="Times New Roman"/>
                <w:b/>
                <w:bCs/>
              </w:rPr>
            </w:pPr>
          </w:p>
        </w:tc>
        <w:tc>
          <w:tcPr>
            <w:tcW w:w="0" w:type="auto"/>
          </w:tcPr>
          <w:p w14:paraId="4A22A26C" w14:textId="4CF5EBCE" w:rsidR="00DC6F68" w:rsidRPr="00B5728B" w:rsidRDefault="00DC6F68" w:rsidP="00DC6F68">
            <w:pPr>
              <w:rPr>
                <w:rFonts w:ascii="Times New Roman" w:hAnsi="Times New Roman" w:cs="Times New Roman"/>
                <w:b/>
                <w:bCs/>
              </w:rPr>
            </w:pPr>
          </w:p>
        </w:tc>
        <w:tc>
          <w:tcPr>
            <w:tcW w:w="0" w:type="auto"/>
            <w:vAlign w:val="center"/>
            <w:hideMark/>
          </w:tcPr>
          <w:p w14:paraId="1F5406DA" w14:textId="5046E095" w:rsidR="00DC6F68" w:rsidRPr="00DC6F68" w:rsidRDefault="00DC6F68" w:rsidP="00DC6F68">
            <w:pPr>
              <w:rPr>
                <w:rFonts w:ascii="Times New Roman" w:hAnsi="Times New Roman" w:cs="Times New Roman"/>
                <w:b/>
                <w:bCs/>
              </w:rPr>
            </w:pPr>
            <w:r w:rsidRPr="00DC6F68">
              <w:rPr>
                <w:rFonts w:ascii="Times New Roman" w:hAnsi="Times New Roman" w:cs="Times New Roman"/>
                <w:b/>
                <w:bCs/>
              </w:rPr>
              <w:t>4.34</w:t>
            </w:r>
          </w:p>
        </w:tc>
      </w:tr>
    </w:tbl>
    <w:p w14:paraId="7AEEFDF3" w14:textId="127ADAB7" w:rsidR="00767C5F" w:rsidRPr="00767C5F" w:rsidRDefault="00767C5F" w:rsidP="00767C5F">
      <w:pPr>
        <w:ind w:left="720"/>
        <w:rPr>
          <w:rFonts w:ascii="Times New Roman" w:hAnsi="Times New Roman" w:cs="Times New Roman"/>
          <w:b/>
          <w:bCs/>
        </w:rPr>
      </w:pPr>
    </w:p>
    <w:p w14:paraId="125DFE32" w14:textId="360BC05E" w:rsidR="00195334" w:rsidRPr="00B5728B" w:rsidRDefault="002B4547" w:rsidP="007E2135">
      <w:pPr>
        <w:rPr>
          <w:rFonts w:ascii="Times New Roman" w:hAnsi="Times New Roman" w:cs="Times New Roman"/>
          <w:b/>
          <w:bCs/>
        </w:rPr>
      </w:pPr>
      <w:r w:rsidRPr="00B5728B">
        <w:rPr>
          <w:rFonts w:ascii="Times New Roman" w:hAnsi="Times New Roman" w:cs="Times New Roman"/>
          <w:b/>
          <w:bCs/>
        </w:rPr>
        <w:br w:type="page"/>
      </w:r>
    </w:p>
    <w:p w14:paraId="2DA08BB7" w14:textId="771AF366" w:rsidR="00DC6F68" w:rsidRPr="00B5728B" w:rsidRDefault="00767C5F" w:rsidP="007E2135">
      <w:pPr>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1312" behindDoc="1" locked="0" layoutInCell="1" allowOverlap="1" wp14:anchorId="3BF6ED28" wp14:editId="704D5599">
            <wp:simplePos x="0" y="0"/>
            <wp:positionH relativeFrom="margin">
              <wp:align>right</wp:align>
            </wp:positionH>
            <wp:positionV relativeFrom="paragraph">
              <wp:posOffset>243840</wp:posOffset>
            </wp:positionV>
            <wp:extent cx="5943600" cy="3359150"/>
            <wp:effectExtent l="0" t="0" r="0" b="0"/>
            <wp:wrapTopAndBottom/>
            <wp:docPr id="1165738974" name="Picture 1" descr="A graph of growth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38974" name="Picture 1" descr="A graph of growth with green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anchor>
        </w:drawing>
      </w:r>
    </w:p>
    <w:p w14:paraId="43343396" w14:textId="28EA6E40" w:rsidR="002B4547" w:rsidRPr="00B5728B" w:rsidRDefault="002B4547" w:rsidP="00DC6F68">
      <w:pPr>
        <w:rPr>
          <w:rFonts w:ascii="Times New Roman" w:hAnsi="Times New Roman" w:cs="Times New Roman"/>
        </w:rPr>
      </w:pPr>
    </w:p>
    <w:p w14:paraId="11578E8D" w14:textId="506FED15" w:rsidR="002B4547" w:rsidRPr="00B5728B" w:rsidRDefault="002B4547" w:rsidP="002B4547">
      <w:pPr>
        <w:tabs>
          <w:tab w:val="left" w:pos="1938"/>
        </w:tabs>
        <w:rPr>
          <w:rFonts w:ascii="Times New Roman" w:hAnsi="Times New Roman" w:cs="Times New Roman"/>
        </w:rPr>
      </w:pPr>
      <w:r w:rsidRPr="00B5728B">
        <w:rPr>
          <w:rFonts w:ascii="Times New Roman" w:hAnsi="Times New Roman" w:cs="Times New Roman"/>
        </w:rPr>
        <w:tab/>
      </w:r>
    </w:p>
    <w:p w14:paraId="6495854D" w14:textId="77777777" w:rsidR="00767C5F" w:rsidRPr="00767C5F" w:rsidRDefault="00767C5F" w:rsidP="00767C5F">
      <w:pPr>
        <w:rPr>
          <w:rFonts w:ascii="Times New Roman" w:hAnsi="Times New Roman" w:cs="Times New Roman"/>
          <w:b/>
          <w:bCs/>
        </w:rPr>
      </w:pPr>
      <w:r w:rsidRPr="00767C5F">
        <w:rPr>
          <w:rFonts w:ascii="Times New Roman" w:hAnsi="Times New Roman" w:cs="Times New Roman"/>
          <w:b/>
          <w:bCs/>
        </w:rPr>
        <w:t>Annual CPIAUCSL Growth (2020–2025)</w:t>
      </w:r>
    </w:p>
    <w:p w14:paraId="5727CBBD" w14:textId="77777777" w:rsidR="00767C5F" w:rsidRPr="00767C5F" w:rsidRDefault="00767C5F" w:rsidP="00767C5F">
      <w:pPr>
        <w:numPr>
          <w:ilvl w:val="0"/>
          <w:numId w:val="26"/>
        </w:numPr>
        <w:rPr>
          <w:rFonts w:ascii="Times New Roman" w:hAnsi="Times New Roman" w:cs="Times New Roman"/>
        </w:rPr>
      </w:pPr>
      <w:r w:rsidRPr="00767C5F">
        <w:rPr>
          <w:rFonts w:ascii="Times New Roman" w:hAnsi="Times New Roman" w:cs="Times New Roman"/>
          <w:b/>
          <w:bCs/>
        </w:rPr>
        <w:t>Steady Inflation</w:t>
      </w:r>
      <w:r w:rsidRPr="00767C5F">
        <w:rPr>
          <w:rFonts w:ascii="Times New Roman" w:hAnsi="Times New Roman" w:cs="Times New Roman"/>
        </w:rPr>
        <w:t>: CPI rose year-over-year from ~259 in 2020 to ~320 by 2025, an increase of ~24%.</w:t>
      </w:r>
    </w:p>
    <w:p w14:paraId="2CBFF9AA" w14:textId="77777777" w:rsidR="00767C5F" w:rsidRPr="00767C5F" w:rsidRDefault="00767C5F" w:rsidP="00767C5F">
      <w:pPr>
        <w:numPr>
          <w:ilvl w:val="0"/>
          <w:numId w:val="26"/>
        </w:numPr>
        <w:rPr>
          <w:rFonts w:ascii="Times New Roman" w:hAnsi="Times New Roman" w:cs="Times New Roman"/>
        </w:rPr>
      </w:pPr>
      <w:r w:rsidRPr="00767C5F">
        <w:rPr>
          <w:rFonts w:ascii="Times New Roman" w:hAnsi="Times New Roman" w:cs="Times New Roman"/>
          <w:b/>
          <w:bCs/>
        </w:rPr>
        <w:t>Continuous Climb</w:t>
      </w:r>
      <w:r w:rsidRPr="00767C5F">
        <w:rPr>
          <w:rFonts w:ascii="Times New Roman" w:hAnsi="Times New Roman" w:cs="Times New Roman"/>
        </w:rPr>
        <w:t>: No year saw a decline—each bar is higher than the last, indicating persistent consumer‐price increases.</w:t>
      </w:r>
    </w:p>
    <w:p w14:paraId="5BD9A6BA" w14:textId="77777777" w:rsidR="00767C5F" w:rsidRPr="00767C5F" w:rsidRDefault="00767C5F" w:rsidP="00767C5F">
      <w:pPr>
        <w:numPr>
          <w:ilvl w:val="0"/>
          <w:numId w:val="26"/>
        </w:numPr>
        <w:rPr>
          <w:rFonts w:ascii="Times New Roman" w:hAnsi="Times New Roman" w:cs="Times New Roman"/>
        </w:rPr>
      </w:pPr>
      <w:r w:rsidRPr="00767C5F">
        <w:rPr>
          <w:rFonts w:ascii="Times New Roman" w:hAnsi="Times New Roman" w:cs="Times New Roman"/>
          <w:b/>
          <w:bCs/>
        </w:rPr>
        <w:t>Macro Implication</w:t>
      </w:r>
      <w:r w:rsidRPr="00767C5F">
        <w:rPr>
          <w:rFonts w:ascii="Times New Roman" w:hAnsi="Times New Roman" w:cs="Times New Roman"/>
        </w:rPr>
        <w:t>: Rising CPI underscores inflationary pressure, which typically boosts gold’s appeal as an inflation hedge.</w:t>
      </w:r>
    </w:p>
    <w:p w14:paraId="7BBF9805" w14:textId="43E710B7" w:rsidR="002B4547" w:rsidRPr="00B5728B" w:rsidRDefault="002B4547" w:rsidP="002B4547">
      <w:pPr>
        <w:tabs>
          <w:tab w:val="left" w:pos="1938"/>
        </w:tabs>
        <w:rPr>
          <w:rFonts w:ascii="Times New Roman" w:hAnsi="Times New Roman" w:cs="Times New Roman"/>
        </w:rPr>
      </w:pPr>
    </w:p>
    <w:p w14:paraId="6C7E8B9C" w14:textId="296A891D" w:rsidR="002B4547" w:rsidRPr="00B5728B" w:rsidRDefault="002B4547" w:rsidP="002B4547">
      <w:pPr>
        <w:tabs>
          <w:tab w:val="left" w:pos="1938"/>
        </w:tabs>
        <w:rPr>
          <w:rFonts w:ascii="Times New Roman" w:hAnsi="Times New Roman" w:cs="Times New Roman"/>
        </w:rPr>
      </w:pPr>
      <w:r w:rsidRPr="00B5728B">
        <w:rPr>
          <w:rFonts w:ascii="Times New Roman" w:hAnsi="Times New Roman" w:cs="Times New Roman"/>
        </w:rPr>
        <w:t xml:space="preserve">                                       </w:t>
      </w:r>
    </w:p>
    <w:p w14:paraId="6B872BC9" w14:textId="4E0C6E66" w:rsidR="002B4547" w:rsidRPr="00B5728B" w:rsidRDefault="002B4547" w:rsidP="002B4547">
      <w:pPr>
        <w:tabs>
          <w:tab w:val="left" w:pos="1938"/>
        </w:tabs>
        <w:rPr>
          <w:rFonts w:ascii="Times New Roman" w:hAnsi="Times New Roman" w:cs="Times New Roman"/>
        </w:rPr>
      </w:pPr>
    </w:p>
    <w:p w14:paraId="2CAF68AA" w14:textId="77777777" w:rsidR="002B4547" w:rsidRPr="00B5728B" w:rsidRDefault="002B4547" w:rsidP="002B4547">
      <w:pPr>
        <w:tabs>
          <w:tab w:val="left" w:pos="1938"/>
        </w:tabs>
        <w:rPr>
          <w:rFonts w:ascii="Times New Roman" w:hAnsi="Times New Roman" w:cs="Times New Roman"/>
        </w:rPr>
      </w:pPr>
    </w:p>
    <w:p w14:paraId="5202DADF" w14:textId="6D2CA757" w:rsidR="002B4547" w:rsidRPr="00B5728B" w:rsidRDefault="002B4547" w:rsidP="002B4547">
      <w:pPr>
        <w:tabs>
          <w:tab w:val="left" w:pos="1938"/>
        </w:tabs>
        <w:rPr>
          <w:rFonts w:ascii="Times New Roman" w:hAnsi="Times New Roman" w:cs="Times New Roman"/>
        </w:rPr>
      </w:pPr>
    </w:p>
    <w:p w14:paraId="7E8B37A1" w14:textId="000ADC18" w:rsidR="002B4547" w:rsidRPr="00B5728B" w:rsidRDefault="002B4547" w:rsidP="002B4547">
      <w:pPr>
        <w:tabs>
          <w:tab w:val="left" w:pos="1938"/>
        </w:tabs>
        <w:rPr>
          <w:rFonts w:ascii="Times New Roman" w:hAnsi="Times New Roman" w:cs="Times New Roman"/>
        </w:rPr>
      </w:pPr>
    </w:p>
    <w:p w14:paraId="3F21185A" w14:textId="110A1D2A" w:rsidR="009E223F" w:rsidRPr="00B5728B" w:rsidRDefault="009E223F" w:rsidP="002B4547">
      <w:pPr>
        <w:tabs>
          <w:tab w:val="left" w:pos="1938"/>
        </w:tabs>
        <w:rPr>
          <w:rFonts w:ascii="Times New Roman" w:hAnsi="Times New Roman" w:cs="Times New Roman"/>
        </w:rPr>
      </w:pPr>
    </w:p>
    <w:p w14:paraId="59218BA1" w14:textId="736F5528" w:rsidR="009E223F" w:rsidRPr="00B5728B" w:rsidRDefault="009E223F" w:rsidP="00767C5F">
      <w:pPr>
        <w:rPr>
          <w:rFonts w:ascii="Times New Roman" w:hAnsi="Times New Roman" w:cs="Times New Roman"/>
        </w:rPr>
      </w:pPr>
    </w:p>
    <w:p w14:paraId="4B1FF63D" w14:textId="28602122" w:rsidR="001763E3" w:rsidRPr="001763E3" w:rsidRDefault="001763E3" w:rsidP="001763E3">
      <w:pPr>
        <w:tabs>
          <w:tab w:val="left" w:pos="1938"/>
        </w:tabs>
        <w:rPr>
          <w:rFonts w:ascii="Times New Roman" w:hAnsi="Times New Roman" w:cs="Times New Roman"/>
          <w:b/>
          <w:bCs/>
        </w:rPr>
      </w:pPr>
      <w:r w:rsidRPr="00B5728B">
        <w:rPr>
          <w:rFonts w:ascii="Times New Roman" w:hAnsi="Times New Roman" w:cs="Times New Roman"/>
          <w:noProof/>
        </w:rPr>
        <w:lastRenderedPageBreak/>
        <w:drawing>
          <wp:anchor distT="0" distB="0" distL="114300" distR="114300" simplePos="0" relativeHeight="251664384" behindDoc="0" locked="0" layoutInCell="1" allowOverlap="1" wp14:anchorId="321DD078" wp14:editId="3885E99E">
            <wp:simplePos x="0" y="0"/>
            <wp:positionH relativeFrom="margin">
              <wp:align>left</wp:align>
            </wp:positionH>
            <wp:positionV relativeFrom="paragraph">
              <wp:posOffset>383</wp:posOffset>
            </wp:positionV>
            <wp:extent cx="6115050" cy="3126358"/>
            <wp:effectExtent l="0" t="0" r="0" b="0"/>
            <wp:wrapTopAndBottom/>
            <wp:docPr id="356795564" name="Picture 1" descr="A white background with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5564" name="Picture 1" descr="A white background with purple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115050" cy="3126358"/>
                    </a:xfrm>
                    <a:prstGeom prst="rect">
                      <a:avLst/>
                    </a:prstGeom>
                  </pic:spPr>
                </pic:pic>
              </a:graphicData>
            </a:graphic>
            <wp14:sizeRelH relativeFrom="margin">
              <wp14:pctWidth>0</wp14:pctWidth>
            </wp14:sizeRelH>
            <wp14:sizeRelV relativeFrom="margin">
              <wp14:pctHeight>0</wp14:pctHeight>
            </wp14:sizeRelV>
          </wp:anchor>
        </w:drawing>
      </w:r>
      <w:r w:rsidRPr="001763E3">
        <w:rPr>
          <w:rFonts w:ascii="Times New Roman" w:hAnsi="Times New Roman" w:cs="Times New Roman"/>
          <w:b/>
          <w:bCs/>
        </w:rPr>
        <w:t>10-Year Treasury Yield Over Time</w:t>
      </w:r>
    </w:p>
    <w:p w14:paraId="243657F4" w14:textId="020B0916" w:rsidR="001763E3" w:rsidRPr="001763E3" w:rsidRDefault="001763E3" w:rsidP="001763E3">
      <w:pPr>
        <w:numPr>
          <w:ilvl w:val="0"/>
          <w:numId w:val="12"/>
        </w:numPr>
        <w:tabs>
          <w:tab w:val="left" w:pos="1938"/>
        </w:tabs>
        <w:rPr>
          <w:rFonts w:ascii="Times New Roman" w:hAnsi="Times New Roman" w:cs="Times New Roman"/>
        </w:rPr>
      </w:pPr>
      <w:r w:rsidRPr="001763E3">
        <w:rPr>
          <w:rFonts w:ascii="Times New Roman" w:hAnsi="Times New Roman" w:cs="Times New Roman"/>
          <w:b/>
          <w:bCs/>
        </w:rPr>
        <w:t>2020–21 Low</w:t>
      </w:r>
      <w:r w:rsidRPr="001763E3">
        <w:rPr>
          <w:rFonts w:ascii="Times New Roman" w:hAnsi="Times New Roman" w:cs="Times New Roman"/>
        </w:rPr>
        <w:t xml:space="preserve">: Yields hovered around </w:t>
      </w:r>
      <w:r w:rsidRPr="001763E3">
        <w:rPr>
          <w:rFonts w:ascii="Times New Roman" w:hAnsi="Times New Roman" w:cs="Times New Roman"/>
          <w:b/>
          <w:bCs/>
        </w:rPr>
        <w:t>0.6–1.5%</w:t>
      </w:r>
      <w:r w:rsidRPr="001763E3">
        <w:rPr>
          <w:rFonts w:ascii="Times New Roman" w:hAnsi="Times New Roman" w:cs="Times New Roman"/>
        </w:rPr>
        <w:t xml:space="preserve"> as investors sought safety in government debt during the pandemic.</w:t>
      </w:r>
    </w:p>
    <w:p w14:paraId="53D904A8" w14:textId="4DC35054" w:rsidR="001763E3" w:rsidRPr="001763E3" w:rsidRDefault="001763E3" w:rsidP="001763E3">
      <w:pPr>
        <w:numPr>
          <w:ilvl w:val="0"/>
          <w:numId w:val="12"/>
        </w:numPr>
        <w:tabs>
          <w:tab w:val="left" w:pos="1938"/>
        </w:tabs>
        <w:rPr>
          <w:rFonts w:ascii="Times New Roman" w:hAnsi="Times New Roman" w:cs="Times New Roman"/>
        </w:rPr>
      </w:pPr>
      <w:r w:rsidRPr="001763E3">
        <w:rPr>
          <w:rFonts w:ascii="Times New Roman" w:hAnsi="Times New Roman" w:cs="Times New Roman"/>
          <w:b/>
          <w:bCs/>
        </w:rPr>
        <w:t>2022–23 Rise</w:t>
      </w:r>
      <w:r w:rsidRPr="001763E3">
        <w:rPr>
          <w:rFonts w:ascii="Times New Roman" w:hAnsi="Times New Roman" w:cs="Times New Roman"/>
        </w:rPr>
        <w:t xml:space="preserve">: A steady climb through </w:t>
      </w:r>
      <w:r w:rsidRPr="001763E3">
        <w:rPr>
          <w:rFonts w:ascii="Times New Roman" w:hAnsi="Times New Roman" w:cs="Times New Roman"/>
          <w:b/>
          <w:bCs/>
        </w:rPr>
        <w:t>2–3%</w:t>
      </w:r>
      <w:r w:rsidRPr="001763E3">
        <w:rPr>
          <w:rFonts w:ascii="Times New Roman" w:hAnsi="Times New Roman" w:cs="Times New Roman"/>
        </w:rPr>
        <w:t>, reflecting Fed tightening and market repricing of interest-rate risk.</w:t>
      </w:r>
    </w:p>
    <w:p w14:paraId="479472C7" w14:textId="45B418EE" w:rsidR="001763E3" w:rsidRPr="001763E3" w:rsidRDefault="001763E3" w:rsidP="001763E3">
      <w:pPr>
        <w:numPr>
          <w:ilvl w:val="0"/>
          <w:numId w:val="12"/>
        </w:numPr>
        <w:tabs>
          <w:tab w:val="left" w:pos="1938"/>
        </w:tabs>
        <w:rPr>
          <w:rFonts w:ascii="Times New Roman" w:hAnsi="Times New Roman" w:cs="Times New Roman"/>
        </w:rPr>
      </w:pPr>
      <w:r w:rsidRPr="001763E3">
        <w:rPr>
          <w:rFonts w:ascii="Times New Roman" w:hAnsi="Times New Roman" w:cs="Times New Roman"/>
          <w:b/>
          <w:bCs/>
        </w:rPr>
        <w:t>2024–25 Peak</w:t>
      </w:r>
      <w:r w:rsidRPr="001763E3">
        <w:rPr>
          <w:rFonts w:ascii="Times New Roman" w:hAnsi="Times New Roman" w:cs="Times New Roman"/>
        </w:rPr>
        <w:t xml:space="preserve">: Yields peaked near </w:t>
      </w:r>
      <w:r w:rsidRPr="001763E3">
        <w:rPr>
          <w:rFonts w:ascii="Times New Roman" w:hAnsi="Times New Roman" w:cs="Times New Roman"/>
          <w:b/>
          <w:bCs/>
        </w:rPr>
        <w:t>4.8%</w:t>
      </w:r>
      <w:r w:rsidRPr="001763E3">
        <w:rPr>
          <w:rFonts w:ascii="Times New Roman" w:hAnsi="Times New Roman" w:cs="Times New Roman"/>
        </w:rPr>
        <w:t xml:space="preserve"> in late 2024, before a mild pullback, marking one of the fastest 10-year yield rallies in decades.</w:t>
      </w:r>
    </w:p>
    <w:p w14:paraId="6C4DF282" w14:textId="657DDBA4" w:rsidR="009E223F" w:rsidRPr="00B5728B" w:rsidRDefault="009E223F" w:rsidP="002B4547">
      <w:pPr>
        <w:tabs>
          <w:tab w:val="left" w:pos="1938"/>
        </w:tabs>
        <w:rPr>
          <w:rFonts w:ascii="Times New Roman" w:hAnsi="Times New Roman" w:cs="Times New Roman"/>
        </w:rPr>
      </w:pPr>
    </w:p>
    <w:p w14:paraId="68629D3A" w14:textId="20FBAC2E" w:rsidR="009E223F" w:rsidRPr="00B5728B" w:rsidRDefault="009E223F" w:rsidP="002B4547">
      <w:pPr>
        <w:tabs>
          <w:tab w:val="left" w:pos="1938"/>
        </w:tabs>
        <w:rPr>
          <w:rFonts w:ascii="Times New Roman" w:hAnsi="Times New Roman" w:cs="Times New Roman"/>
        </w:rPr>
      </w:pPr>
    </w:p>
    <w:p w14:paraId="0DD4A0CA" w14:textId="37F4A51F" w:rsidR="009E223F" w:rsidRPr="00B5728B" w:rsidRDefault="009E223F" w:rsidP="002B4547">
      <w:pPr>
        <w:tabs>
          <w:tab w:val="left" w:pos="1938"/>
        </w:tabs>
        <w:rPr>
          <w:rFonts w:ascii="Times New Roman" w:hAnsi="Times New Roman" w:cs="Times New Roman"/>
        </w:rPr>
      </w:pPr>
    </w:p>
    <w:p w14:paraId="126ECD4B" w14:textId="05C90BCA" w:rsidR="009E223F" w:rsidRPr="00B5728B" w:rsidRDefault="001763E3" w:rsidP="002B4547">
      <w:pPr>
        <w:tabs>
          <w:tab w:val="left" w:pos="1938"/>
        </w:tabs>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2336" behindDoc="0" locked="0" layoutInCell="1" allowOverlap="1" wp14:anchorId="1689EA99" wp14:editId="0986AE18">
            <wp:simplePos x="0" y="0"/>
            <wp:positionH relativeFrom="margin">
              <wp:posOffset>170121</wp:posOffset>
            </wp:positionH>
            <wp:positionV relativeFrom="paragraph">
              <wp:posOffset>440306</wp:posOffset>
            </wp:positionV>
            <wp:extent cx="4808220" cy="2702560"/>
            <wp:effectExtent l="0" t="0" r="0" b="2540"/>
            <wp:wrapTopAndBottom/>
            <wp:docPr id="1734210648" name="Picture 1" descr="A graph showing a number of stoc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10648" name="Picture 1" descr="A graph showing a number of stock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8220" cy="2702560"/>
                    </a:xfrm>
                    <a:prstGeom prst="rect">
                      <a:avLst/>
                    </a:prstGeom>
                  </pic:spPr>
                </pic:pic>
              </a:graphicData>
            </a:graphic>
            <wp14:sizeRelH relativeFrom="margin">
              <wp14:pctWidth>0</wp14:pctWidth>
            </wp14:sizeRelH>
            <wp14:sizeRelV relativeFrom="margin">
              <wp14:pctHeight>0</wp14:pctHeight>
            </wp14:sizeRelV>
          </wp:anchor>
        </w:drawing>
      </w:r>
    </w:p>
    <w:p w14:paraId="3A87C7BB" w14:textId="0381979C" w:rsidR="009E223F" w:rsidRPr="00B5728B" w:rsidRDefault="009E223F" w:rsidP="002B4547">
      <w:pPr>
        <w:tabs>
          <w:tab w:val="left" w:pos="1938"/>
        </w:tabs>
        <w:rPr>
          <w:rFonts w:ascii="Times New Roman" w:hAnsi="Times New Roman" w:cs="Times New Roman"/>
        </w:rPr>
      </w:pPr>
    </w:p>
    <w:p w14:paraId="6FC3DB21" w14:textId="6842C12B" w:rsidR="001763E3" w:rsidRPr="001763E3" w:rsidRDefault="001763E3" w:rsidP="001763E3">
      <w:pPr>
        <w:tabs>
          <w:tab w:val="left" w:pos="1938"/>
        </w:tabs>
        <w:rPr>
          <w:rFonts w:ascii="Times New Roman" w:hAnsi="Times New Roman" w:cs="Times New Roman"/>
          <w:b/>
          <w:bCs/>
        </w:rPr>
      </w:pPr>
      <w:r w:rsidRPr="001763E3">
        <w:rPr>
          <w:rFonts w:ascii="Times New Roman" w:hAnsi="Times New Roman" w:cs="Times New Roman"/>
          <w:b/>
          <w:bCs/>
        </w:rPr>
        <w:t>Distribution of 10-Year Treasury Yields</w:t>
      </w:r>
    </w:p>
    <w:p w14:paraId="47BA6C23" w14:textId="1B9D1301" w:rsidR="001763E3" w:rsidRPr="001763E3" w:rsidRDefault="001763E3" w:rsidP="001763E3">
      <w:pPr>
        <w:numPr>
          <w:ilvl w:val="0"/>
          <w:numId w:val="11"/>
        </w:numPr>
        <w:tabs>
          <w:tab w:val="left" w:pos="1938"/>
        </w:tabs>
        <w:rPr>
          <w:rFonts w:ascii="Times New Roman" w:hAnsi="Times New Roman" w:cs="Times New Roman"/>
        </w:rPr>
      </w:pPr>
      <w:r w:rsidRPr="001763E3">
        <w:rPr>
          <w:rFonts w:ascii="Times New Roman" w:hAnsi="Times New Roman" w:cs="Times New Roman"/>
          <w:b/>
          <w:bCs/>
        </w:rPr>
        <w:t>Bimodal Shape</w:t>
      </w:r>
      <w:r w:rsidRPr="001763E3">
        <w:rPr>
          <w:rFonts w:ascii="Times New Roman" w:hAnsi="Times New Roman" w:cs="Times New Roman"/>
        </w:rPr>
        <w:t xml:space="preserve">: Two clusters—one around </w:t>
      </w:r>
      <w:r w:rsidRPr="001763E3">
        <w:rPr>
          <w:rFonts w:ascii="Times New Roman" w:hAnsi="Times New Roman" w:cs="Times New Roman"/>
          <w:b/>
          <w:bCs/>
        </w:rPr>
        <w:t>0.6–1.8%</w:t>
      </w:r>
      <w:r w:rsidRPr="001763E3">
        <w:rPr>
          <w:rFonts w:ascii="Times New Roman" w:hAnsi="Times New Roman" w:cs="Times New Roman"/>
        </w:rPr>
        <w:t xml:space="preserve"> (pandemic era) and another around </w:t>
      </w:r>
      <w:r w:rsidRPr="001763E3">
        <w:rPr>
          <w:rFonts w:ascii="Times New Roman" w:hAnsi="Times New Roman" w:cs="Times New Roman"/>
          <w:b/>
          <w:bCs/>
        </w:rPr>
        <w:t>3.5–4.8%</w:t>
      </w:r>
      <w:r w:rsidRPr="001763E3">
        <w:rPr>
          <w:rFonts w:ascii="Times New Roman" w:hAnsi="Times New Roman" w:cs="Times New Roman"/>
        </w:rPr>
        <w:t xml:space="preserve"> (post-hike era).</w:t>
      </w:r>
    </w:p>
    <w:p w14:paraId="55D34AF6" w14:textId="6DCE91CF" w:rsidR="001763E3" w:rsidRPr="001763E3" w:rsidRDefault="001763E3" w:rsidP="001763E3">
      <w:pPr>
        <w:numPr>
          <w:ilvl w:val="0"/>
          <w:numId w:val="11"/>
        </w:numPr>
        <w:tabs>
          <w:tab w:val="left" w:pos="1938"/>
        </w:tabs>
        <w:rPr>
          <w:rFonts w:ascii="Times New Roman" w:hAnsi="Times New Roman" w:cs="Times New Roman"/>
        </w:rPr>
      </w:pPr>
      <w:proofErr w:type="gramStart"/>
      <w:r w:rsidRPr="001763E3">
        <w:rPr>
          <w:rFonts w:ascii="Times New Roman" w:hAnsi="Times New Roman" w:cs="Times New Roman"/>
          <w:b/>
          <w:bCs/>
        </w:rPr>
        <w:t>Wide Spread</w:t>
      </w:r>
      <w:proofErr w:type="gramEnd"/>
      <w:r w:rsidRPr="001763E3">
        <w:rPr>
          <w:rFonts w:ascii="Times New Roman" w:hAnsi="Times New Roman" w:cs="Times New Roman"/>
        </w:rPr>
        <w:t xml:space="preserve">: Yields range from </w:t>
      </w:r>
      <w:r w:rsidRPr="001763E3">
        <w:rPr>
          <w:rFonts w:ascii="Times New Roman" w:hAnsi="Times New Roman" w:cs="Times New Roman"/>
          <w:b/>
          <w:bCs/>
        </w:rPr>
        <w:t>0.6% to 4.8%</w:t>
      </w:r>
      <w:r w:rsidRPr="001763E3">
        <w:rPr>
          <w:rFonts w:ascii="Times New Roman" w:hAnsi="Times New Roman" w:cs="Times New Roman"/>
        </w:rPr>
        <w:t>, indicating huge swings in long-term borrowing costs.</w:t>
      </w:r>
    </w:p>
    <w:p w14:paraId="36E890FD" w14:textId="0311404F" w:rsidR="009E223F" w:rsidRPr="00B5728B" w:rsidRDefault="009E223F" w:rsidP="002B4547">
      <w:pPr>
        <w:tabs>
          <w:tab w:val="left" w:pos="1938"/>
        </w:tabs>
        <w:rPr>
          <w:rFonts w:ascii="Times New Roman" w:hAnsi="Times New Roman" w:cs="Times New Roman"/>
        </w:rPr>
      </w:pPr>
    </w:p>
    <w:p w14:paraId="43982861" w14:textId="53443AD9" w:rsidR="009E223F" w:rsidRPr="00B5728B" w:rsidRDefault="009E223F" w:rsidP="002B4547">
      <w:pPr>
        <w:tabs>
          <w:tab w:val="left" w:pos="1938"/>
        </w:tabs>
        <w:rPr>
          <w:rFonts w:ascii="Times New Roman" w:hAnsi="Times New Roman" w:cs="Times New Roman"/>
        </w:rPr>
      </w:pPr>
    </w:p>
    <w:p w14:paraId="46327EBD" w14:textId="097DBE2C" w:rsidR="009E223F" w:rsidRPr="00B5728B" w:rsidRDefault="009E223F" w:rsidP="002B4547">
      <w:pPr>
        <w:tabs>
          <w:tab w:val="left" w:pos="1938"/>
        </w:tabs>
        <w:rPr>
          <w:rFonts w:ascii="Times New Roman" w:hAnsi="Times New Roman" w:cs="Times New Roman"/>
        </w:rPr>
      </w:pPr>
    </w:p>
    <w:p w14:paraId="7A901DF5" w14:textId="1379D345" w:rsidR="009E223F" w:rsidRPr="00B5728B" w:rsidRDefault="009E223F" w:rsidP="002B4547">
      <w:pPr>
        <w:tabs>
          <w:tab w:val="left" w:pos="1938"/>
        </w:tabs>
        <w:rPr>
          <w:rFonts w:ascii="Times New Roman" w:hAnsi="Times New Roman" w:cs="Times New Roman"/>
        </w:rPr>
      </w:pPr>
    </w:p>
    <w:p w14:paraId="1D8E0914" w14:textId="71BFC24F" w:rsidR="009E223F" w:rsidRPr="00B5728B" w:rsidRDefault="009E223F" w:rsidP="002B4547">
      <w:pPr>
        <w:tabs>
          <w:tab w:val="left" w:pos="1938"/>
        </w:tabs>
        <w:rPr>
          <w:rFonts w:ascii="Times New Roman" w:hAnsi="Times New Roman" w:cs="Times New Roman"/>
        </w:rPr>
      </w:pPr>
    </w:p>
    <w:p w14:paraId="105878D3" w14:textId="03806EC8" w:rsidR="009E223F" w:rsidRPr="00B5728B" w:rsidRDefault="009E223F" w:rsidP="002B4547">
      <w:pPr>
        <w:tabs>
          <w:tab w:val="left" w:pos="1938"/>
        </w:tabs>
        <w:rPr>
          <w:rFonts w:ascii="Times New Roman" w:hAnsi="Times New Roman" w:cs="Times New Roman"/>
        </w:rPr>
      </w:pPr>
    </w:p>
    <w:p w14:paraId="3AC2188B" w14:textId="09A03988" w:rsidR="009E223F" w:rsidRPr="00B5728B" w:rsidRDefault="001763E3" w:rsidP="002B4547">
      <w:pPr>
        <w:tabs>
          <w:tab w:val="left" w:pos="1938"/>
        </w:tabs>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3360" behindDoc="0" locked="0" layoutInCell="1" allowOverlap="1" wp14:anchorId="7B4B0721" wp14:editId="2273503E">
            <wp:simplePos x="0" y="0"/>
            <wp:positionH relativeFrom="margin">
              <wp:posOffset>7419</wp:posOffset>
            </wp:positionH>
            <wp:positionV relativeFrom="paragraph">
              <wp:posOffset>109993</wp:posOffset>
            </wp:positionV>
            <wp:extent cx="5943600" cy="3193415"/>
            <wp:effectExtent l="0" t="0" r="0" b="6985"/>
            <wp:wrapTopAndBottom/>
            <wp:docPr id="1147773773" name="Picture 1" descr="A graph showing the price of go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73773" name="Picture 1" descr="A graph showing the price of gol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anchor>
        </w:drawing>
      </w:r>
    </w:p>
    <w:p w14:paraId="4A63D8A4" w14:textId="71169006" w:rsidR="009E223F" w:rsidRPr="00B5728B" w:rsidRDefault="009E223F" w:rsidP="002B4547">
      <w:pPr>
        <w:tabs>
          <w:tab w:val="left" w:pos="1938"/>
        </w:tabs>
        <w:rPr>
          <w:rFonts w:ascii="Times New Roman" w:hAnsi="Times New Roman" w:cs="Times New Roman"/>
        </w:rPr>
      </w:pPr>
    </w:p>
    <w:p w14:paraId="50DC5AA2" w14:textId="5CDF89B9" w:rsidR="001763E3" w:rsidRPr="001763E3" w:rsidRDefault="001763E3" w:rsidP="001763E3">
      <w:pPr>
        <w:tabs>
          <w:tab w:val="left" w:pos="1938"/>
        </w:tabs>
        <w:rPr>
          <w:rFonts w:ascii="Times New Roman" w:hAnsi="Times New Roman" w:cs="Times New Roman"/>
          <w:b/>
          <w:bCs/>
        </w:rPr>
      </w:pPr>
      <w:r w:rsidRPr="001763E3">
        <w:rPr>
          <w:rFonts w:ascii="Times New Roman" w:hAnsi="Times New Roman" w:cs="Times New Roman"/>
          <w:b/>
          <w:bCs/>
        </w:rPr>
        <w:t>Yearly Gold Price (2020–2025)</w:t>
      </w:r>
    </w:p>
    <w:p w14:paraId="308DD6D0" w14:textId="1634824B" w:rsidR="001763E3" w:rsidRPr="001763E3" w:rsidRDefault="001763E3" w:rsidP="001763E3">
      <w:pPr>
        <w:numPr>
          <w:ilvl w:val="0"/>
          <w:numId w:val="13"/>
        </w:numPr>
        <w:tabs>
          <w:tab w:val="left" w:pos="1938"/>
        </w:tabs>
        <w:rPr>
          <w:rFonts w:ascii="Times New Roman" w:hAnsi="Times New Roman" w:cs="Times New Roman"/>
        </w:rPr>
      </w:pPr>
      <w:r w:rsidRPr="001763E3">
        <w:rPr>
          <w:rFonts w:ascii="Times New Roman" w:hAnsi="Times New Roman" w:cs="Times New Roman"/>
          <w:b/>
          <w:bCs/>
        </w:rPr>
        <w:t>2020–21</w:t>
      </w:r>
      <w:r w:rsidRPr="001763E3">
        <w:rPr>
          <w:rFonts w:ascii="Times New Roman" w:hAnsi="Times New Roman" w:cs="Times New Roman"/>
        </w:rPr>
        <w:t xml:space="preserve">: Gold rose modestly, averaging </w:t>
      </w:r>
      <w:r w:rsidRPr="001763E3">
        <w:rPr>
          <w:rFonts w:ascii="Times New Roman" w:hAnsi="Times New Roman" w:cs="Times New Roman"/>
          <w:b/>
          <w:bCs/>
        </w:rPr>
        <w:t>$1,580–$1,770</w:t>
      </w:r>
      <w:r w:rsidRPr="001763E3">
        <w:rPr>
          <w:rFonts w:ascii="Times New Roman" w:hAnsi="Times New Roman" w:cs="Times New Roman"/>
        </w:rPr>
        <w:t>, as pandemic uncertainty drove safe-haven demand.</w:t>
      </w:r>
    </w:p>
    <w:p w14:paraId="4C76BADC" w14:textId="44DCFE84" w:rsidR="001763E3" w:rsidRPr="001763E3" w:rsidRDefault="001763E3" w:rsidP="001763E3">
      <w:pPr>
        <w:numPr>
          <w:ilvl w:val="0"/>
          <w:numId w:val="13"/>
        </w:numPr>
        <w:tabs>
          <w:tab w:val="left" w:pos="1938"/>
        </w:tabs>
        <w:rPr>
          <w:rFonts w:ascii="Times New Roman" w:hAnsi="Times New Roman" w:cs="Times New Roman"/>
        </w:rPr>
      </w:pPr>
      <w:r w:rsidRPr="001763E3">
        <w:rPr>
          <w:rFonts w:ascii="Times New Roman" w:hAnsi="Times New Roman" w:cs="Times New Roman"/>
          <w:b/>
          <w:bCs/>
        </w:rPr>
        <w:t>2022</w:t>
      </w:r>
      <w:r w:rsidRPr="001763E3">
        <w:rPr>
          <w:rFonts w:ascii="Times New Roman" w:hAnsi="Times New Roman" w:cs="Times New Roman"/>
        </w:rPr>
        <w:t xml:space="preserve">: Flattish at </w:t>
      </w:r>
      <w:r w:rsidRPr="001763E3">
        <w:rPr>
          <w:rFonts w:ascii="Times New Roman" w:hAnsi="Times New Roman" w:cs="Times New Roman"/>
          <w:b/>
          <w:bCs/>
        </w:rPr>
        <w:t>$1,770–$1,950</w:t>
      </w:r>
      <w:r w:rsidRPr="001763E3">
        <w:rPr>
          <w:rFonts w:ascii="Times New Roman" w:hAnsi="Times New Roman" w:cs="Times New Roman"/>
        </w:rPr>
        <w:t>, held down by rising yields and a strong dollar.</w:t>
      </w:r>
    </w:p>
    <w:p w14:paraId="01EB66D6" w14:textId="3BA426B9" w:rsidR="001763E3" w:rsidRPr="001763E3" w:rsidRDefault="001763E3" w:rsidP="001763E3">
      <w:pPr>
        <w:numPr>
          <w:ilvl w:val="0"/>
          <w:numId w:val="13"/>
        </w:numPr>
        <w:tabs>
          <w:tab w:val="left" w:pos="1938"/>
        </w:tabs>
        <w:rPr>
          <w:rFonts w:ascii="Times New Roman" w:hAnsi="Times New Roman" w:cs="Times New Roman"/>
        </w:rPr>
      </w:pPr>
      <w:r w:rsidRPr="001763E3">
        <w:rPr>
          <w:rFonts w:ascii="Times New Roman" w:hAnsi="Times New Roman" w:cs="Times New Roman"/>
          <w:b/>
          <w:bCs/>
        </w:rPr>
        <w:t>2023–25</w:t>
      </w:r>
      <w:r w:rsidRPr="001763E3">
        <w:rPr>
          <w:rFonts w:ascii="Times New Roman" w:hAnsi="Times New Roman" w:cs="Times New Roman"/>
        </w:rPr>
        <w:t xml:space="preserve">: Surge from </w:t>
      </w:r>
      <w:r w:rsidRPr="001763E3">
        <w:rPr>
          <w:rFonts w:ascii="Times New Roman" w:hAnsi="Times New Roman" w:cs="Times New Roman"/>
          <w:b/>
          <w:bCs/>
        </w:rPr>
        <w:t>$1,820</w:t>
      </w:r>
      <w:r w:rsidRPr="001763E3">
        <w:rPr>
          <w:rFonts w:ascii="Times New Roman" w:hAnsi="Times New Roman" w:cs="Times New Roman"/>
        </w:rPr>
        <w:t xml:space="preserve"> to </w:t>
      </w:r>
      <w:r w:rsidRPr="001763E3">
        <w:rPr>
          <w:rFonts w:ascii="Times New Roman" w:hAnsi="Times New Roman" w:cs="Times New Roman"/>
          <w:b/>
          <w:bCs/>
        </w:rPr>
        <w:t>$2,700</w:t>
      </w:r>
      <w:r w:rsidRPr="001763E3">
        <w:rPr>
          <w:rFonts w:ascii="Times New Roman" w:hAnsi="Times New Roman" w:cs="Times New Roman"/>
        </w:rPr>
        <w:t>, driven by renewed inflation fears and dollar weakness.</w:t>
      </w:r>
    </w:p>
    <w:p w14:paraId="4CF3C937" w14:textId="749A4802" w:rsidR="009E223F" w:rsidRPr="00B5728B" w:rsidRDefault="009E223F" w:rsidP="002B4547">
      <w:pPr>
        <w:tabs>
          <w:tab w:val="left" w:pos="1938"/>
        </w:tabs>
        <w:rPr>
          <w:rFonts w:ascii="Times New Roman" w:hAnsi="Times New Roman" w:cs="Times New Roman"/>
        </w:rPr>
      </w:pPr>
    </w:p>
    <w:p w14:paraId="715DF256" w14:textId="2BDA26D4" w:rsidR="009E223F" w:rsidRPr="00B5728B" w:rsidRDefault="009E223F" w:rsidP="002B4547">
      <w:pPr>
        <w:tabs>
          <w:tab w:val="left" w:pos="1938"/>
        </w:tabs>
        <w:rPr>
          <w:rFonts w:ascii="Times New Roman" w:hAnsi="Times New Roman" w:cs="Times New Roman"/>
        </w:rPr>
      </w:pPr>
    </w:p>
    <w:p w14:paraId="027CFA39" w14:textId="47D64D67" w:rsidR="003927D6" w:rsidRPr="00B5728B" w:rsidRDefault="003927D6" w:rsidP="002B4547">
      <w:pPr>
        <w:tabs>
          <w:tab w:val="left" w:pos="1938"/>
        </w:tabs>
        <w:rPr>
          <w:rFonts w:ascii="Times New Roman" w:hAnsi="Times New Roman" w:cs="Times New Roman"/>
        </w:rPr>
      </w:pPr>
    </w:p>
    <w:p w14:paraId="3787A174" w14:textId="6C73C8D5" w:rsidR="009E223F" w:rsidRPr="00B5728B" w:rsidRDefault="001763E3" w:rsidP="002B4547">
      <w:pPr>
        <w:tabs>
          <w:tab w:val="left" w:pos="1938"/>
        </w:tabs>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5408" behindDoc="0" locked="0" layoutInCell="1" allowOverlap="1" wp14:anchorId="6D88D3DE" wp14:editId="5AF64BAD">
            <wp:simplePos x="0" y="0"/>
            <wp:positionH relativeFrom="page">
              <wp:posOffset>1095193</wp:posOffset>
            </wp:positionH>
            <wp:positionV relativeFrom="paragraph">
              <wp:posOffset>0</wp:posOffset>
            </wp:positionV>
            <wp:extent cx="5943600" cy="3234690"/>
            <wp:effectExtent l="0" t="0" r="0" b="3810"/>
            <wp:wrapTopAndBottom/>
            <wp:docPr id="71250234" name="Picture 1" descr="A green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0234" name="Picture 1" descr="A green line graph with numb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anchor>
        </w:drawing>
      </w:r>
    </w:p>
    <w:p w14:paraId="05FDC668" w14:textId="77777777" w:rsidR="001763E3" w:rsidRPr="001763E3" w:rsidRDefault="001763E3" w:rsidP="001763E3">
      <w:pPr>
        <w:tabs>
          <w:tab w:val="left" w:pos="1938"/>
        </w:tabs>
        <w:rPr>
          <w:rFonts w:ascii="Times New Roman" w:hAnsi="Times New Roman" w:cs="Times New Roman"/>
          <w:b/>
          <w:bCs/>
        </w:rPr>
      </w:pPr>
      <w:r w:rsidRPr="001763E3">
        <w:rPr>
          <w:rFonts w:ascii="Times New Roman" w:hAnsi="Times New Roman" w:cs="Times New Roman"/>
          <w:b/>
          <w:bCs/>
        </w:rPr>
        <w:t>Yearly DXY Index (2020–2025)</w:t>
      </w:r>
    </w:p>
    <w:p w14:paraId="73B12D10" w14:textId="77777777" w:rsidR="001763E3" w:rsidRPr="001763E3" w:rsidRDefault="001763E3" w:rsidP="001763E3">
      <w:pPr>
        <w:numPr>
          <w:ilvl w:val="0"/>
          <w:numId w:val="15"/>
        </w:numPr>
        <w:tabs>
          <w:tab w:val="left" w:pos="1938"/>
        </w:tabs>
        <w:rPr>
          <w:rFonts w:ascii="Times New Roman" w:hAnsi="Times New Roman" w:cs="Times New Roman"/>
        </w:rPr>
      </w:pPr>
      <w:r w:rsidRPr="001763E3">
        <w:rPr>
          <w:rFonts w:ascii="Times New Roman" w:hAnsi="Times New Roman" w:cs="Times New Roman"/>
          <w:b/>
          <w:bCs/>
        </w:rPr>
        <w:t>2020–21 Low</w:t>
      </w:r>
      <w:r w:rsidRPr="001763E3">
        <w:rPr>
          <w:rFonts w:ascii="Times New Roman" w:hAnsi="Times New Roman" w:cs="Times New Roman"/>
        </w:rPr>
        <w:t xml:space="preserve">: DXY fell to </w:t>
      </w:r>
      <w:r w:rsidRPr="001763E3">
        <w:rPr>
          <w:rFonts w:ascii="Times New Roman" w:hAnsi="Times New Roman" w:cs="Times New Roman"/>
          <w:b/>
          <w:bCs/>
        </w:rPr>
        <w:t>~90</w:t>
      </w:r>
      <w:r w:rsidRPr="001763E3">
        <w:rPr>
          <w:rFonts w:ascii="Times New Roman" w:hAnsi="Times New Roman" w:cs="Times New Roman"/>
        </w:rPr>
        <w:t xml:space="preserve"> as global liquidity spiked.</w:t>
      </w:r>
    </w:p>
    <w:p w14:paraId="6F1AC23C" w14:textId="77777777" w:rsidR="001763E3" w:rsidRPr="001763E3" w:rsidRDefault="001763E3" w:rsidP="001763E3">
      <w:pPr>
        <w:numPr>
          <w:ilvl w:val="0"/>
          <w:numId w:val="15"/>
        </w:numPr>
        <w:tabs>
          <w:tab w:val="left" w:pos="1938"/>
        </w:tabs>
        <w:rPr>
          <w:rFonts w:ascii="Times New Roman" w:hAnsi="Times New Roman" w:cs="Times New Roman"/>
        </w:rPr>
      </w:pPr>
      <w:r w:rsidRPr="001763E3">
        <w:rPr>
          <w:rFonts w:ascii="Times New Roman" w:hAnsi="Times New Roman" w:cs="Times New Roman"/>
          <w:b/>
          <w:bCs/>
        </w:rPr>
        <w:t>2022 Peak</w:t>
      </w:r>
      <w:r w:rsidRPr="001763E3">
        <w:rPr>
          <w:rFonts w:ascii="Times New Roman" w:hAnsi="Times New Roman" w:cs="Times New Roman"/>
        </w:rPr>
        <w:t xml:space="preserve">: Jumped to </w:t>
      </w:r>
      <w:r w:rsidRPr="001763E3">
        <w:rPr>
          <w:rFonts w:ascii="Times New Roman" w:hAnsi="Times New Roman" w:cs="Times New Roman"/>
          <w:b/>
          <w:bCs/>
        </w:rPr>
        <w:t>~112</w:t>
      </w:r>
      <w:r w:rsidRPr="001763E3">
        <w:rPr>
          <w:rFonts w:ascii="Times New Roman" w:hAnsi="Times New Roman" w:cs="Times New Roman"/>
        </w:rPr>
        <w:t xml:space="preserve"> with Fed rate hikes.</w:t>
      </w:r>
    </w:p>
    <w:p w14:paraId="709A68B6" w14:textId="77777777" w:rsidR="001763E3" w:rsidRPr="001763E3" w:rsidRDefault="001763E3" w:rsidP="001763E3">
      <w:pPr>
        <w:numPr>
          <w:ilvl w:val="0"/>
          <w:numId w:val="15"/>
        </w:numPr>
        <w:tabs>
          <w:tab w:val="left" w:pos="1938"/>
        </w:tabs>
        <w:rPr>
          <w:rFonts w:ascii="Times New Roman" w:hAnsi="Times New Roman" w:cs="Times New Roman"/>
        </w:rPr>
      </w:pPr>
      <w:r w:rsidRPr="001763E3">
        <w:rPr>
          <w:rFonts w:ascii="Times New Roman" w:hAnsi="Times New Roman" w:cs="Times New Roman"/>
          <w:b/>
          <w:bCs/>
        </w:rPr>
        <w:t>2023–25</w:t>
      </w:r>
      <w:r w:rsidRPr="001763E3">
        <w:rPr>
          <w:rFonts w:ascii="Times New Roman" w:hAnsi="Times New Roman" w:cs="Times New Roman"/>
        </w:rPr>
        <w:t xml:space="preserve">: Drifted between </w:t>
      </w:r>
      <w:r w:rsidRPr="001763E3">
        <w:rPr>
          <w:rFonts w:ascii="Times New Roman" w:hAnsi="Times New Roman" w:cs="Times New Roman"/>
          <w:b/>
          <w:bCs/>
        </w:rPr>
        <w:t>100–106</w:t>
      </w:r>
      <w:r w:rsidRPr="001763E3">
        <w:rPr>
          <w:rFonts w:ascii="Times New Roman" w:hAnsi="Times New Roman" w:cs="Times New Roman"/>
        </w:rPr>
        <w:t>, as markets oscillated between tightening and easing expectations.</w:t>
      </w:r>
    </w:p>
    <w:p w14:paraId="4DB196B0" w14:textId="386AF8C1" w:rsidR="009E223F" w:rsidRPr="00B5728B" w:rsidRDefault="009E223F" w:rsidP="002B4547">
      <w:pPr>
        <w:tabs>
          <w:tab w:val="left" w:pos="1938"/>
        </w:tabs>
        <w:rPr>
          <w:rFonts w:ascii="Times New Roman" w:hAnsi="Times New Roman" w:cs="Times New Roman"/>
        </w:rPr>
      </w:pPr>
    </w:p>
    <w:p w14:paraId="544619D9" w14:textId="77777777" w:rsidR="009E223F" w:rsidRPr="00B5728B" w:rsidRDefault="009E223F" w:rsidP="002B4547">
      <w:pPr>
        <w:tabs>
          <w:tab w:val="left" w:pos="1938"/>
        </w:tabs>
        <w:rPr>
          <w:rFonts w:ascii="Times New Roman" w:hAnsi="Times New Roman" w:cs="Times New Roman"/>
        </w:rPr>
      </w:pPr>
    </w:p>
    <w:p w14:paraId="49FD34AE" w14:textId="04458751" w:rsidR="009E223F" w:rsidRPr="00B5728B" w:rsidRDefault="009E223F" w:rsidP="002B4547">
      <w:pPr>
        <w:tabs>
          <w:tab w:val="left" w:pos="1938"/>
        </w:tabs>
        <w:rPr>
          <w:rFonts w:ascii="Times New Roman" w:hAnsi="Times New Roman" w:cs="Times New Roman"/>
        </w:rPr>
      </w:pPr>
    </w:p>
    <w:p w14:paraId="14393E63" w14:textId="23D9312C" w:rsidR="009E223F" w:rsidRPr="00B5728B" w:rsidRDefault="009E223F" w:rsidP="002B4547">
      <w:pPr>
        <w:tabs>
          <w:tab w:val="left" w:pos="1938"/>
        </w:tabs>
        <w:rPr>
          <w:rFonts w:ascii="Times New Roman" w:hAnsi="Times New Roman" w:cs="Times New Roman"/>
        </w:rPr>
      </w:pPr>
    </w:p>
    <w:p w14:paraId="714E86A8" w14:textId="30EC8DD0" w:rsidR="009E223F" w:rsidRPr="00B5728B" w:rsidRDefault="001763E3" w:rsidP="002B4547">
      <w:pPr>
        <w:tabs>
          <w:tab w:val="left" w:pos="1938"/>
        </w:tabs>
        <w:rPr>
          <w:rFonts w:ascii="Times New Roman" w:hAnsi="Times New Roman" w:cs="Times New Roman"/>
        </w:rPr>
      </w:pPr>
      <w:r w:rsidRPr="00B5728B">
        <w:rPr>
          <w:rFonts w:ascii="Times New Roman" w:hAnsi="Times New Roman" w:cs="Times New Roman"/>
          <w:noProof/>
        </w:rPr>
        <w:lastRenderedPageBreak/>
        <w:drawing>
          <wp:anchor distT="0" distB="0" distL="114300" distR="114300" simplePos="0" relativeHeight="251666432" behindDoc="0" locked="0" layoutInCell="1" allowOverlap="1" wp14:anchorId="0F0F382C" wp14:editId="1E960C1F">
            <wp:simplePos x="0" y="0"/>
            <wp:positionH relativeFrom="column">
              <wp:posOffset>99588</wp:posOffset>
            </wp:positionH>
            <wp:positionV relativeFrom="paragraph">
              <wp:posOffset>354079</wp:posOffset>
            </wp:positionV>
            <wp:extent cx="5943600" cy="3206115"/>
            <wp:effectExtent l="0" t="0" r="0" b="0"/>
            <wp:wrapTopAndBottom/>
            <wp:docPr id="403107612"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07612" name="Picture 1" descr="A graph with a line graph&#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anchor>
        </w:drawing>
      </w:r>
    </w:p>
    <w:p w14:paraId="0D06553C" w14:textId="77777777" w:rsidR="009E223F" w:rsidRPr="00B5728B" w:rsidRDefault="009E223F" w:rsidP="002B4547">
      <w:pPr>
        <w:tabs>
          <w:tab w:val="left" w:pos="1938"/>
        </w:tabs>
        <w:rPr>
          <w:rFonts w:ascii="Times New Roman" w:hAnsi="Times New Roman" w:cs="Times New Roman"/>
        </w:rPr>
      </w:pPr>
    </w:p>
    <w:p w14:paraId="7E7C3C21" w14:textId="77777777" w:rsidR="009E223F" w:rsidRPr="00B5728B" w:rsidRDefault="009E223F" w:rsidP="002B4547">
      <w:pPr>
        <w:tabs>
          <w:tab w:val="left" w:pos="1938"/>
        </w:tabs>
        <w:rPr>
          <w:rFonts w:ascii="Times New Roman" w:hAnsi="Times New Roman" w:cs="Times New Roman"/>
        </w:rPr>
      </w:pPr>
    </w:p>
    <w:p w14:paraId="4CA1EBAD" w14:textId="77777777" w:rsidR="001763E3" w:rsidRPr="001763E3" w:rsidRDefault="001763E3" w:rsidP="001763E3">
      <w:pPr>
        <w:tabs>
          <w:tab w:val="left" w:pos="1938"/>
        </w:tabs>
        <w:rPr>
          <w:rFonts w:ascii="Times New Roman" w:hAnsi="Times New Roman" w:cs="Times New Roman"/>
          <w:b/>
          <w:bCs/>
        </w:rPr>
      </w:pPr>
      <w:r w:rsidRPr="001763E3">
        <w:rPr>
          <w:rFonts w:ascii="Times New Roman" w:hAnsi="Times New Roman" w:cs="Times New Roman"/>
          <w:b/>
          <w:bCs/>
        </w:rPr>
        <w:t>Gold vs DXY (2020–2025)</w:t>
      </w:r>
    </w:p>
    <w:p w14:paraId="7ADB18F2" w14:textId="77777777" w:rsidR="001763E3" w:rsidRPr="001763E3" w:rsidRDefault="001763E3" w:rsidP="001763E3">
      <w:pPr>
        <w:numPr>
          <w:ilvl w:val="0"/>
          <w:numId w:val="16"/>
        </w:numPr>
        <w:tabs>
          <w:tab w:val="left" w:pos="1938"/>
        </w:tabs>
        <w:rPr>
          <w:rFonts w:ascii="Times New Roman" w:hAnsi="Times New Roman" w:cs="Times New Roman"/>
        </w:rPr>
      </w:pPr>
      <w:r w:rsidRPr="001763E3">
        <w:rPr>
          <w:rFonts w:ascii="Times New Roman" w:hAnsi="Times New Roman" w:cs="Times New Roman"/>
          <w:b/>
          <w:bCs/>
        </w:rPr>
        <w:t>Inverse Pattern</w:t>
      </w:r>
      <w:r w:rsidRPr="001763E3">
        <w:rPr>
          <w:rFonts w:ascii="Times New Roman" w:hAnsi="Times New Roman" w:cs="Times New Roman"/>
        </w:rPr>
        <w:t>: When DXY rose in 2022, gold stalled; as DXY weakened 2023–25, gold soared.</w:t>
      </w:r>
    </w:p>
    <w:p w14:paraId="4258F898" w14:textId="77777777" w:rsidR="001763E3" w:rsidRPr="001763E3" w:rsidRDefault="001763E3" w:rsidP="001763E3">
      <w:pPr>
        <w:numPr>
          <w:ilvl w:val="0"/>
          <w:numId w:val="16"/>
        </w:numPr>
        <w:tabs>
          <w:tab w:val="left" w:pos="1938"/>
        </w:tabs>
        <w:rPr>
          <w:rFonts w:ascii="Times New Roman" w:hAnsi="Times New Roman" w:cs="Times New Roman"/>
        </w:rPr>
      </w:pPr>
      <w:r w:rsidRPr="001763E3">
        <w:rPr>
          <w:rFonts w:ascii="Times New Roman" w:hAnsi="Times New Roman" w:cs="Times New Roman"/>
          <w:b/>
          <w:bCs/>
        </w:rPr>
        <w:t>Magnitude Difference</w:t>
      </w:r>
      <w:r w:rsidRPr="001763E3">
        <w:rPr>
          <w:rFonts w:ascii="Times New Roman" w:hAnsi="Times New Roman" w:cs="Times New Roman"/>
        </w:rPr>
        <w:t>: Gold’s move (+70%) far outpaced DXY’s variation (±10%), underscoring gold’s sensitivity to real yields and inflation.</w:t>
      </w:r>
    </w:p>
    <w:p w14:paraId="65EEF476" w14:textId="425F5173" w:rsidR="009E223F" w:rsidRPr="00B5728B" w:rsidRDefault="00B5728B" w:rsidP="002B4547">
      <w:pPr>
        <w:tabs>
          <w:tab w:val="left" w:pos="1938"/>
        </w:tabs>
        <w:rPr>
          <w:rFonts w:ascii="Times New Roman" w:hAnsi="Times New Roman" w:cs="Times New Roman"/>
          <w:b/>
          <w:bCs/>
        </w:rPr>
      </w:pPr>
      <w:r w:rsidRPr="00B5728B">
        <w:rPr>
          <w:rFonts w:ascii="Times New Roman" w:hAnsi="Times New Roman" w:cs="Times New Roman"/>
          <w:b/>
          <w:bCs/>
        </w:rPr>
        <w:t>Overall Takeaway</w:t>
      </w:r>
    </w:p>
    <w:p w14:paraId="67AA7E38" w14:textId="77777777" w:rsidR="00B5728B" w:rsidRPr="00B5728B" w:rsidRDefault="00B5728B" w:rsidP="00B5728B">
      <w:pPr>
        <w:tabs>
          <w:tab w:val="left" w:pos="1938"/>
        </w:tabs>
        <w:rPr>
          <w:rFonts w:ascii="Times New Roman" w:hAnsi="Times New Roman" w:cs="Times New Roman"/>
        </w:rPr>
      </w:pPr>
      <w:r w:rsidRPr="00B5728B">
        <w:rPr>
          <w:rFonts w:ascii="Times New Roman" w:hAnsi="Times New Roman" w:cs="Times New Roman"/>
        </w:rPr>
        <w:t xml:space="preserve">Over the full span from 2000 through early 2025, gold has moved from roughly $260 to about $2,650, punctuated by four major safe-haven rallies: the dot-com fallout (2000–03), the Global Financial Crisis (2008–11), the COVID shock (2020), and the post-pandemic inflation surge (2021–24). During those same years, the U.S. Dollar Index fell from the high 80s into the low 90s in the early 2000s, spiked past 112 amid aggressive Fed tightening in 2022, then settled around 100–106 as markets oscillated. Inflation (CPI) climbed steadily from about 170 in 2000 to over 320 by 2025, while the Fed Funds Rate and 10-year Treasury yield each plunged to near zero during 2008 and again in 2020 before rallying to roughly 5% and 4.8%, respectively, by late 2024. Taken together, these series show gold surging whenever real yields </w:t>
      </w:r>
      <w:proofErr w:type="gramStart"/>
      <w:r w:rsidRPr="00B5728B">
        <w:rPr>
          <w:rFonts w:ascii="Times New Roman" w:hAnsi="Times New Roman" w:cs="Times New Roman"/>
        </w:rPr>
        <w:t>fell</w:t>
      </w:r>
      <w:proofErr w:type="gramEnd"/>
      <w:r w:rsidRPr="00B5728B">
        <w:rPr>
          <w:rFonts w:ascii="Times New Roman" w:hAnsi="Times New Roman" w:cs="Times New Roman"/>
        </w:rPr>
        <w:t xml:space="preserve"> and the dollar weakened—especially in crisis or high-inflation periods—and stalling whenever the Fed’s tightening lifted both short- and long-term interest rates and bolstered the dollar.</w:t>
      </w:r>
    </w:p>
    <w:p w14:paraId="0DD9EED0" w14:textId="77777777" w:rsidR="00B5728B" w:rsidRPr="00B5728B" w:rsidRDefault="00B5728B" w:rsidP="002B4547">
      <w:pPr>
        <w:tabs>
          <w:tab w:val="left" w:pos="1938"/>
        </w:tabs>
        <w:rPr>
          <w:rFonts w:ascii="Times New Roman" w:hAnsi="Times New Roman" w:cs="Times New Roman"/>
        </w:rPr>
      </w:pPr>
    </w:p>
    <w:p w14:paraId="7DA69C9C" w14:textId="77777777" w:rsidR="009E223F" w:rsidRPr="00B5728B" w:rsidRDefault="009E223F" w:rsidP="002B4547">
      <w:pPr>
        <w:tabs>
          <w:tab w:val="left" w:pos="1938"/>
        </w:tabs>
        <w:rPr>
          <w:rFonts w:ascii="Times New Roman" w:hAnsi="Times New Roman" w:cs="Times New Roman"/>
        </w:rPr>
      </w:pPr>
    </w:p>
    <w:p w14:paraId="6AC43D91" w14:textId="77777777" w:rsidR="009E223F" w:rsidRPr="00B5728B" w:rsidRDefault="009E223F" w:rsidP="002B4547">
      <w:pPr>
        <w:tabs>
          <w:tab w:val="left" w:pos="1938"/>
        </w:tabs>
        <w:rPr>
          <w:rFonts w:ascii="Times New Roman" w:hAnsi="Times New Roman" w:cs="Times New Roman"/>
        </w:rPr>
      </w:pPr>
    </w:p>
    <w:p w14:paraId="55D8883E" w14:textId="77777777" w:rsidR="009E223F" w:rsidRPr="00B5728B" w:rsidRDefault="009E223F" w:rsidP="002B4547">
      <w:pPr>
        <w:tabs>
          <w:tab w:val="left" w:pos="1938"/>
        </w:tabs>
        <w:rPr>
          <w:rFonts w:ascii="Times New Roman" w:hAnsi="Times New Roman" w:cs="Times New Roman"/>
        </w:rPr>
      </w:pPr>
    </w:p>
    <w:p w14:paraId="7A7214B7" w14:textId="77777777" w:rsidR="009E223F" w:rsidRPr="00B5728B" w:rsidRDefault="009E223F" w:rsidP="002B4547">
      <w:pPr>
        <w:tabs>
          <w:tab w:val="left" w:pos="1938"/>
        </w:tabs>
        <w:rPr>
          <w:rFonts w:ascii="Times New Roman" w:hAnsi="Times New Roman" w:cs="Times New Roman"/>
        </w:rPr>
      </w:pPr>
    </w:p>
    <w:p w14:paraId="280AB314" w14:textId="77777777" w:rsidR="002B4547" w:rsidRPr="00B5728B" w:rsidRDefault="002B4547" w:rsidP="002B4547">
      <w:pPr>
        <w:tabs>
          <w:tab w:val="left" w:pos="1938"/>
        </w:tabs>
        <w:rPr>
          <w:rFonts w:ascii="Times New Roman" w:hAnsi="Times New Roman" w:cs="Times New Roman"/>
        </w:rPr>
      </w:pPr>
    </w:p>
    <w:p w14:paraId="2BDE7145" w14:textId="77777777" w:rsidR="002B4547" w:rsidRPr="00B5728B" w:rsidRDefault="002B4547" w:rsidP="002B4547">
      <w:pPr>
        <w:tabs>
          <w:tab w:val="left" w:pos="1938"/>
        </w:tabs>
        <w:rPr>
          <w:rFonts w:ascii="Times New Roman" w:hAnsi="Times New Roman" w:cs="Times New Roman"/>
        </w:rPr>
      </w:pPr>
    </w:p>
    <w:p w14:paraId="5A7FC51A" w14:textId="77777777" w:rsidR="002B4547" w:rsidRPr="00B5728B" w:rsidRDefault="002B4547" w:rsidP="002B4547">
      <w:pPr>
        <w:tabs>
          <w:tab w:val="left" w:pos="1938"/>
        </w:tabs>
        <w:rPr>
          <w:rFonts w:ascii="Times New Roman" w:hAnsi="Times New Roman" w:cs="Times New Roman"/>
        </w:rPr>
      </w:pPr>
    </w:p>
    <w:p w14:paraId="4E2F4551" w14:textId="77777777" w:rsidR="002B4547" w:rsidRPr="00B5728B" w:rsidRDefault="002B4547" w:rsidP="002B4547">
      <w:pPr>
        <w:tabs>
          <w:tab w:val="left" w:pos="1938"/>
        </w:tabs>
        <w:rPr>
          <w:rFonts w:ascii="Times New Roman" w:hAnsi="Times New Roman" w:cs="Times New Roman"/>
        </w:rPr>
      </w:pPr>
    </w:p>
    <w:p w14:paraId="6B236B41" w14:textId="77777777" w:rsidR="002B4547" w:rsidRPr="00B5728B" w:rsidRDefault="002B4547" w:rsidP="002B4547">
      <w:pPr>
        <w:tabs>
          <w:tab w:val="left" w:pos="1938"/>
        </w:tabs>
        <w:rPr>
          <w:rFonts w:ascii="Times New Roman" w:hAnsi="Times New Roman" w:cs="Times New Roman"/>
        </w:rPr>
      </w:pPr>
    </w:p>
    <w:p w14:paraId="6A67E566" w14:textId="77777777" w:rsidR="002B4547" w:rsidRPr="00B5728B" w:rsidRDefault="002B4547" w:rsidP="002B4547">
      <w:pPr>
        <w:tabs>
          <w:tab w:val="left" w:pos="1938"/>
        </w:tabs>
        <w:rPr>
          <w:rFonts w:ascii="Times New Roman" w:hAnsi="Times New Roman" w:cs="Times New Roman"/>
        </w:rPr>
      </w:pPr>
    </w:p>
    <w:p w14:paraId="3D565B82" w14:textId="77777777" w:rsidR="002B4547" w:rsidRPr="00B5728B" w:rsidRDefault="002B4547" w:rsidP="002B4547">
      <w:pPr>
        <w:tabs>
          <w:tab w:val="left" w:pos="1938"/>
        </w:tabs>
        <w:rPr>
          <w:rFonts w:ascii="Times New Roman" w:hAnsi="Times New Roman" w:cs="Times New Roman"/>
        </w:rPr>
      </w:pPr>
    </w:p>
    <w:p w14:paraId="11C78D95" w14:textId="77777777" w:rsidR="002B4547" w:rsidRPr="00B5728B" w:rsidRDefault="002B4547" w:rsidP="002B4547">
      <w:pPr>
        <w:tabs>
          <w:tab w:val="left" w:pos="1938"/>
        </w:tabs>
        <w:rPr>
          <w:rFonts w:ascii="Times New Roman" w:hAnsi="Times New Roman" w:cs="Times New Roman"/>
        </w:rPr>
      </w:pPr>
    </w:p>
    <w:p w14:paraId="283ACEA0" w14:textId="77777777" w:rsidR="002B4547" w:rsidRPr="00B5728B" w:rsidRDefault="002B4547" w:rsidP="002B4547">
      <w:pPr>
        <w:tabs>
          <w:tab w:val="left" w:pos="1938"/>
        </w:tabs>
        <w:rPr>
          <w:rFonts w:ascii="Times New Roman" w:hAnsi="Times New Roman" w:cs="Times New Roman"/>
        </w:rPr>
      </w:pPr>
    </w:p>
    <w:p w14:paraId="1EDEB4A8" w14:textId="77777777" w:rsidR="002B4547" w:rsidRPr="00B5728B" w:rsidRDefault="002B4547" w:rsidP="002B4547">
      <w:pPr>
        <w:tabs>
          <w:tab w:val="left" w:pos="1938"/>
        </w:tabs>
        <w:rPr>
          <w:rFonts w:ascii="Times New Roman" w:hAnsi="Times New Roman" w:cs="Times New Roman"/>
        </w:rPr>
      </w:pPr>
    </w:p>
    <w:p w14:paraId="0F76CC23" w14:textId="1188C962" w:rsidR="002B4547" w:rsidRPr="00B5728B" w:rsidRDefault="002B4547" w:rsidP="002B4547">
      <w:pPr>
        <w:tabs>
          <w:tab w:val="left" w:pos="1938"/>
        </w:tabs>
        <w:rPr>
          <w:rFonts w:ascii="Times New Roman" w:hAnsi="Times New Roman" w:cs="Times New Roman"/>
        </w:rPr>
      </w:pPr>
    </w:p>
    <w:p w14:paraId="47A27B2F" w14:textId="77777777" w:rsidR="002B4547" w:rsidRPr="00B5728B" w:rsidRDefault="002B4547">
      <w:pPr>
        <w:rPr>
          <w:rFonts w:ascii="Times New Roman" w:hAnsi="Times New Roman" w:cs="Times New Roman"/>
        </w:rPr>
      </w:pPr>
      <w:r w:rsidRPr="00B5728B">
        <w:rPr>
          <w:rFonts w:ascii="Times New Roman" w:hAnsi="Times New Roman" w:cs="Times New Roman"/>
        </w:rPr>
        <w:br w:type="page"/>
      </w:r>
    </w:p>
    <w:p w14:paraId="2852F4DF" w14:textId="333B3FD8" w:rsidR="002B4547" w:rsidRPr="00B5728B" w:rsidRDefault="002B4547" w:rsidP="002B4547">
      <w:pPr>
        <w:tabs>
          <w:tab w:val="left" w:pos="1938"/>
        </w:tabs>
        <w:rPr>
          <w:rFonts w:ascii="Times New Roman" w:hAnsi="Times New Roman" w:cs="Times New Roman"/>
        </w:rPr>
      </w:pPr>
    </w:p>
    <w:sectPr w:rsidR="002B4547" w:rsidRPr="00B5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03C"/>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C432A"/>
    <w:multiLevelType w:val="multilevel"/>
    <w:tmpl w:val="031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101EA"/>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062C"/>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82CF6"/>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90FD8"/>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8437A"/>
    <w:multiLevelType w:val="multilevel"/>
    <w:tmpl w:val="A79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47F92"/>
    <w:multiLevelType w:val="multilevel"/>
    <w:tmpl w:val="CAD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704EA"/>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34BF0"/>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F318A"/>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240D8"/>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07007"/>
    <w:multiLevelType w:val="multilevel"/>
    <w:tmpl w:val="FFB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052E3"/>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D0CE0"/>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D46C7"/>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3A21"/>
    <w:multiLevelType w:val="hybridMultilevel"/>
    <w:tmpl w:val="9B6E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373A8"/>
    <w:multiLevelType w:val="multilevel"/>
    <w:tmpl w:val="031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95B5E"/>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11C8E"/>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84FF5"/>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C7D21"/>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57019"/>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D662B"/>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3486F"/>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86FEC"/>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02A9C"/>
    <w:multiLevelType w:val="multilevel"/>
    <w:tmpl w:val="148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77232">
    <w:abstractNumId w:val="12"/>
  </w:num>
  <w:num w:numId="2" w16cid:durableId="364143111">
    <w:abstractNumId w:val="7"/>
  </w:num>
  <w:num w:numId="3" w16cid:durableId="1646158540">
    <w:abstractNumId w:val="6"/>
  </w:num>
  <w:num w:numId="4" w16cid:durableId="1010371828">
    <w:abstractNumId w:val="17"/>
  </w:num>
  <w:num w:numId="5" w16cid:durableId="1667857420">
    <w:abstractNumId w:val="1"/>
  </w:num>
  <w:num w:numId="6" w16cid:durableId="1739204863">
    <w:abstractNumId w:val="13"/>
  </w:num>
  <w:num w:numId="7" w16cid:durableId="554201933">
    <w:abstractNumId w:val="19"/>
  </w:num>
  <w:num w:numId="8" w16cid:durableId="833104983">
    <w:abstractNumId w:val="16"/>
  </w:num>
  <w:num w:numId="9" w16cid:durableId="68312638">
    <w:abstractNumId w:val="3"/>
  </w:num>
  <w:num w:numId="10" w16cid:durableId="990445651">
    <w:abstractNumId w:val="2"/>
  </w:num>
  <w:num w:numId="11" w16cid:durableId="1464541381">
    <w:abstractNumId w:val="23"/>
  </w:num>
  <w:num w:numId="12" w16cid:durableId="507796590">
    <w:abstractNumId w:val="4"/>
  </w:num>
  <w:num w:numId="13" w16cid:durableId="1570966892">
    <w:abstractNumId w:val="0"/>
  </w:num>
  <w:num w:numId="14" w16cid:durableId="843931420">
    <w:abstractNumId w:val="14"/>
  </w:num>
  <w:num w:numId="15" w16cid:durableId="1514346658">
    <w:abstractNumId w:val="26"/>
  </w:num>
  <w:num w:numId="16" w16cid:durableId="572787375">
    <w:abstractNumId w:val="20"/>
  </w:num>
  <w:num w:numId="17" w16cid:durableId="943153485">
    <w:abstractNumId w:val="10"/>
  </w:num>
  <w:num w:numId="18" w16cid:durableId="24642667">
    <w:abstractNumId w:val="9"/>
  </w:num>
  <w:num w:numId="19" w16cid:durableId="1528834605">
    <w:abstractNumId w:val="11"/>
  </w:num>
  <w:num w:numId="20" w16cid:durableId="1552033219">
    <w:abstractNumId w:val="25"/>
  </w:num>
  <w:num w:numId="21" w16cid:durableId="1117137922">
    <w:abstractNumId w:val="22"/>
  </w:num>
  <w:num w:numId="22" w16cid:durableId="1776317770">
    <w:abstractNumId w:val="18"/>
  </w:num>
  <w:num w:numId="23" w16cid:durableId="859703353">
    <w:abstractNumId w:val="21"/>
  </w:num>
  <w:num w:numId="24" w16cid:durableId="1948849761">
    <w:abstractNumId w:val="15"/>
  </w:num>
  <w:num w:numId="25" w16cid:durableId="943341890">
    <w:abstractNumId w:val="8"/>
  </w:num>
  <w:num w:numId="26" w16cid:durableId="4987056">
    <w:abstractNumId w:val="24"/>
  </w:num>
  <w:num w:numId="27" w16cid:durableId="217283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35"/>
    <w:rsid w:val="000D777F"/>
    <w:rsid w:val="001763E3"/>
    <w:rsid w:val="00195334"/>
    <w:rsid w:val="002B4547"/>
    <w:rsid w:val="002F1C46"/>
    <w:rsid w:val="002F45CF"/>
    <w:rsid w:val="003927D6"/>
    <w:rsid w:val="003D18E7"/>
    <w:rsid w:val="004A7DA4"/>
    <w:rsid w:val="00540D2C"/>
    <w:rsid w:val="00556D4A"/>
    <w:rsid w:val="00696677"/>
    <w:rsid w:val="00765241"/>
    <w:rsid w:val="00767C5F"/>
    <w:rsid w:val="007E2135"/>
    <w:rsid w:val="009A669D"/>
    <w:rsid w:val="009E223F"/>
    <w:rsid w:val="00A144E6"/>
    <w:rsid w:val="00A655E6"/>
    <w:rsid w:val="00B5728B"/>
    <w:rsid w:val="00B74754"/>
    <w:rsid w:val="00C43F43"/>
    <w:rsid w:val="00D47A64"/>
    <w:rsid w:val="00D73641"/>
    <w:rsid w:val="00DC6F68"/>
    <w:rsid w:val="00E01FA6"/>
    <w:rsid w:val="00E270F7"/>
    <w:rsid w:val="00E57FE0"/>
    <w:rsid w:val="00E95DB2"/>
    <w:rsid w:val="00EB79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C3898"/>
  <w15:chartTrackingRefBased/>
  <w15:docId w15:val="{AB75C80F-FA66-4162-978B-B39C55C7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F68"/>
  </w:style>
  <w:style w:type="paragraph" w:styleId="Heading1">
    <w:name w:val="heading 1"/>
    <w:basedOn w:val="Normal"/>
    <w:next w:val="Normal"/>
    <w:link w:val="Heading1Char"/>
    <w:uiPriority w:val="9"/>
    <w:qFormat/>
    <w:rsid w:val="007E213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E213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E213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E2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3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E213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E213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E2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135"/>
    <w:rPr>
      <w:rFonts w:eastAsiaTheme="majorEastAsia" w:cstheme="majorBidi"/>
      <w:color w:val="272727" w:themeColor="text1" w:themeTint="D8"/>
    </w:rPr>
  </w:style>
  <w:style w:type="paragraph" w:styleId="Title">
    <w:name w:val="Title"/>
    <w:basedOn w:val="Normal"/>
    <w:next w:val="Normal"/>
    <w:link w:val="TitleChar"/>
    <w:uiPriority w:val="10"/>
    <w:qFormat/>
    <w:rsid w:val="007E213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213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213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213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2135"/>
    <w:pPr>
      <w:spacing w:before="160"/>
      <w:jc w:val="center"/>
    </w:pPr>
    <w:rPr>
      <w:i/>
      <w:iCs/>
      <w:color w:val="404040" w:themeColor="text1" w:themeTint="BF"/>
    </w:rPr>
  </w:style>
  <w:style w:type="character" w:customStyle="1" w:styleId="QuoteChar">
    <w:name w:val="Quote Char"/>
    <w:basedOn w:val="DefaultParagraphFont"/>
    <w:link w:val="Quote"/>
    <w:uiPriority w:val="29"/>
    <w:rsid w:val="007E2135"/>
    <w:rPr>
      <w:i/>
      <w:iCs/>
      <w:color w:val="404040" w:themeColor="text1" w:themeTint="BF"/>
    </w:rPr>
  </w:style>
  <w:style w:type="paragraph" w:styleId="ListParagraph">
    <w:name w:val="List Paragraph"/>
    <w:basedOn w:val="Normal"/>
    <w:uiPriority w:val="34"/>
    <w:qFormat/>
    <w:rsid w:val="007E2135"/>
    <w:pPr>
      <w:ind w:left="720"/>
      <w:contextualSpacing/>
    </w:pPr>
  </w:style>
  <w:style w:type="character" w:styleId="IntenseEmphasis">
    <w:name w:val="Intense Emphasis"/>
    <w:basedOn w:val="DefaultParagraphFont"/>
    <w:uiPriority w:val="21"/>
    <w:qFormat/>
    <w:rsid w:val="007E2135"/>
    <w:rPr>
      <w:i/>
      <w:iCs/>
      <w:color w:val="0F4761" w:themeColor="accent1" w:themeShade="BF"/>
    </w:rPr>
  </w:style>
  <w:style w:type="paragraph" w:styleId="IntenseQuote">
    <w:name w:val="Intense Quote"/>
    <w:basedOn w:val="Normal"/>
    <w:next w:val="Normal"/>
    <w:link w:val="IntenseQuoteChar"/>
    <w:uiPriority w:val="30"/>
    <w:qFormat/>
    <w:rsid w:val="007E2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135"/>
    <w:rPr>
      <w:i/>
      <w:iCs/>
      <w:color w:val="0F4761" w:themeColor="accent1" w:themeShade="BF"/>
    </w:rPr>
  </w:style>
  <w:style w:type="character" w:styleId="IntenseReference">
    <w:name w:val="Intense Reference"/>
    <w:basedOn w:val="DefaultParagraphFont"/>
    <w:uiPriority w:val="32"/>
    <w:qFormat/>
    <w:rsid w:val="007E2135"/>
    <w:rPr>
      <w:b/>
      <w:bCs/>
      <w:smallCaps/>
      <w:color w:val="0F4761" w:themeColor="accent1" w:themeShade="BF"/>
      <w:spacing w:val="5"/>
    </w:rPr>
  </w:style>
  <w:style w:type="character" w:styleId="Strong">
    <w:name w:val="Strong"/>
    <w:basedOn w:val="DefaultParagraphFont"/>
    <w:uiPriority w:val="22"/>
    <w:qFormat/>
    <w:rsid w:val="000D777F"/>
    <w:rPr>
      <w:b/>
      <w:bCs/>
    </w:rPr>
  </w:style>
  <w:style w:type="paragraph" w:styleId="NormalWeb">
    <w:name w:val="Normal (Web)"/>
    <w:basedOn w:val="Normal"/>
    <w:uiPriority w:val="99"/>
    <w:semiHidden/>
    <w:unhideWhenUsed/>
    <w:rsid w:val="000D77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010">
      <w:bodyDiv w:val="1"/>
      <w:marLeft w:val="0"/>
      <w:marRight w:val="0"/>
      <w:marTop w:val="0"/>
      <w:marBottom w:val="0"/>
      <w:divBdr>
        <w:top w:val="none" w:sz="0" w:space="0" w:color="auto"/>
        <w:left w:val="none" w:sz="0" w:space="0" w:color="auto"/>
        <w:bottom w:val="none" w:sz="0" w:space="0" w:color="auto"/>
        <w:right w:val="none" w:sz="0" w:space="0" w:color="auto"/>
      </w:divBdr>
    </w:div>
    <w:div w:id="41103384">
      <w:bodyDiv w:val="1"/>
      <w:marLeft w:val="0"/>
      <w:marRight w:val="0"/>
      <w:marTop w:val="0"/>
      <w:marBottom w:val="0"/>
      <w:divBdr>
        <w:top w:val="none" w:sz="0" w:space="0" w:color="auto"/>
        <w:left w:val="none" w:sz="0" w:space="0" w:color="auto"/>
        <w:bottom w:val="none" w:sz="0" w:space="0" w:color="auto"/>
        <w:right w:val="none" w:sz="0" w:space="0" w:color="auto"/>
      </w:divBdr>
    </w:div>
    <w:div w:id="74672460">
      <w:bodyDiv w:val="1"/>
      <w:marLeft w:val="0"/>
      <w:marRight w:val="0"/>
      <w:marTop w:val="0"/>
      <w:marBottom w:val="0"/>
      <w:divBdr>
        <w:top w:val="none" w:sz="0" w:space="0" w:color="auto"/>
        <w:left w:val="none" w:sz="0" w:space="0" w:color="auto"/>
        <w:bottom w:val="none" w:sz="0" w:space="0" w:color="auto"/>
        <w:right w:val="none" w:sz="0" w:space="0" w:color="auto"/>
      </w:divBdr>
    </w:div>
    <w:div w:id="140999093">
      <w:bodyDiv w:val="1"/>
      <w:marLeft w:val="0"/>
      <w:marRight w:val="0"/>
      <w:marTop w:val="0"/>
      <w:marBottom w:val="0"/>
      <w:divBdr>
        <w:top w:val="none" w:sz="0" w:space="0" w:color="auto"/>
        <w:left w:val="none" w:sz="0" w:space="0" w:color="auto"/>
        <w:bottom w:val="none" w:sz="0" w:space="0" w:color="auto"/>
        <w:right w:val="none" w:sz="0" w:space="0" w:color="auto"/>
      </w:divBdr>
    </w:div>
    <w:div w:id="168106436">
      <w:bodyDiv w:val="1"/>
      <w:marLeft w:val="0"/>
      <w:marRight w:val="0"/>
      <w:marTop w:val="0"/>
      <w:marBottom w:val="0"/>
      <w:divBdr>
        <w:top w:val="none" w:sz="0" w:space="0" w:color="auto"/>
        <w:left w:val="none" w:sz="0" w:space="0" w:color="auto"/>
        <w:bottom w:val="none" w:sz="0" w:space="0" w:color="auto"/>
        <w:right w:val="none" w:sz="0" w:space="0" w:color="auto"/>
      </w:divBdr>
    </w:div>
    <w:div w:id="191505601">
      <w:bodyDiv w:val="1"/>
      <w:marLeft w:val="0"/>
      <w:marRight w:val="0"/>
      <w:marTop w:val="0"/>
      <w:marBottom w:val="0"/>
      <w:divBdr>
        <w:top w:val="none" w:sz="0" w:space="0" w:color="auto"/>
        <w:left w:val="none" w:sz="0" w:space="0" w:color="auto"/>
        <w:bottom w:val="none" w:sz="0" w:space="0" w:color="auto"/>
        <w:right w:val="none" w:sz="0" w:space="0" w:color="auto"/>
      </w:divBdr>
    </w:div>
    <w:div w:id="220675731">
      <w:bodyDiv w:val="1"/>
      <w:marLeft w:val="0"/>
      <w:marRight w:val="0"/>
      <w:marTop w:val="0"/>
      <w:marBottom w:val="0"/>
      <w:divBdr>
        <w:top w:val="none" w:sz="0" w:space="0" w:color="auto"/>
        <w:left w:val="none" w:sz="0" w:space="0" w:color="auto"/>
        <w:bottom w:val="none" w:sz="0" w:space="0" w:color="auto"/>
        <w:right w:val="none" w:sz="0" w:space="0" w:color="auto"/>
      </w:divBdr>
    </w:div>
    <w:div w:id="230890426">
      <w:bodyDiv w:val="1"/>
      <w:marLeft w:val="0"/>
      <w:marRight w:val="0"/>
      <w:marTop w:val="0"/>
      <w:marBottom w:val="0"/>
      <w:divBdr>
        <w:top w:val="none" w:sz="0" w:space="0" w:color="auto"/>
        <w:left w:val="none" w:sz="0" w:space="0" w:color="auto"/>
        <w:bottom w:val="none" w:sz="0" w:space="0" w:color="auto"/>
        <w:right w:val="none" w:sz="0" w:space="0" w:color="auto"/>
      </w:divBdr>
    </w:div>
    <w:div w:id="249119540">
      <w:bodyDiv w:val="1"/>
      <w:marLeft w:val="0"/>
      <w:marRight w:val="0"/>
      <w:marTop w:val="0"/>
      <w:marBottom w:val="0"/>
      <w:divBdr>
        <w:top w:val="none" w:sz="0" w:space="0" w:color="auto"/>
        <w:left w:val="none" w:sz="0" w:space="0" w:color="auto"/>
        <w:bottom w:val="none" w:sz="0" w:space="0" w:color="auto"/>
        <w:right w:val="none" w:sz="0" w:space="0" w:color="auto"/>
      </w:divBdr>
    </w:div>
    <w:div w:id="249386354">
      <w:bodyDiv w:val="1"/>
      <w:marLeft w:val="0"/>
      <w:marRight w:val="0"/>
      <w:marTop w:val="0"/>
      <w:marBottom w:val="0"/>
      <w:divBdr>
        <w:top w:val="none" w:sz="0" w:space="0" w:color="auto"/>
        <w:left w:val="none" w:sz="0" w:space="0" w:color="auto"/>
        <w:bottom w:val="none" w:sz="0" w:space="0" w:color="auto"/>
        <w:right w:val="none" w:sz="0" w:space="0" w:color="auto"/>
      </w:divBdr>
    </w:div>
    <w:div w:id="272059914">
      <w:bodyDiv w:val="1"/>
      <w:marLeft w:val="0"/>
      <w:marRight w:val="0"/>
      <w:marTop w:val="0"/>
      <w:marBottom w:val="0"/>
      <w:divBdr>
        <w:top w:val="none" w:sz="0" w:space="0" w:color="auto"/>
        <w:left w:val="none" w:sz="0" w:space="0" w:color="auto"/>
        <w:bottom w:val="none" w:sz="0" w:space="0" w:color="auto"/>
        <w:right w:val="none" w:sz="0" w:space="0" w:color="auto"/>
      </w:divBdr>
    </w:div>
    <w:div w:id="276255783">
      <w:bodyDiv w:val="1"/>
      <w:marLeft w:val="0"/>
      <w:marRight w:val="0"/>
      <w:marTop w:val="0"/>
      <w:marBottom w:val="0"/>
      <w:divBdr>
        <w:top w:val="none" w:sz="0" w:space="0" w:color="auto"/>
        <w:left w:val="none" w:sz="0" w:space="0" w:color="auto"/>
        <w:bottom w:val="none" w:sz="0" w:space="0" w:color="auto"/>
        <w:right w:val="none" w:sz="0" w:space="0" w:color="auto"/>
      </w:divBdr>
    </w:div>
    <w:div w:id="284317803">
      <w:bodyDiv w:val="1"/>
      <w:marLeft w:val="0"/>
      <w:marRight w:val="0"/>
      <w:marTop w:val="0"/>
      <w:marBottom w:val="0"/>
      <w:divBdr>
        <w:top w:val="none" w:sz="0" w:space="0" w:color="auto"/>
        <w:left w:val="none" w:sz="0" w:space="0" w:color="auto"/>
        <w:bottom w:val="none" w:sz="0" w:space="0" w:color="auto"/>
        <w:right w:val="none" w:sz="0" w:space="0" w:color="auto"/>
      </w:divBdr>
    </w:div>
    <w:div w:id="291862767">
      <w:bodyDiv w:val="1"/>
      <w:marLeft w:val="0"/>
      <w:marRight w:val="0"/>
      <w:marTop w:val="0"/>
      <w:marBottom w:val="0"/>
      <w:divBdr>
        <w:top w:val="none" w:sz="0" w:space="0" w:color="auto"/>
        <w:left w:val="none" w:sz="0" w:space="0" w:color="auto"/>
        <w:bottom w:val="none" w:sz="0" w:space="0" w:color="auto"/>
        <w:right w:val="none" w:sz="0" w:space="0" w:color="auto"/>
      </w:divBdr>
    </w:div>
    <w:div w:id="309672723">
      <w:bodyDiv w:val="1"/>
      <w:marLeft w:val="0"/>
      <w:marRight w:val="0"/>
      <w:marTop w:val="0"/>
      <w:marBottom w:val="0"/>
      <w:divBdr>
        <w:top w:val="none" w:sz="0" w:space="0" w:color="auto"/>
        <w:left w:val="none" w:sz="0" w:space="0" w:color="auto"/>
        <w:bottom w:val="none" w:sz="0" w:space="0" w:color="auto"/>
        <w:right w:val="none" w:sz="0" w:space="0" w:color="auto"/>
      </w:divBdr>
    </w:div>
    <w:div w:id="353267828">
      <w:bodyDiv w:val="1"/>
      <w:marLeft w:val="0"/>
      <w:marRight w:val="0"/>
      <w:marTop w:val="0"/>
      <w:marBottom w:val="0"/>
      <w:divBdr>
        <w:top w:val="none" w:sz="0" w:space="0" w:color="auto"/>
        <w:left w:val="none" w:sz="0" w:space="0" w:color="auto"/>
        <w:bottom w:val="none" w:sz="0" w:space="0" w:color="auto"/>
        <w:right w:val="none" w:sz="0" w:space="0" w:color="auto"/>
      </w:divBdr>
    </w:div>
    <w:div w:id="357314744">
      <w:bodyDiv w:val="1"/>
      <w:marLeft w:val="0"/>
      <w:marRight w:val="0"/>
      <w:marTop w:val="0"/>
      <w:marBottom w:val="0"/>
      <w:divBdr>
        <w:top w:val="none" w:sz="0" w:space="0" w:color="auto"/>
        <w:left w:val="none" w:sz="0" w:space="0" w:color="auto"/>
        <w:bottom w:val="none" w:sz="0" w:space="0" w:color="auto"/>
        <w:right w:val="none" w:sz="0" w:space="0" w:color="auto"/>
      </w:divBdr>
    </w:div>
    <w:div w:id="375355222">
      <w:bodyDiv w:val="1"/>
      <w:marLeft w:val="0"/>
      <w:marRight w:val="0"/>
      <w:marTop w:val="0"/>
      <w:marBottom w:val="0"/>
      <w:divBdr>
        <w:top w:val="none" w:sz="0" w:space="0" w:color="auto"/>
        <w:left w:val="none" w:sz="0" w:space="0" w:color="auto"/>
        <w:bottom w:val="none" w:sz="0" w:space="0" w:color="auto"/>
        <w:right w:val="none" w:sz="0" w:space="0" w:color="auto"/>
      </w:divBdr>
    </w:div>
    <w:div w:id="390008048">
      <w:bodyDiv w:val="1"/>
      <w:marLeft w:val="0"/>
      <w:marRight w:val="0"/>
      <w:marTop w:val="0"/>
      <w:marBottom w:val="0"/>
      <w:divBdr>
        <w:top w:val="none" w:sz="0" w:space="0" w:color="auto"/>
        <w:left w:val="none" w:sz="0" w:space="0" w:color="auto"/>
        <w:bottom w:val="none" w:sz="0" w:space="0" w:color="auto"/>
        <w:right w:val="none" w:sz="0" w:space="0" w:color="auto"/>
      </w:divBdr>
    </w:div>
    <w:div w:id="396590971">
      <w:bodyDiv w:val="1"/>
      <w:marLeft w:val="0"/>
      <w:marRight w:val="0"/>
      <w:marTop w:val="0"/>
      <w:marBottom w:val="0"/>
      <w:divBdr>
        <w:top w:val="none" w:sz="0" w:space="0" w:color="auto"/>
        <w:left w:val="none" w:sz="0" w:space="0" w:color="auto"/>
        <w:bottom w:val="none" w:sz="0" w:space="0" w:color="auto"/>
        <w:right w:val="none" w:sz="0" w:space="0" w:color="auto"/>
      </w:divBdr>
    </w:div>
    <w:div w:id="440220250">
      <w:bodyDiv w:val="1"/>
      <w:marLeft w:val="0"/>
      <w:marRight w:val="0"/>
      <w:marTop w:val="0"/>
      <w:marBottom w:val="0"/>
      <w:divBdr>
        <w:top w:val="none" w:sz="0" w:space="0" w:color="auto"/>
        <w:left w:val="none" w:sz="0" w:space="0" w:color="auto"/>
        <w:bottom w:val="none" w:sz="0" w:space="0" w:color="auto"/>
        <w:right w:val="none" w:sz="0" w:space="0" w:color="auto"/>
      </w:divBdr>
    </w:div>
    <w:div w:id="444425628">
      <w:bodyDiv w:val="1"/>
      <w:marLeft w:val="0"/>
      <w:marRight w:val="0"/>
      <w:marTop w:val="0"/>
      <w:marBottom w:val="0"/>
      <w:divBdr>
        <w:top w:val="none" w:sz="0" w:space="0" w:color="auto"/>
        <w:left w:val="none" w:sz="0" w:space="0" w:color="auto"/>
        <w:bottom w:val="none" w:sz="0" w:space="0" w:color="auto"/>
        <w:right w:val="none" w:sz="0" w:space="0" w:color="auto"/>
      </w:divBdr>
    </w:div>
    <w:div w:id="475150516">
      <w:bodyDiv w:val="1"/>
      <w:marLeft w:val="0"/>
      <w:marRight w:val="0"/>
      <w:marTop w:val="0"/>
      <w:marBottom w:val="0"/>
      <w:divBdr>
        <w:top w:val="none" w:sz="0" w:space="0" w:color="auto"/>
        <w:left w:val="none" w:sz="0" w:space="0" w:color="auto"/>
        <w:bottom w:val="none" w:sz="0" w:space="0" w:color="auto"/>
        <w:right w:val="none" w:sz="0" w:space="0" w:color="auto"/>
      </w:divBdr>
    </w:div>
    <w:div w:id="481043222">
      <w:bodyDiv w:val="1"/>
      <w:marLeft w:val="0"/>
      <w:marRight w:val="0"/>
      <w:marTop w:val="0"/>
      <w:marBottom w:val="0"/>
      <w:divBdr>
        <w:top w:val="none" w:sz="0" w:space="0" w:color="auto"/>
        <w:left w:val="none" w:sz="0" w:space="0" w:color="auto"/>
        <w:bottom w:val="none" w:sz="0" w:space="0" w:color="auto"/>
        <w:right w:val="none" w:sz="0" w:space="0" w:color="auto"/>
      </w:divBdr>
    </w:div>
    <w:div w:id="587811465">
      <w:bodyDiv w:val="1"/>
      <w:marLeft w:val="0"/>
      <w:marRight w:val="0"/>
      <w:marTop w:val="0"/>
      <w:marBottom w:val="0"/>
      <w:divBdr>
        <w:top w:val="none" w:sz="0" w:space="0" w:color="auto"/>
        <w:left w:val="none" w:sz="0" w:space="0" w:color="auto"/>
        <w:bottom w:val="none" w:sz="0" w:space="0" w:color="auto"/>
        <w:right w:val="none" w:sz="0" w:space="0" w:color="auto"/>
      </w:divBdr>
    </w:div>
    <w:div w:id="606625162">
      <w:bodyDiv w:val="1"/>
      <w:marLeft w:val="0"/>
      <w:marRight w:val="0"/>
      <w:marTop w:val="0"/>
      <w:marBottom w:val="0"/>
      <w:divBdr>
        <w:top w:val="none" w:sz="0" w:space="0" w:color="auto"/>
        <w:left w:val="none" w:sz="0" w:space="0" w:color="auto"/>
        <w:bottom w:val="none" w:sz="0" w:space="0" w:color="auto"/>
        <w:right w:val="none" w:sz="0" w:space="0" w:color="auto"/>
      </w:divBdr>
    </w:div>
    <w:div w:id="631328395">
      <w:bodyDiv w:val="1"/>
      <w:marLeft w:val="0"/>
      <w:marRight w:val="0"/>
      <w:marTop w:val="0"/>
      <w:marBottom w:val="0"/>
      <w:divBdr>
        <w:top w:val="none" w:sz="0" w:space="0" w:color="auto"/>
        <w:left w:val="none" w:sz="0" w:space="0" w:color="auto"/>
        <w:bottom w:val="none" w:sz="0" w:space="0" w:color="auto"/>
        <w:right w:val="none" w:sz="0" w:space="0" w:color="auto"/>
      </w:divBdr>
    </w:div>
    <w:div w:id="717170899">
      <w:bodyDiv w:val="1"/>
      <w:marLeft w:val="0"/>
      <w:marRight w:val="0"/>
      <w:marTop w:val="0"/>
      <w:marBottom w:val="0"/>
      <w:divBdr>
        <w:top w:val="none" w:sz="0" w:space="0" w:color="auto"/>
        <w:left w:val="none" w:sz="0" w:space="0" w:color="auto"/>
        <w:bottom w:val="none" w:sz="0" w:space="0" w:color="auto"/>
        <w:right w:val="none" w:sz="0" w:space="0" w:color="auto"/>
      </w:divBdr>
    </w:div>
    <w:div w:id="846211618">
      <w:bodyDiv w:val="1"/>
      <w:marLeft w:val="0"/>
      <w:marRight w:val="0"/>
      <w:marTop w:val="0"/>
      <w:marBottom w:val="0"/>
      <w:divBdr>
        <w:top w:val="none" w:sz="0" w:space="0" w:color="auto"/>
        <w:left w:val="none" w:sz="0" w:space="0" w:color="auto"/>
        <w:bottom w:val="none" w:sz="0" w:space="0" w:color="auto"/>
        <w:right w:val="none" w:sz="0" w:space="0" w:color="auto"/>
      </w:divBdr>
    </w:div>
    <w:div w:id="855659620">
      <w:bodyDiv w:val="1"/>
      <w:marLeft w:val="0"/>
      <w:marRight w:val="0"/>
      <w:marTop w:val="0"/>
      <w:marBottom w:val="0"/>
      <w:divBdr>
        <w:top w:val="none" w:sz="0" w:space="0" w:color="auto"/>
        <w:left w:val="none" w:sz="0" w:space="0" w:color="auto"/>
        <w:bottom w:val="none" w:sz="0" w:space="0" w:color="auto"/>
        <w:right w:val="none" w:sz="0" w:space="0" w:color="auto"/>
      </w:divBdr>
    </w:div>
    <w:div w:id="878588346">
      <w:bodyDiv w:val="1"/>
      <w:marLeft w:val="0"/>
      <w:marRight w:val="0"/>
      <w:marTop w:val="0"/>
      <w:marBottom w:val="0"/>
      <w:divBdr>
        <w:top w:val="none" w:sz="0" w:space="0" w:color="auto"/>
        <w:left w:val="none" w:sz="0" w:space="0" w:color="auto"/>
        <w:bottom w:val="none" w:sz="0" w:space="0" w:color="auto"/>
        <w:right w:val="none" w:sz="0" w:space="0" w:color="auto"/>
      </w:divBdr>
    </w:div>
    <w:div w:id="916020079">
      <w:bodyDiv w:val="1"/>
      <w:marLeft w:val="0"/>
      <w:marRight w:val="0"/>
      <w:marTop w:val="0"/>
      <w:marBottom w:val="0"/>
      <w:divBdr>
        <w:top w:val="none" w:sz="0" w:space="0" w:color="auto"/>
        <w:left w:val="none" w:sz="0" w:space="0" w:color="auto"/>
        <w:bottom w:val="none" w:sz="0" w:space="0" w:color="auto"/>
        <w:right w:val="none" w:sz="0" w:space="0" w:color="auto"/>
      </w:divBdr>
    </w:div>
    <w:div w:id="922490255">
      <w:bodyDiv w:val="1"/>
      <w:marLeft w:val="0"/>
      <w:marRight w:val="0"/>
      <w:marTop w:val="0"/>
      <w:marBottom w:val="0"/>
      <w:divBdr>
        <w:top w:val="none" w:sz="0" w:space="0" w:color="auto"/>
        <w:left w:val="none" w:sz="0" w:space="0" w:color="auto"/>
        <w:bottom w:val="none" w:sz="0" w:space="0" w:color="auto"/>
        <w:right w:val="none" w:sz="0" w:space="0" w:color="auto"/>
      </w:divBdr>
    </w:div>
    <w:div w:id="950743456">
      <w:bodyDiv w:val="1"/>
      <w:marLeft w:val="0"/>
      <w:marRight w:val="0"/>
      <w:marTop w:val="0"/>
      <w:marBottom w:val="0"/>
      <w:divBdr>
        <w:top w:val="none" w:sz="0" w:space="0" w:color="auto"/>
        <w:left w:val="none" w:sz="0" w:space="0" w:color="auto"/>
        <w:bottom w:val="none" w:sz="0" w:space="0" w:color="auto"/>
        <w:right w:val="none" w:sz="0" w:space="0" w:color="auto"/>
      </w:divBdr>
    </w:div>
    <w:div w:id="1007825134">
      <w:bodyDiv w:val="1"/>
      <w:marLeft w:val="0"/>
      <w:marRight w:val="0"/>
      <w:marTop w:val="0"/>
      <w:marBottom w:val="0"/>
      <w:divBdr>
        <w:top w:val="none" w:sz="0" w:space="0" w:color="auto"/>
        <w:left w:val="none" w:sz="0" w:space="0" w:color="auto"/>
        <w:bottom w:val="none" w:sz="0" w:space="0" w:color="auto"/>
        <w:right w:val="none" w:sz="0" w:space="0" w:color="auto"/>
      </w:divBdr>
    </w:div>
    <w:div w:id="1020862501">
      <w:bodyDiv w:val="1"/>
      <w:marLeft w:val="0"/>
      <w:marRight w:val="0"/>
      <w:marTop w:val="0"/>
      <w:marBottom w:val="0"/>
      <w:divBdr>
        <w:top w:val="none" w:sz="0" w:space="0" w:color="auto"/>
        <w:left w:val="none" w:sz="0" w:space="0" w:color="auto"/>
        <w:bottom w:val="none" w:sz="0" w:space="0" w:color="auto"/>
        <w:right w:val="none" w:sz="0" w:space="0" w:color="auto"/>
      </w:divBdr>
    </w:div>
    <w:div w:id="1023215461">
      <w:bodyDiv w:val="1"/>
      <w:marLeft w:val="0"/>
      <w:marRight w:val="0"/>
      <w:marTop w:val="0"/>
      <w:marBottom w:val="0"/>
      <w:divBdr>
        <w:top w:val="none" w:sz="0" w:space="0" w:color="auto"/>
        <w:left w:val="none" w:sz="0" w:space="0" w:color="auto"/>
        <w:bottom w:val="none" w:sz="0" w:space="0" w:color="auto"/>
        <w:right w:val="none" w:sz="0" w:space="0" w:color="auto"/>
      </w:divBdr>
    </w:div>
    <w:div w:id="1040979854">
      <w:bodyDiv w:val="1"/>
      <w:marLeft w:val="0"/>
      <w:marRight w:val="0"/>
      <w:marTop w:val="0"/>
      <w:marBottom w:val="0"/>
      <w:divBdr>
        <w:top w:val="none" w:sz="0" w:space="0" w:color="auto"/>
        <w:left w:val="none" w:sz="0" w:space="0" w:color="auto"/>
        <w:bottom w:val="none" w:sz="0" w:space="0" w:color="auto"/>
        <w:right w:val="none" w:sz="0" w:space="0" w:color="auto"/>
      </w:divBdr>
    </w:div>
    <w:div w:id="1069183450">
      <w:bodyDiv w:val="1"/>
      <w:marLeft w:val="0"/>
      <w:marRight w:val="0"/>
      <w:marTop w:val="0"/>
      <w:marBottom w:val="0"/>
      <w:divBdr>
        <w:top w:val="none" w:sz="0" w:space="0" w:color="auto"/>
        <w:left w:val="none" w:sz="0" w:space="0" w:color="auto"/>
        <w:bottom w:val="none" w:sz="0" w:space="0" w:color="auto"/>
        <w:right w:val="none" w:sz="0" w:space="0" w:color="auto"/>
      </w:divBdr>
    </w:div>
    <w:div w:id="1076631650">
      <w:bodyDiv w:val="1"/>
      <w:marLeft w:val="0"/>
      <w:marRight w:val="0"/>
      <w:marTop w:val="0"/>
      <w:marBottom w:val="0"/>
      <w:divBdr>
        <w:top w:val="none" w:sz="0" w:space="0" w:color="auto"/>
        <w:left w:val="none" w:sz="0" w:space="0" w:color="auto"/>
        <w:bottom w:val="none" w:sz="0" w:space="0" w:color="auto"/>
        <w:right w:val="none" w:sz="0" w:space="0" w:color="auto"/>
      </w:divBdr>
    </w:div>
    <w:div w:id="1148747259">
      <w:bodyDiv w:val="1"/>
      <w:marLeft w:val="0"/>
      <w:marRight w:val="0"/>
      <w:marTop w:val="0"/>
      <w:marBottom w:val="0"/>
      <w:divBdr>
        <w:top w:val="none" w:sz="0" w:space="0" w:color="auto"/>
        <w:left w:val="none" w:sz="0" w:space="0" w:color="auto"/>
        <w:bottom w:val="none" w:sz="0" w:space="0" w:color="auto"/>
        <w:right w:val="none" w:sz="0" w:space="0" w:color="auto"/>
      </w:divBdr>
    </w:div>
    <w:div w:id="1150748162">
      <w:bodyDiv w:val="1"/>
      <w:marLeft w:val="0"/>
      <w:marRight w:val="0"/>
      <w:marTop w:val="0"/>
      <w:marBottom w:val="0"/>
      <w:divBdr>
        <w:top w:val="none" w:sz="0" w:space="0" w:color="auto"/>
        <w:left w:val="none" w:sz="0" w:space="0" w:color="auto"/>
        <w:bottom w:val="none" w:sz="0" w:space="0" w:color="auto"/>
        <w:right w:val="none" w:sz="0" w:space="0" w:color="auto"/>
      </w:divBdr>
    </w:div>
    <w:div w:id="1201747119">
      <w:bodyDiv w:val="1"/>
      <w:marLeft w:val="0"/>
      <w:marRight w:val="0"/>
      <w:marTop w:val="0"/>
      <w:marBottom w:val="0"/>
      <w:divBdr>
        <w:top w:val="none" w:sz="0" w:space="0" w:color="auto"/>
        <w:left w:val="none" w:sz="0" w:space="0" w:color="auto"/>
        <w:bottom w:val="none" w:sz="0" w:space="0" w:color="auto"/>
        <w:right w:val="none" w:sz="0" w:space="0" w:color="auto"/>
      </w:divBdr>
    </w:div>
    <w:div w:id="1238516395">
      <w:bodyDiv w:val="1"/>
      <w:marLeft w:val="0"/>
      <w:marRight w:val="0"/>
      <w:marTop w:val="0"/>
      <w:marBottom w:val="0"/>
      <w:divBdr>
        <w:top w:val="none" w:sz="0" w:space="0" w:color="auto"/>
        <w:left w:val="none" w:sz="0" w:space="0" w:color="auto"/>
        <w:bottom w:val="none" w:sz="0" w:space="0" w:color="auto"/>
        <w:right w:val="none" w:sz="0" w:space="0" w:color="auto"/>
      </w:divBdr>
    </w:div>
    <w:div w:id="1306543426">
      <w:bodyDiv w:val="1"/>
      <w:marLeft w:val="0"/>
      <w:marRight w:val="0"/>
      <w:marTop w:val="0"/>
      <w:marBottom w:val="0"/>
      <w:divBdr>
        <w:top w:val="none" w:sz="0" w:space="0" w:color="auto"/>
        <w:left w:val="none" w:sz="0" w:space="0" w:color="auto"/>
        <w:bottom w:val="none" w:sz="0" w:space="0" w:color="auto"/>
        <w:right w:val="none" w:sz="0" w:space="0" w:color="auto"/>
      </w:divBdr>
    </w:div>
    <w:div w:id="1308319005">
      <w:bodyDiv w:val="1"/>
      <w:marLeft w:val="0"/>
      <w:marRight w:val="0"/>
      <w:marTop w:val="0"/>
      <w:marBottom w:val="0"/>
      <w:divBdr>
        <w:top w:val="none" w:sz="0" w:space="0" w:color="auto"/>
        <w:left w:val="none" w:sz="0" w:space="0" w:color="auto"/>
        <w:bottom w:val="none" w:sz="0" w:space="0" w:color="auto"/>
        <w:right w:val="none" w:sz="0" w:space="0" w:color="auto"/>
      </w:divBdr>
    </w:div>
    <w:div w:id="1329097355">
      <w:bodyDiv w:val="1"/>
      <w:marLeft w:val="0"/>
      <w:marRight w:val="0"/>
      <w:marTop w:val="0"/>
      <w:marBottom w:val="0"/>
      <w:divBdr>
        <w:top w:val="none" w:sz="0" w:space="0" w:color="auto"/>
        <w:left w:val="none" w:sz="0" w:space="0" w:color="auto"/>
        <w:bottom w:val="none" w:sz="0" w:space="0" w:color="auto"/>
        <w:right w:val="none" w:sz="0" w:space="0" w:color="auto"/>
      </w:divBdr>
      <w:divsChild>
        <w:div w:id="955984966">
          <w:marLeft w:val="0"/>
          <w:marRight w:val="0"/>
          <w:marTop w:val="0"/>
          <w:marBottom w:val="0"/>
          <w:divBdr>
            <w:top w:val="none" w:sz="0" w:space="0" w:color="auto"/>
            <w:left w:val="none" w:sz="0" w:space="0" w:color="auto"/>
            <w:bottom w:val="none" w:sz="0" w:space="0" w:color="auto"/>
            <w:right w:val="none" w:sz="0" w:space="0" w:color="auto"/>
          </w:divBdr>
          <w:divsChild>
            <w:div w:id="32387120">
              <w:marLeft w:val="0"/>
              <w:marRight w:val="0"/>
              <w:marTop w:val="0"/>
              <w:marBottom w:val="0"/>
              <w:divBdr>
                <w:top w:val="none" w:sz="0" w:space="0" w:color="auto"/>
                <w:left w:val="none" w:sz="0" w:space="0" w:color="auto"/>
                <w:bottom w:val="none" w:sz="0" w:space="0" w:color="auto"/>
                <w:right w:val="none" w:sz="0" w:space="0" w:color="auto"/>
              </w:divBdr>
            </w:div>
            <w:div w:id="801919921">
              <w:marLeft w:val="0"/>
              <w:marRight w:val="0"/>
              <w:marTop w:val="0"/>
              <w:marBottom w:val="0"/>
              <w:divBdr>
                <w:top w:val="none" w:sz="0" w:space="0" w:color="auto"/>
                <w:left w:val="none" w:sz="0" w:space="0" w:color="auto"/>
                <w:bottom w:val="none" w:sz="0" w:space="0" w:color="auto"/>
                <w:right w:val="none" w:sz="0" w:space="0" w:color="auto"/>
              </w:divBdr>
            </w:div>
            <w:div w:id="1660158265">
              <w:marLeft w:val="0"/>
              <w:marRight w:val="0"/>
              <w:marTop w:val="0"/>
              <w:marBottom w:val="0"/>
              <w:divBdr>
                <w:top w:val="none" w:sz="0" w:space="0" w:color="auto"/>
                <w:left w:val="none" w:sz="0" w:space="0" w:color="auto"/>
                <w:bottom w:val="none" w:sz="0" w:space="0" w:color="auto"/>
                <w:right w:val="none" w:sz="0" w:space="0" w:color="auto"/>
              </w:divBdr>
              <w:divsChild>
                <w:div w:id="1211845253">
                  <w:marLeft w:val="0"/>
                  <w:marRight w:val="0"/>
                  <w:marTop w:val="0"/>
                  <w:marBottom w:val="0"/>
                  <w:divBdr>
                    <w:top w:val="none" w:sz="0" w:space="0" w:color="auto"/>
                    <w:left w:val="none" w:sz="0" w:space="0" w:color="auto"/>
                    <w:bottom w:val="none" w:sz="0" w:space="0" w:color="auto"/>
                    <w:right w:val="none" w:sz="0" w:space="0" w:color="auto"/>
                  </w:divBdr>
                  <w:divsChild>
                    <w:div w:id="10367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1154">
          <w:marLeft w:val="0"/>
          <w:marRight w:val="0"/>
          <w:marTop w:val="0"/>
          <w:marBottom w:val="0"/>
          <w:divBdr>
            <w:top w:val="none" w:sz="0" w:space="0" w:color="auto"/>
            <w:left w:val="none" w:sz="0" w:space="0" w:color="auto"/>
            <w:bottom w:val="none" w:sz="0" w:space="0" w:color="auto"/>
            <w:right w:val="none" w:sz="0" w:space="0" w:color="auto"/>
          </w:divBdr>
          <w:divsChild>
            <w:div w:id="167989941">
              <w:marLeft w:val="0"/>
              <w:marRight w:val="0"/>
              <w:marTop w:val="0"/>
              <w:marBottom w:val="0"/>
              <w:divBdr>
                <w:top w:val="none" w:sz="0" w:space="0" w:color="auto"/>
                <w:left w:val="none" w:sz="0" w:space="0" w:color="auto"/>
                <w:bottom w:val="none" w:sz="0" w:space="0" w:color="auto"/>
                <w:right w:val="none" w:sz="0" w:space="0" w:color="auto"/>
              </w:divBdr>
            </w:div>
            <w:div w:id="945501544">
              <w:marLeft w:val="0"/>
              <w:marRight w:val="0"/>
              <w:marTop w:val="0"/>
              <w:marBottom w:val="0"/>
              <w:divBdr>
                <w:top w:val="none" w:sz="0" w:space="0" w:color="auto"/>
                <w:left w:val="none" w:sz="0" w:space="0" w:color="auto"/>
                <w:bottom w:val="none" w:sz="0" w:space="0" w:color="auto"/>
                <w:right w:val="none" w:sz="0" w:space="0" w:color="auto"/>
              </w:divBdr>
              <w:divsChild>
                <w:div w:id="280579719">
                  <w:marLeft w:val="0"/>
                  <w:marRight w:val="0"/>
                  <w:marTop w:val="0"/>
                  <w:marBottom w:val="0"/>
                  <w:divBdr>
                    <w:top w:val="none" w:sz="0" w:space="0" w:color="auto"/>
                    <w:left w:val="none" w:sz="0" w:space="0" w:color="auto"/>
                    <w:bottom w:val="none" w:sz="0" w:space="0" w:color="auto"/>
                    <w:right w:val="none" w:sz="0" w:space="0" w:color="auto"/>
                  </w:divBdr>
                  <w:divsChild>
                    <w:div w:id="255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692">
              <w:marLeft w:val="0"/>
              <w:marRight w:val="0"/>
              <w:marTop w:val="0"/>
              <w:marBottom w:val="0"/>
              <w:divBdr>
                <w:top w:val="none" w:sz="0" w:space="0" w:color="auto"/>
                <w:left w:val="none" w:sz="0" w:space="0" w:color="auto"/>
                <w:bottom w:val="none" w:sz="0" w:space="0" w:color="auto"/>
                <w:right w:val="none" w:sz="0" w:space="0" w:color="auto"/>
              </w:divBdr>
            </w:div>
          </w:divsChild>
        </w:div>
        <w:div w:id="1353997405">
          <w:marLeft w:val="0"/>
          <w:marRight w:val="0"/>
          <w:marTop w:val="0"/>
          <w:marBottom w:val="0"/>
          <w:divBdr>
            <w:top w:val="none" w:sz="0" w:space="0" w:color="auto"/>
            <w:left w:val="none" w:sz="0" w:space="0" w:color="auto"/>
            <w:bottom w:val="none" w:sz="0" w:space="0" w:color="auto"/>
            <w:right w:val="none" w:sz="0" w:space="0" w:color="auto"/>
          </w:divBdr>
          <w:divsChild>
            <w:div w:id="515925069">
              <w:marLeft w:val="0"/>
              <w:marRight w:val="0"/>
              <w:marTop w:val="0"/>
              <w:marBottom w:val="0"/>
              <w:divBdr>
                <w:top w:val="none" w:sz="0" w:space="0" w:color="auto"/>
                <w:left w:val="none" w:sz="0" w:space="0" w:color="auto"/>
                <w:bottom w:val="none" w:sz="0" w:space="0" w:color="auto"/>
                <w:right w:val="none" w:sz="0" w:space="0" w:color="auto"/>
              </w:divBdr>
            </w:div>
            <w:div w:id="1455833238">
              <w:marLeft w:val="0"/>
              <w:marRight w:val="0"/>
              <w:marTop w:val="0"/>
              <w:marBottom w:val="0"/>
              <w:divBdr>
                <w:top w:val="none" w:sz="0" w:space="0" w:color="auto"/>
                <w:left w:val="none" w:sz="0" w:space="0" w:color="auto"/>
                <w:bottom w:val="none" w:sz="0" w:space="0" w:color="auto"/>
                <w:right w:val="none" w:sz="0" w:space="0" w:color="auto"/>
              </w:divBdr>
              <w:divsChild>
                <w:div w:id="887566188">
                  <w:marLeft w:val="0"/>
                  <w:marRight w:val="0"/>
                  <w:marTop w:val="0"/>
                  <w:marBottom w:val="0"/>
                  <w:divBdr>
                    <w:top w:val="none" w:sz="0" w:space="0" w:color="auto"/>
                    <w:left w:val="none" w:sz="0" w:space="0" w:color="auto"/>
                    <w:bottom w:val="none" w:sz="0" w:space="0" w:color="auto"/>
                    <w:right w:val="none" w:sz="0" w:space="0" w:color="auto"/>
                  </w:divBdr>
                  <w:divsChild>
                    <w:div w:id="560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31">
              <w:marLeft w:val="0"/>
              <w:marRight w:val="0"/>
              <w:marTop w:val="0"/>
              <w:marBottom w:val="0"/>
              <w:divBdr>
                <w:top w:val="none" w:sz="0" w:space="0" w:color="auto"/>
                <w:left w:val="none" w:sz="0" w:space="0" w:color="auto"/>
                <w:bottom w:val="none" w:sz="0" w:space="0" w:color="auto"/>
                <w:right w:val="none" w:sz="0" w:space="0" w:color="auto"/>
              </w:divBdr>
            </w:div>
          </w:divsChild>
        </w:div>
        <w:div w:id="1366902747">
          <w:marLeft w:val="0"/>
          <w:marRight w:val="0"/>
          <w:marTop w:val="0"/>
          <w:marBottom w:val="0"/>
          <w:divBdr>
            <w:top w:val="none" w:sz="0" w:space="0" w:color="auto"/>
            <w:left w:val="none" w:sz="0" w:space="0" w:color="auto"/>
            <w:bottom w:val="none" w:sz="0" w:space="0" w:color="auto"/>
            <w:right w:val="none" w:sz="0" w:space="0" w:color="auto"/>
          </w:divBdr>
          <w:divsChild>
            <w:div w:id="119611502">
              <w:marLeft w:val="0"/>
              <w:marRight w:val="0"/>
              <w:marTop w:val="0"/>
              <w:marBottom w:val="0"/>
              <w:divBdr>
                <w:top w:val="none" w:sz="0" w:space="0" w:color="auto"/>
                <w:left w:val="none" w:sz="0" w:space="0" w:color="auto"/>
                <w:bottom w:val="none" w:sz="0" w:space="0" w:color="auto"/>
                <w:right w:val="none" w:sz="0" w:space="0" w:color="auto"/>
              </w:divBdr>
            </w:div>
            <w:div w:id="754866848">
              <w:marLeft w:val="0"/>
              <w:marRight w:val="0"/>
              <w:marTop w:val="0"/>
              <w:marBottom w:val="0"/>
              <w:divBdr>
                <w:top w:val="none" w:sz="0" w:space="0" w:color="auto"/>
                <w:left w:val="none" w:sz="0" w:space="0" w:color="auto"/>
                <w:bottom w:val="none" w:sz="0" w:space="0" w:color="auto"/>
                <w:right w:val="none" w:sz="0" w:space="0" w:color="auto"/>
              </w:divBdr>
            </w:div>
            <w:div w:id="2032409106">
              <w:marLeft w:val="0"/>
              <w:marRight w:val="0"/>
              <w:marTop w:val="0"/>
              <w:marBottom w:val="0"/>
              <w:divBdr>
                <w:top w:val="none" w:sz="0" w:space="0" w:color="auto"/>
                <w:left w:val="none" w:sz="0" w:space="0" w:color="auto"/>
                <w:bottom w:val="none" w:sz="0" w:space="0" w:color="auto"/>
                <w:right w:val="none" w:sz="0" w:space="0" w:color="auto"/>
              </w:divBdr>
              <w:divsChild>
                <w:div w:id="1384256493">
                  <w:marLeft w:val="0"/>
                  <w:marRight w:val="0"/>
                  <w:marTop w:val="0"/>
                  <w:marBottom w:val="0"/>
                  <w:divBdr>
                    <w:top w:val="none" w:sz="0" w:space="0" w:color="auto"/>
                    <w:left w:val="none" w:sz="0" w:space="0" w:color="auto"/>
                    <w:bottom w:val="none" w:sz="0" w:space="0" w:color="auto"/>
                    <w:right w:val="none" w:sz="0" w:space="0" w:color="auto"/>
                  </w:divBdr>
                  <w:divsChild>
                    <w:div w:id="4794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84045">
      <w:bodyDiv w:val="1"/>
      <w:marLeft w:val="0"/>
      <w:marRight w:val="0"/>
      <w:marTop w:val="0"/>
      <w:marBottom w:val="0"/>
      <w:divBdr>
        <w:top w:val="none" w:sz="0" w:space="0" w:color="auto"/>
        <w:left w:val="none" w:sz="0" w:space="0" w:color="auto"/>
        <w:bottom w:val="none" w:sz="0" w:space="0" w:color="auto"/>
        <w:right w:val="none" w:sz="0" w:space="0" w:color="auto"/>
      </w:divBdr>
    </w:div>
    <w:div w:id="1384252219">
      <w:bodyDiv w:val="1"/>
      <w:marLeft w:val="0"/>
      <w:marRight w:val="0"/>
      <w:marTop w:val="0"/>
      <w:marBottom w:val="0"/>
      <w:divBdr>
        <w:top w:val="none" w:sz="0" w:space="0" w:color="auto"/>
        <w:left w:val="none" w:sz="0" w:space="0" w:color="auto"/>
        <w:bottom w:val="none" w:sz="0" w:space="0" w:color="auto"/>
        <w:right w:val="none" w:sz="0" w:space="0" w:color="auto"/>
      </w:divBdr>
    </w:div>
    <w:div w:id="1384333783">
      <w:bodyDiv w:val="1"/>
      <w:marLeft w:val="0"/>
      <w:marRight w:val="0"/>
      <w:marTop w:val="0"/>
      <w:marBottom w:val="0"/>
      <w:divBdr>
        <w:top w:val="none" w:sz="0" w:space="0" w:color="auto"/>
        <w:left w:val="none" w:sz="0" w:space="0" w:color="auto"/>
        <w:bottom w:val="none" w:sz="0" w:space="0" w:color="auto"/>
        <w:right w:val="none" w:sz="0" w:space="0" w:color="auto"/>
      </w:divBdr>
    </w:div>
    <w:div w:id="1466924020">
      <w:bodyDiv w:val="1"/>
      <w:marLeft w:val="0"/>
      <w:marRight w:val="0"/>
      <w:marTop w:val="0"/>
      <w:marBottom w:val="0"/>
      <w:divBdr>
        <w:top w:val="none" w:sz="0" w:space="0" w:color="auto"/>
        <w:left w:val="none" w:sz="0" w:space="0" w:color="auto"/>
        <w:bottom w:val="none" w:sz="0" w:space="0" w:color="auto"/>
        <w:right w:val="none" w:sz="0" w:space="0" w:color="auto"/>
      </w:divBdr>
    </w:div>
    <w:div w:id="1479224791">
      <w:bodyDiv w:val="1"/>
      <w:marLeft w:val="0"/>
      <w:marRight w:val="0"/>
      <w:marTop w:val="0"/>
      <w:marBottom w:val="0"/>
      <w:divBdr>
        <w:top w:val="none" w:sz="0" w:space="0" w:color="auto"/>
        <w:left w:val="none" w:sz="0" w:space="0" w:color="auto"/>
        <w:bottom w:val="none" w:sz="0" w:space="0" w:color="auto"/>
        <w:right w:val="none" w:sz="0" w:space="0" w:color="auto"/>
      </w:divBdr>
    </w:div>
    <w:div w:id="1536850172">
      <w:bodyDiv w:val="1"/>
      <w:marLeft w:val="0"/>
      <w:marRight w:val="0"/>
      <w:marTop w:val="0"/>
      <w:marBottom w:val="0"/>
      <w:divBdr>
        <w:top w:val="none" w:sz="0" w:space="0" w:color="auto"/>
        <w:left w:val="none" w:sz="0" w:space="0" w:color="auto"/>
        <w:bottom w:val="none" w:sz="0" w:space="0" w:color="auto"/>
        <w:right w:val="none" w:sz="0" w:space="0" w:color="auto"/>
      </w:divBdr>
    </w:div>
    <w:div w:id="1540044187">
      <w:bodyDiv w:val="1"/>
      <w:marLeft w:val="0"/>
      <w:marRight w:val="0"/>
      <w:marTop w:val="0"/>
      <w:marBottom w:val="0"/>
      <w:divBdr>
        <w:top w:val="none" w:sz="0" w:space="0" w:color="auto"/>
        <w:left w:val="none" w:sz="0" w:space="0" w:color="auto"/>
        <w:bottom w:val="none" w:sz="0" w:space="0" w:color="auto"/>
        <w:right w:val="none" w:sz="0" w:space="0" w:color="auto"/>
      </w:divBdr>
    </w:div>
    <w:div w:id="1708867720">
      <w:bodyDiv w:val="1"/>
      <w:marLeft w:val="0"/>
      <w:marRight w:val="0"/>
      <w:marTop w:val="0"/>
      <w:marBottom w:val="0"/>
      <w:divBdr>
        <w:top w:val="none" w:sz="0" w:space="0" w:color="auto"/>
        <w:left w:val="none" w:sz="0" w:space="0" w:color="auto"/>
        <w:bottom w:val="none" w:sz="0" w:space="0" w:color="auto"/>
        <w:right w:val="none" w:sz="0" w:space="0" w:color="auto"/>
      </w:divBdr>
    </w:div>
    <w:div w:id="1716157024">
      <w:bodyDiv w:val="1"/>
      <w:marLeft w:val="0"/>
      <w:marRight w:val="0"/>
      <w:marTop w:val="0"/>
      <w:marBottom w:val="0"/>
      <w:divBdr>
        <w:top w:val="none" w:sz="0" w:space="0" w:color="auto"/>
        <w:left w:val="none" w:sz="0" w:space="0" w:color="auto"/>
        <w:bottom w:val="none" w:sz="0" w:space="0" w:color="auto"/>
        <w:right w:val="none" w:sz="0" w:space="0" w:color="auto"/>
      </w:divBdr>
    </w:div>
    <w:div w:id="1786074456">
      <w:bodyDiv w:val="1"/>
      <w:marLeft w:val="0"/>
      <w:marRight w:val="0"/>
      <w:marTop w:val="0"/>
      <w:marBottom w:val="0"/>
      <w:divBdr>
        <w:top w:val="none" w:sz="0" w:space="0" w:color="auto"/>
        <w:left w:val="none" w:sz="0" w:space="0" w:color="auto"/>
        <w:bottom w:val="none" w:sz="0" w:space="0" w:color="auto"/>
        <w:right w:val="none" w:sz="0" w:space="0" w:color="auto"/>
      </w:divBdr>
    </w:div>
    <w:div w:id="1805541044">
      <w:bodyDiv w:val="1"/>
      <w:marLeft w:val="0"/>
      <w:marRight w:val="0"/>
      <w:marTop w:val="0"/>
      <w:marBottom w:val="0"/>
      <w:divBdr>
        <w:top w:val="none" w:sz="0" w:space="0" w:color="auto"/>
        <w:left w:val="none" w:sz="0" w:space="0" w:color="auto"/>
        <w:bottom w:val="none" w:sz="0" w:space="0" w:color="auto"/>
        <w:right w:val="none" w:sz="0" w:space="0" w:color="auto"/>
      </w:divBdr>
    </w:div>
    <w:div w:id="1841777649">
      <w:bodyDiv w:val="1"/>
      <w:marLeft w:val="0"/>
      <w:marRight w:val="0"/>
      <w:marTop w:val="0"/>
      <w:marBottom w:val="0"/>
      <w:divBdr>
        <w:top w:val="none" w:sz="0" w:space="0" w:color="auto"/>
        <w:left w:val="none" w:sz="0" w:space="0" w:color="auto"/>
        <w:bottom w:val="none" w:sz="0" w:space="0" w:color="auto"/>
        <w:right w:val="none" w:sz="0" w:space="0" w:color="auto"/>
      </w:divBdr>
    </w:div>
    <w:div w:id="1895391876">
      <w:bodyDiv w:val="1"/>
      <w:marLeft w:val="0"/>
      <w:marRight w:val="0"/>
      <w:marTop w:val="0"/>
      <w:marBottom w:val="0"/>
      <w:divBdr>
        <w:top w:val="none" w:sz="0" w:space="0" w:color="auto"/>
        <w:left w:val="none" w:sz="0" w:space="0" w:color="auto"/>
        <w:bottom w:val="none" w:sz="0" w:space="0" w:color="auto"/>
        <w:right w:val="none" w:sz="0" w:space="0" w:color="auto"/>
      </w:divBdr>
    </w:div>
    <w:div w:id="1957060112">
      <w:bodyDiv w:val="1"/>
      <w:marLeft w:val="0"/>
      <w:marRight w:val="0"/>
      <w:marTop w:val="0"/>
      <w:marBottom w:val="0"/>
      <w:divBdr>
        <w:top w:val="none" w:sz="0" w:space="0" w:color="auto"/>
        <w:left w:val="none" w:sz="0" w:space="0" w:color="auto"/>
        <w:bottom w:val="none" w:sz="0" w:space="0" w:color="auto"/>
        <w:right w:val="none" w:sz="0" w:space="0" w:color="auto"/>
      </w:divBdr>
    </w:div>
    <w:div w:id="1967932244">
      <w:bodyDiv w:val="1"/>
      <w:marLeft w:val="0"/>
      <w:marRight w:val="0"/>
      <w:marTop w:val="0"/>
      <w:marBottom w:val="0"/>
      <w:divBdr>
        <w:top w:val="none" w:sz="0" w:space="0" w:color="auto"/>
        <w:left w:val="none" w:sz="0" w:space="0" w:color="auto"/>
        <w:bottom w:val="none" w:sz="0" w:space="0" w:color="auto"/>
        <w:right w:val="none" w:sz="0" w:space="0" w:color="auto"/>
      </w:divBdr>
    </w:div>
    <w:div w:id="1969628424">
      <w:bodyDiv w:val="1"/>
      <w:marLeft w:val="0"/>
      <w:marRight w:val="0"/>
      <w:marTop w:val="0"/>
      <w:marBottom w:val="0"/>
      <w:divBdr>
        <w:top w:val="none" w:sz="0" w:space="0" w:color="auto"/>
        <w:left w:val="none" w:sz="0" w:space="0" w:color="auto"/>
        <w:bottom w:val="none" w:sz="0" w:space="0" w:color="auto"/>
        <w:right w:val="none" w:sz="0" w:space="0" w:color="auto"/>
      </w:divBdr>
    </w:div>
    <w:div w:id="1979069136">
      <w:bodyDiv w:val="1"/>
      <w:marLeft w:val="0"/>
      <w:marRight w:val="0"/>
      <w:marTop w:val="0"/>
      <w:marBottom w:val="0"/>
      <w:divBdr>
        <w:top w:val="none" w:sz="0" w:space="0" w:color="auto"/>
        <w:left w:val="none" w:sz="0" w:space="0" w:color="auto"/>
        <w:bottom w:val="none" w:sz="0" w:space="0" w:color="auto"/>
        <w:right w:val="none" w:sz="0" w:space="0" w:color="auto"/>
      </w:divBdr>
    </w:div>
    <w:div w:id="1981377127">
      <w:bodyDiv w:val="1"/>
      <w:marLeft w:val="0"/>
      <w:marRight w:val="0"/>
      <w:marTop w:val="0"/>
      <w:marBottom w:val="0"/>
      <w:divBdr>
        <w:top w:val="none" w:sz="0" w:space="0" w:color="auto"/>
        <w:left w:val="none" w:sz="0" w:space="0" w:color="auto"/>
        <w:bottom w:val="none" w:sz="0" w:space="0" w:color="auto"/>
        <w:right w:val="none" w:sz="0" w:space="0" w:color="auto"/>
      </w:divBdr>
    </w:div>
    <w:div w:id="1984963601">
      <w:bodyDiv w:val="1"/>
      <w:marLeft w:val="0"/>
      <w:marRight w:val="0"/>
      <w:marTop w:val="0"/>
      <w:marBottom w:val="0"/>
      <w:divBdr>
        <w:top w:val="none" w:sz="0" w:space="0" w:color="auto"/>
        <w:left w:val="none" w:sz="0" w:space="0" w:color="auto"/>
        <w:bottom w:val="none" w:sz="0" w:space="0" w:color="auto"/>
        <w:right w:val="none" w:sz="0" w:space="0" w:color="auto"/>
      </w:divBdr>
    </w:div>
    <w:div w:id="2006127670">
      <w:bodyDiv w:val="1"/>
      <w:marLeft w:val="0"/>
      <w:marRight w:val="0"/>
      <w:marTop w:val="0"/>
      <w:marBottom w:val="0"/>
      <w:divBdr>
        <w:top w:val="none" w:sz="0" w:space="0" w:color="auto"/>
        <w:left w:val="none" w:sz="0" w:space="0" w:color="auto"/>
        <w:bottom w:val="none" w:sz="0" w:space="0" w:color="auto"/>
        <w:right w:val="none" w:sz="0" w:space="0" w:color="auto"/>
      </w:divBdr>
    </w:div>
    <w:div w:id="2026711115">
      <w:bodyDiv w:val="1"/>
      <w:marLeft w:val="0"/>
      <w:marRight w:val="0"/>
      <w:marTop w:val="0"/>
      <w:marBottom w:val="0"/>
      <w:divBdr>
        <w:top w:val="none" w:sz="0" w:space="0" w:color="auto"/>
        <w:left w:val="none" w:sz="0" w:space="0" w:color="auto"/>
        <w:bottom w:val="none" w:sz="0" w:space="0" w:color="auto"/>
        <w:right w:val="none" w:sz="0" w:space="0" w:color="auto"/>
      </w:divBdr>
    </w:div>
    <w:div w:id="2039885745">
      <w:bodyDiv w:val="1"/>
      <w:marLeft w:val="0"/>
      <w:marRight w:val="0"/>
      <w:marTop w:val="0"/>
      <w:marBottom w:val="0"/>
      <w:divBdr>
        <w:top w:val="none" w:sz="0" w:space="0" w:color="auto"/>
        <w:left w:val="none" w:sz="0" w:space="0" w:color="auto"/>
        <w:bottom w:val="none" w:sz="0" w:space="0" w:color="auto"/>
        <w:right w:val="none" w:sz="0" w:space="0" w:color="auto"/>
      </w:divBdr>
    </w:div>
    <w:div w:id="2064450272">
      <w:bodyDiv w:val="1"/>
      <w:marLeft w:val="0"/>
      <w:marRight w:val="0"/>
      <w:marTop w:val="0"/>
      <w:marBottom w:val="0"/>
      <w:divBdr>
        <w:top w:val="none" w:sz="0" w:space="0" w:color="auto"/>
        <w:left w:val="none" w:sz="0" w:space="0" w:color="auto"/>
        <w:bottom w:val="none" w:sz="0" w:space="0" w:color="auto"/>
        <w:right w:val="none" w:sz="0" w:space="0" w:color="auto"/>
      </w:divBdr>
      <w:divsChild>
        <w:div w:id="797190195">
          <w:marLeft w:val="0"/>
          <w:marRight w:val="0"/>
          <w:marTop w:val="0"/>
          <w:marBottom w:val="0"/>
          <w:divBdr>
            <w:top w:val="none" w:sz="0" w:space="0" w:color="auto"/>
            <w:left w:val="none" w:sz="0" w:space="0" w:color="auto"/>
            <w:bottom w:val="none" w:sz="0" w:space="0" w:color="auto"/>
            <w:right w:val="none" w:sz="0" w:space="0" w:color="auto"/>
          </w:divBdr>
          <w:divsChild>
            <w:div w:id="1311321886">
              <w:marLeft w:val="0"/>
              <w:marRight w:val="0"/>
              <w:marTop w:val="0"/>
              <w:marBottom w:val="0"/>
              <w:divBdr>
                <w:top w:val="none" w:sz="0" w:space="0" w:color="auto"/>
                <w:left w:val="none" w:sz="0" w:space="0" w:color="auto"/>
                <w:bottom w:val="none" w:sz="0" w:space="0" w:color="auto"/>
                <w:right w:val="none" w:sz="0" w:space="0" w:color="auto"/>
              </w:divBdr>
            </w:div>
            <w:div w:id="1740321577">
              <w:marLeft w:val="0"/>
              <w:marRight w:val="0"/>
              <w:marTop w:val="0"/>
              <w:marBottom w:val="0"/>
              <w:divBdr>
                <w:top w:val="none" w:sz="0" w:space="0" w:color="auto"/>
                <w:left w:val="none" w:sz="0" w:space="0" w:color="auto"/>
                <w:bottom w:val="none" w:sz="0" w:space="0" w:color="auto"/>
                <w:right w:val="none" w:sz="0" w:space="0" w:color="auto"/>
              </w:divBdr>
              <w:divsChild>
                <w:div w:id="651756884">
                  <w:marLeft w:val="0"/>
                  <w:marRight w:val="0"/>
                  <w:marTop w:val="0"/>
                  <w:marBottom w:val="0"/>
                  <w:divBdr>
                    <w:top w:val="none" w:sz="0" w:space="0" w:color="auto"/>
                    <w:left w:val="none" w:sz="0" w:space="0" w:color="auto"/>
                    <w:bottom w:val="none" w:sz="0" w:space="0" w:color="auto"/>
                    <w:right w:val="none" w:sz="0" w:space="0" w:color="auto"/>
                  </w:divBdr>
                  <w:divsChild>
                    <w:div w:id="1048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107">
              <w:marLeft w:val="0"/>
              <w:marRight w:val="0"/>
              <w:marTop w:val="0"/>
              <w:marBottom w:val="0"/>
              <w:divBdr>
                <w:top w:val="none" w:sz="0" w:space="0" w:color="auto"/>
                <w:left w:val="none" w:sz="0" w:space="0" w:color="auto"/>
                <w:bottom w:val="none" w:sz="0" w:space="0" w:color="auto"/>
                <w:right w:val="none" w:sz="0" w:space="0" w:color="auto"/>
              </w:divBdr>
            </w:div>
          </w:divsChild>
        </w:div>
        <w:div w:id="846099086">
          <w:marLeft w:val="0"/>
          <w:marRight w:val="0"/>
          <w:marTop w:val="0"/>
          <w:marBottom w:val="0"/>
          <w:divBdr>
            <w:top w:val="none" w:sz="0" w:space="0" w:color="auto"/>
            <w:left w:val="none" w:sz="0" w:space="0" w:color="auto"/>
            <w:bottom w:val="none" w:sz="0" w:space="0" w:color="auto"/>
            <w:right w:val="none" w:sz="0" w:space="0" w:color="auto"/>
          </w:divBdr>
          <w:divsChild>
            <w:div w:id="1361786052">
              <w:marLeft w:val="0"/>
              <w:marRight w:val="0"/>
              <w:marTop w:val="0"/>
              <w:marBottom w:val="0"/>
              <w:divBdr>
                <w:top w:val="none" w:sz="0" w:space="0" w:color="auto"/>
                <w:left w:val="none" w:sz="0" w:space="0" w:color="auto"/>
                <w:bottom w:val="none" w:sz="0" w:space="0" w:color="auto"/>
                <w:right w:val="none" w:sz="0" w:space="0" w:color="auto"/>
              </w:divBdr>
              <w:divsChild>
                <w:div w:id="1403596699">
                  <w:marLeft w:val="0"/>
                  <w:marRight w:val="0"/>
                  <w:marTop w:val="0"/>
                  <w:marBottom w:val="0"/>
                  <w:divBdr>
                    <w:top w:val="none" w:sz="0" w:space="0" w:color="auto"/>
                    <w:left w:val="none" w:sz="0" w:space="0" w:color="auto"/>
                    <w:bottom w:val="none" w:sz="0" w:space="0" w:color="auto"/>
                    <w:right w:val="none" w:sz="0" w:space="0" w:color="auto"/>
                  </w:divBdr>
                  <w:divsChild>
                    <w:div w:id="1120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790">
              <w:marLeft w:val="0"/>
              <w:marRight w:val="0"/>
              <w:marTop w:val="0"/>
              <w:marBottom w:val="0"/>
              <w:divBdr>
                <w:top w:val="none" w:sz="0" w:space="0" w:color="auto"/>
                <w:left w:val="none" w:sz="0" w:space="0" w:color="auto"/>
                <w:bottom w:val="none" w:sz="0" w:space="0" w:color="auto"/>
                <w:right w:val="none" w:sz="0" w:space="0" w:color="auto"/>
              </w:divBdr>
            </w:div>
            <w:div w:id="2144149653">
              <w:marLeft w:val="0"/>
              <w:marRight w:val="0"/>
              <w:marTop w:val="0"/>
              <w:marBottom w:val="0"/>
              <w:divBdr>
                <w:top w:val="none" w:sz="0" w:space="0" w:color="auto"/>
                <w:left w:val="none" w:sz="0" w:space="0" w:color="auto"/>
                <w:bottom w:val="none" w:sz="0" w:space="0" w:color="auto"/>
                <w:right w:val="none" w:sz="0" w:space="0" w:color="auto"/>
              </w:divBdr>
            </w:div>
          </w:divsChild>
        </w:div>
        <w:div w:id="1703899367">
          <w:marLeft w:val="0"/>
          <w:marRight w:val="0"/>
          <w:marTop w:val="0"/>
          <w:marBottom w:val="0"/>
          <w:divBdr>
            <w:top w:val="none" w:sz="0" w:space="0" w:color="auto"/>
            <w:left w:val="none" w:sz="0" w:space="0" w:color="auto"/>
            <w:bottom w:val="none" w:sz="0" w:space="0" w:color="auto"/>
            <w:right w:val="none" w:sz="0" w:space="0" w:color="auto"/>
          </w:divBdr>
          <w:divsChild>
            <w:div w:id="380255422">
              <w:marLeft w:val="0"/>
              <w:marRight w:val="0"/>
              <w:marTop w:val="0"/>
              <w:marBottom w:val="0"/>
              <w:divBdr>
                <w:top w:val="none" w:sz="0" w:space="0" w:color="auto"/>
                <w:left w:val="none" w:sz="0" w:space="0" w:color="auto"/>
                <w:bottom w:val="none" w:sz="0" w:space="0" w:color="auto"/>
                <w:right w:val="none" w:sz="0" w:space="0" w:color="auto"/>
              </w:divBdr>
            </w:div>
            <w:div w:id="959920129">
              <w:marLeft w:val="0"/>
              <w:marRight w:val="0"/>
              <w:marTop w:val="0"/>
              <w:marBottom w:val="0"/>
              <w:divBdr>
                <w:top w:val="none" w:sz="0" w:space="0" w:color="auto"/>
                <w:left w:val="none" w:sz="0" w:space="0" w:color="auto"/>
                <w:bottom w:val="none" w:sz="0" w:space="0" w:color="auto"/>
                <w:right w:val="none" w:sz="0" w:space="0" w:color="auto"/>
              </w:divBdr>
            </w:div>
            <w:div w:id="1620792250">
              <w:marLeft w:val="0"/>
              <w:marRight w:val="0"/>
              <w:marTop w:val="0"/>
              <w:marBottom w:val="0"/>
              <w:divBdr>
                <w:top w:val="none" w:sz="0" w:space="0" w:color="auto"/>
                <w:left w:val="none" w:sz="0" w:space="0" w:color="auto"/>
                <w:bottom w:val="none" w:sz="0" w:space="0" w:color="auto"/>
                <w:right w:val="none" w:sz="0" w:space="0" w:color="auto"/>
              </w:divBdr>
              <w:divsChild>
                <w:div w:id="69280035">
                  <w:marLeft w:val="0"/>
                  <w:marRight w:val="0"/>
                  <w:marTop w:val="0"/>
                  <w:marBottom w:val="0"/>
                  <w:divBdr>
                    <w:top w:val="none" w:sz="0" w:space="0" w:color="auto"/>
                    <w:left w:val="none" w:sz="0" w:space="0" w:color="auto"/>
                    <w:bottom w:val="none" w:sz="0" w:space="0" w:color="auto"/>
                    <w:right w:val="none" w:sz="0" w:space="0" w:color="auto"/>
                  </w:divBdr>
                  <w:divsChild>
                    <w:div w:id="5609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7284">
          <w:marLeft w:val="0"/>
          <w:marRight w:val="0"/>
          <w:marTop w:val="0"/>
          <w:marBottom w:val="0"/>
          <w:divBdr>
            <w:top w:val="none" w:sz="0" w:space="0" w:color="auto"/>
            <w:left w:val="none" w:sz="0" w:space="0" w:color="auto"/>
            <w:bottom w:val="none" w:sz="0" w:space="0" w:color="auto"/>
            <w:right w:val="none" w:sz="0" w:space="0" w:color="auto"/>
          </w:divBdr>
          <w:divsChild>
            <w:div w:id="197285410">
              <w:marLeft w:val="0"/>
              <w:marRight w:val="0"/>
              <w:marTop w:val="0"/>
              <w:marBottom w:val="0"/>
              <w:divBdr>
                <w:top w:val="none" w:sz="0" w:space="0" w:color="auto"/>
                <w:left w:val="none" w:sz="0" w:space="0" w:color="auto"/>
                <w:bottom w:val="none" w:sz="0" w:space="0" w:color="auto"/>
                <w:right w:val="none" w:sz="0" w:space="0" w:color="auto"/>
              </w:divBdr>
              <w:divsChild>
                <w:div w:id="117719565">
                  <w:marLeft w:val="0"/>
                  <w:marRight w:val="0"/>
                  <w:marTop w:val="0"/>
                  <w:marBottom w:val="0"/>
                  <w:divBdr>
                    <w:top w:val="none" w:sz="0" w:space="0" w:color="auto"/>
                    <w:left w:val="none" w:sz="0" w:space="0" w:color="auto"/>
                    <w:bottom w:val="none" w:sz="0" w:space="0" w:color="auto"/>
                    <w:right w:val="none" w:sz="0" w:space="0" w:color="auto"/>
                  </w:divBdr>
                  <w:divsChild>
                    <w:div w:id="313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799">
              <w:marLeft w:val="0"/>
              <w:marRight w:val="0"/>
              <w:marTop w:val="0"/>
              <w:marBottom w:val="0"/>
              <w:divBdr>
                <w:top w:val="none" w:sz="0" w:space="0" w:color="auto"/>
                <w:left w:val="none" w:sz="0" w:space="0" w:color="auto"/>
                <w:bottom w:val="none" w:sz="0" w:space="0" w:color="auto"/>
                <w:right w:val="none" w:sz="0" w:space="0" w:color="auto"/>
              </w:divBdr>
            </w:div>
            <w:div w:id="18065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1970">
      <w:bodyDiv w:val="1"/>
      <w:marLeft w:val="0"/>
      <w:marRight w:val="0"/>
      <w:marTop w:val="0"/>
      <w:marBottom w:val="0"/>
      <w:divBdr>
        <w:top w:val="none" w:sz="0" w:space="0" w:color="auto"/>
        <w:left w:val="none" w:sz="0" w:space="0" w:color="auto"/>
        <w:bottom w:val="none" w:sz="0" w:space="0" w:color="auto"/>
        <w:right w:val="none" w:sz="0" w:space="0" w:color="auto"/>
      </w:divBdr>
    </w:div>
    <w:div w:id="2116708628">
      <w:bodyDiv w:val="1"/>
      <w:marLeft w:val="0"/>
      <w:marRight w:val="0"/>
      <w:marTop w:val="0"/>
      <w:marBottom w:val="0"/>
      <w:divBdr>
        <w:top w:val="none" w:sz="0" w:space="0" w:color="auto"/>
        <w:left w:val="none" w:sz="0" w:space="0" w:color="auto"/>
        <w:bottom w:val="none" w:sz="0" w:space="0" w:color="auto"/>
        <w:right w:val="none" w:sz="0" w:space="0" w:color="auto"/>
      </w:divBdr>
    </w:div>
    <w:div w:id="21278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20</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YATI</dc:creator>
  <cp:keywords/>
  <dc:description/>
  <cp:lastModifiedBy>SU YATI</cp:lastModifiedBy>
  <cp:revision>4</cp:revision>
  <dcterms:created xsi:type="dcterms:W3CDTF">2025-03-11T14:13:00Z</dcterms:created>
  <dcterms:modified xsi:type="dcterms:W3CDTF">2025-07-10T20:56:00Z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4757c119-9069-4107-913c-29eb63ff6e12</vt:lpwstr>
  </property>
</Properties>
</file>