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E2A5F" w14:textId="77777777" w:rsidR="009A7EAF" w:rsidRDefault="00DC5510">
      <w:pPr>
        <w:jc w:val="center"/>
      </w:pPr>
      <w:r>
        <w:rPr>
          <w:noProof/>
        </w:rPr>
        <w:drawing>
          <wp:inline distT="0" distB="0" distL="0" distR="0" wp14:anchorId="43A38497" wp14:editId="7322682C">
            <wp:extent cx="3597275" cy="2527300"/>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597275" cy="2527300"/>
                    </a:xfrm>
                    <a:prstGeom prst="rect">
                      <a:avLst/>
                    </a:prstGeom>
                    <a:noFill/>
                    <a:ln>
                      <a:noFill/>
                    </a:ln>
                  </pic:spPr>
                </pic:pic>
              </a:graphicData>
            </a:graphic>
          </wp:inline>
        </w:drawing>
      </w:r>
    </w:p>
    <w:p w14:paraId="2C9C55A8" w14:textId="77777777" w:rsidR="009A7EAF" w:rsidRDefault="00DC5510">
      <w:pPr>
        <w:jc w:val="center"/>
        <w:rPr>
          <w:rFonts w:ascii="SimSun"/>
          <w:b/>
          <w:sz w:val="52"/>
          <w:szCs w:val="52"/>
        </w:rPr>
      </w:pPr>
      <w:r>
        <w:rPr>
          <w:rFonts w:ascii="SimSun" w:hint="eastAsia"/>
          <w:b/>
          <w:sz w:val="52"/>
          <w:szCs w:val="52"/>
        </w:rPr>
        <w:t>研究生学位论文开题报告</w:t>
      </w:r>
    </w:p>
    <w:p w14:paraId="048ECB07" w14:textId="77777777" w:rsidR="009A7EAF" w:rsidRDefault="00DC5510">
      <w:pPr>
        <w:jc w:val="center"/>
        <w:rPr>
          <w:b/>
          <w:sz w:val="30"/>
          <w:szCs w:val="30"/>
        </w:rPr>
      </w:pPr>
      <w:r>
        <w:rPr>
          <w:b/>
          <w:sz w:val="30"/>
          <w:szCs w:val="30"/>
        </w:rPr>
        <w:t>Graduate Thesis/Dissertation Proposal</w:t>
      </w:r>
    </w:p>
    <w:p w14:paraId="750F7979" w14:textId="77777777" w:rsidR="009A7EAF" w:rsidRDefault="009A7EAF">
      <w:pPr>
        <w:jc w:val="center"/>
        <w:rPr>
          <w:b/>
          <w:sz w:val="30"/>
          <w:szCs w:val="30"/>
        </w:rPr>
      </w:pPr>
    </w:p>
    <w:tbl>
      <w:tblPr>
        <w:tblW w:w="8505" w:type="dxa"/>
        <w:jc w:val="center"/>
        <w:tblLayout w:type="fixed"/>
        <w:tblCellMar>
          <w:left w:w="56" w:type="dxa"/>
          <w:right w:w="56" w:type="dxa"/>
        </w:tblCellMar>
        <w:tblLook w:val="04A0" w:firstRow="1" w:lastRow="0" w:firstColumn="1" w:lastColumn="0" w:noHBand="0" w:noVBand="1"/>
      </w:tblPr>
      <w:tblGrid>
        <w:gridCol w:w="3149"/>
        <w:gridCol w:w="5356"/>
      </w:tblGrid>
      <w:tr w:rsidR="009A7EAF" w14:paraId="33C66FC5" w14:textId="77777777">
        <w:trPr>
          <w:jc w:val="center"/>
        </w:trPr>
        <w:tc>
          <w:tcPr>
            <w:tcW w:w="3149" w:type="dxa"/>
            <w:vAlign w:val="center"/>
          </w:tcPr>
          <w:p w14:paraId="6DB3FE0E" w14:textId="77777777" w:rsidR="009A7EAF" w:rsidRDefault="00DC5510">
            <w:pPr>
              <w:spacing w:before="120" w:after="120"/>
              <w:jc w:val="left"/>
              <w:rPr>
                <w:rFonts w:eastAsia="KaiTi_GB2312"/>
                <w:b/>
                <w:sz w:val="28"/>
                <w:szCs w:val="28"/>
              </w:rPr>
            </w:pPr>
            <w:permStart w:id="1987654331" w:edGrp="everyone" w:colFirst="1" w:colLast="1"/>
            <w:r>
              <w:rPr>
                <w:rFonts w:eastAsia="KaiTi_GB2312" w:hint="eastAsia"/>
                <w:b/>
                <w:sz w:val="28"/>
                <w:szCs w:val="28"/>
              </w:rPr>
              <w:t>学号</w:t>
            </w:r>
            <w:r>
              <w:rPr>
                <w:rFonts w:eastAsia="KaiTi_GB2312"/>
                <w:b/>
                <w:sz w:val="28"/>
                <w:szCs w:val="28"/>
              </w:rPr>
              <w:t xml:space="preserve"> </w:t>
            </w:r>
            <w:r>
              <w:rPr>
                <w:rFonts w:eastAsia="KaiTi_GB2312" w:hint="eastAsia"/>
                <w:b/>
                <w:sz w:val="24"/>
                <w:szCs w:val="24"/>
              </w:rPr>
              <w:t xml:space="preserve">Student </w:t>
            </w:r>
            <w:r>
              <w:rPr>
                <w:rFonts w:eastAsia="KaiTi_GB2312"/>
                <w:b/>
                <w:sz w:val="24"/>
                <w:szCs w:val="24"/>
              </w:rPr>
              <w:t>ID</w:t>
            </w:r>
          </w:p>
        </w:tc>
        <w:tc>
          <w:tcPr>
            <w:tcW w:w="5356" w:type="dxa"/>
            <w:tcBorders>
              <w:bottom w:val="single" w:sz="4" w:space="0" w:color="auto"/>
            </w:tcBorders>
            <w:vAlign w:val="center"/>
          </w:tcPr>
          <w:p w14:paraId="2D265CE4" w14:textId="1EA0622D" w:rsidR="009A7EAF" w:rsidRDefault="00836975">
            <w:pPr>
              <w:spacing w:before="120" w:after="120"/>
              <w:rPr>
                <w:rFonts w:eastAsia="STFangsong"/>
                <w:sz w:val="24"/>
                <w:szCs w:val="24"/>
              </w:rPr>
            </w:pPr>
            <w:r>
              <w:rPr>
                <w:rFonts w:eastAsia="STFangsong"/>
                <w:sz w:val="24"/>
                <w:szCs w:val="24"/>
              </w:rPr>
              <w:t>125120990077</w:t>
            </w:r>
          </w:p>
        </w:tc>
      </w:tr>
      <w:tr w:rsidR="009A7EAF" w14:paraId="1A704482" w14:textId="77777777">
        <w:trPr>
          <w:jc w:val="center"/>
        </w:trPr>
        <w:tc>
          <w:tcPr>
            <w:tcW w:w="3149" w:type="dxa"/>
            <w:vAlign w:val="center"/>
          </w:tcPr>
          <w:p w14:paraId="5EBAA358" w14:textId="77777777" w:rsidR="009A7EAF" w:rsidRDefault="00DC5510">
            <w:pPr>
              <w:spacing w:before="120" w:after="120"/>
              <w:jc w:val="left"/>
              <w:rPr>
                <w:rFonts w:eastAsia="KaiTi_GB2312"/>
                <w:b/>
                <w:sz w:val="28"/>
                <w:szCs w:val="28"/>
              </w:rPr>
            </w:pPr>
            <w:permStart w:id="810830179" w:edGrp="everyone" w:colFirst="1" w:colLast="1"/>
            <w:permEnd w:id="1987654331"/>
            <w:r>
              <w:rPr>
                <w:rFonts w:eastAsia="KaiTi_GB2312" w:hint="eastAsia"/>
                <w:b/>
                <w:sz w:val="28"/>
                <w:szCs w:val="28"/>
              </w:rPr>
              <w:t>姓名</w:t>
            </w:r>
            <w:r>
              <w:rPr>
                <w:rFonts w:eastAsia="KaiTi_GB2312"/>
                <w:b/>
                <w:sz w:val="24"/>
                <w:szCs w:val="24"/>
              </w:rPr>
              <w:t xml:space="preserve"> Name</w:t>
            </w:r>
          </w:p>
        </w:tc>
        <w:tc>
          <w:tcPr>
            <w:tcW w:w="5356" w:type="dxa"/>
            <w:tcBorders>
              <w:top w:val="single" w:sz="4" w:space="0" w:color="auto"/>
              <w:bottom w:val="single" w:sz="4" w:space="0" w:color="auto"/>
            </w:tcBorders>
            <w:vAlign w:val="center"/>
          </w:tcPr>
          <w:p w14:paraId="39194B73" w14:textId="77777777" w:rsidR="009A7EAF" w:rsidRDefault="009A7EAF">
            <w:pPr>
              <w:spacing w:before="120" w:after="120"/>
              <w:rPr>
                <w:rFonts w:eastAsia="STFangsong"/>
                <w:sz w:val="24"/>
                <w:szCs w:val="24"/>
              </w:rPr>
            </w:pPr>
            <w:r>
              <w:rPr>
                <w:rFonts w:eastAsia="STFangsong"/>
                <w:sz w:val="24"/>
              </w:rPr>
              <w:t>Mikhail Dushkin</w:t>
            </w:r>
          </w:p>
        </w:tc>
      </w:tr>
      <w:permEnd w:id="810830179"/>
      <w:tr w:rsidR="009A7EAF" w14:paraId="7D9CF716" w14:textId="77777777">
        <w:trPr>
          <w:jc w:val="center"/>
        </w:trPr>
        <w:tc>
          <w:tcPr>
            <w:tcW w:w="3149" w:type="dxa"/>
            <w:vAlign w:val="center"/>
          </w:tcPr>
          <w:p w14:paraId="6000FEE0" w14:textId="77777777" w:rsidR="009A7EAF" w:rsidRDefault="00DC5510">
            <w:pPr>
              <w:spacing w:before="120" w:after="120"/>
              <w:jc w:val="left"/>
              <w:rPr>
                <w:rFonts w:eastAsia="KaiTi_GB2312"/>
                <w:b/>
                <w:sz w:val="28"/>
                <w:szCs w:val="28"/>
              </w:rPr>
            </w:pPr>
            <w:r>
              <w:rPr>
                <w:rFonts w:eastAsia="KaiTi_GB2312" w:hint="eastAsia"/>
                <w:b/>
                <w:sz w:val="28"/>
                <w:szCs w:val="28"/>
              </w:rPr>
              <w:t xml:space="preserve">学生类别 </w:t>
            </w:r>
            <w:r>
              <w:rPr>
                <w:rFonts w:eastAsia="KaiTi_GB2312"/>
                <w:b/>
                <w:sz w:val="24"/>
                <w:szCs w:val="24"/>
              </w:rPr>
              <w:t>Degree Program</w:t>
            </w:r>
          </w:p>
        </w:tc>
        <w:tc>
          <w:tcPr>
            <w:tcW w:w="5356" w:type="dxa"/>
            <w:tcBorders>
              <w:top w:val="single" w:sz="4" w:space="0" w:color="auto"/>
              <w:bottom w:val="single" w:sz="4" w:space="0" w:color="auto"/>
            </w:tcBorders>
            <w:vAlign w:val="center"/>
          </w:tcPr>
          <w:p w14:paraId="213EB470" w14:textId="5EC677B8" w:rsidR="009A7EAF" w:rsidRDefault="00000000">
            <w:pPr>
              <w:jc w:val="left"/>
              <w:rPr>
                <w:rFonts w:eastAsia="STFangsong"/>
                <w:sz w:val="24"/>
                <w:szCs w:val="24"/>
              </w:rPr>
            </w:pPr>
            <w:sdt>
              <w:sdtPr>
                <w:rPr>
                  <w:rFonts w:ascii="SimSun" w:hAnsi="SimSun"/>
                  <w:sz w:val="24"/>
                  <w:szCs w:val="24"/>
                </w:rPr>
                <w:alias w:val="program"/>
                <w:tag w:val="program"/>
                <w:id w:val="-1129858802"/>
                <w:lock w:val="sdtLocked"/>
                <w:placeholder>
                  <w:docPart w:val="92FF123C7D9343D4908226538DDC15EF"/>
                </w:placeholder>
                <w:dropDownList>
                  <w:listItem w:value="选择一项。"/>
                  <w:listItem w:displayText="学术型博士生 Academic Doctoral Student" w:value="1"/>
                  <w:listItem w:displayText="专业型博士生 Professional Doctoral Student" w:value="8"/>
                  <w:listItem w:displayText="学术型硕士生 Academic Master Student" w:value="3"/>
                  <w:listItem w:displayText="专业型硕士生 Professional Master Student" w:value="4"/>
                </w:dropDownList>
              </w:sdtPr>
              <w:sdtContent>
                <w:permStart w:id="964116645" w:edGrp="everyone"/>
                <w:r>
                  <w:rPr>
                    <w:rFonts w:ascii="SimSun" w:hAnsi="SimSun"/>
                    <w:sz w:val="24"/>
                    <w:szCs w:val="24"/>
                  </w:rPr>
                  <w:t>专业型硕士生 Professional Master Student</w:t>
                </w:r>
              </w:sdtContent>
            </w:sdt>
            <w:permEnd w:id="964116645"/>
          </w:p>
        </w:tc>
      </w:tr>
      <w:tr w:rsidR="009A7EAF" w14:paraId="05344A79" w14:textId="77777777">
        <w:trPr>
          <w:jc w:val="center"/>
        </w:trPr>
        <w:tc>
          <w:tcPr>
            <w:tcW w:w="3149" w:type="dxa"/>
            <w:vAlign w:val="center"/>
          </w:tcPr>
          <w:p w14:paraId="09C0155C" w14:textId="77777777" w:rsidR="009A7EAF" w:rsidRDefault="00DC5510">
            <w:pPr>
              <w:spacing w:before="120" w:after="120"/>
              <w:jc w:val="left"/>
              <w:rPr>
                <w:rFonts w:eastAsia="KaiTi_GB2312"/>
                <w:b/>
                <w:sz w:val="28"/>
                <w:szCs w:val="28"/>
              </w:rPr>
            </w:pPr>
            <w:r>
              <w:rPr>
                <w:rFonts w:eastAsia="KaiTi_GB2312" w:hint="eastAsia"/>
                <w:b/>
                <w:sz w:val="28"/>
                <w:szCs w:val="28"/>
              </w:rPr>
              <w:t xml:space="preserve">学习形式 </w:t>
            </w:r>
            <w:r>
              <w:rPr>
                <w:rFonts w:eastAsia="KaiTi_GB2312"/>
                <w:b/>
                <w:sz w:val="24"/>
                <w:szCs w:val="24"/>
              </w:rPr>
              <w:t>Study Mode</w:t>
            </w:r>
          </w:p>
        </w:tc>
        <w:permStart w:id="2085516021" w:edGrp="everyone"/>
        <w:tc>
          <w:tcPr>
            <w:tcW w:w="5356" w:type="dxa"/>
            <w:tcBorders>
              <w:top w:val="single" w:sz="4" w:space="0" w:color="auto"/>
              <w:bottom w:val="single" w:sz="4" w:space="0" w:color="auto"/>
            </w:tcBorders>
            <w:vAlign w:val="center"/>
          </w:tcPr>
          <w:p w14:paraId="29002265" w14:textId="356989C2" w:rsidR="009A7EAF" w:rsidRDefault="00000000">
            <w:pPr>
              <w:jc w:val="left"/>
              <w:rPr>
                <w:rFonts w:eastAsia="STFangsong"/>
                <w:sz w:val="24"/>
                <w:szCs w:val="24"/>
              </w:rPr>
            </w:pPr>
            <w:sdt>
              <w:sdtPr>
                <w:rPr>
                  <w:rFonts w:ascii="SimSun" w:hAnsi="SimSun"/>
                  <w:sz w:val="24"/>
                  <w:szCs w:val="24"/>
                </w:rPr>
                <w:alias w:val="studymode"/>
                <w:tag w:val="studymode"/>
                <w:id w:val="397949588"/>
                <w:lock w:val="sdtLocked"/>
                <w:placeholder>
                  <w:docPart w:val="DefaultPlaceholder_1081868575"/>
                </w:placeholder>
                <w:dropDownList>
                  <w:listItem w:value="选择一项。"/>
                  <w:listItem w:displayText="全日制 Full-time" w:value="1"/>
                  <w:listItem w:displayText="非全日制 Part-time" w:value="2"/>
                  <w:listItem w:displayText="同等学力学生" w:value="3"/>
                </w:dropDownList>
              </w:sdtPr>
              <w:sdtContent>
                <w:r>
                  <w:rPr>
                    <w:rFonts w:ascii="SimSun" w:hAnsi="SimSun"/>
                    <w:sz w:val="24"/>
                    <w:szCs w:val="24"/>
                  </w:rPr>
                  <w:t>全日制 Full-time</w:t>
                </w:r>
                <w:permEnd w:id="2085516021"/>
              </w:sdtContent>
            </w:sdt>
          </w:p>
        </w:tc>
      </w:tr>
      <w:tr w:rsidR="009A7EAF" w14:paraId="72E6BB9C" w14:textId="77777777">
        <w:trPr>
          <w:jc w:val="center"/>
        </w:trPr>
        <w:tc>
          <w:tcPr>
            <w:tcW w:w="3149" w:type="dxa"/>
            <w:vAlign w:val="center"/>
          </w:tcPr>
          <w:p w14:paraId="4219A5E6" w14:textId="77777777" w:rsidR="009A7EAF" w:rsidRDefault="00DC5510">
            <w:pPr>
              <w:spacing w:before="120" w:after="120"/>
              <w:jc w:val="left"/>
              <w:rPr>
                <w:rFonts w:eastAsia="KaiTi_GB2312"/>
                <w:b/>
                <w:sz w:val="28"/>
                <w:szCs w:val="28"/>
              </w:rPr>
            </w:pPr>
            <w:permStart w:id="1712784679" w:edGrp="everyone" w:colFirst="1" w:colLast="1"/>
            <w:r>
              <w:rPr>
                <w:rFonts w:eastAsia="KaiTi_GB2312" w:hint="eastAsia"/>
                <w:b/>
                <w:sz w:val="28"/>
                <w:szCs w:val="28"/>
              </w:rPr>
              <w:t xml:space="preserve">导师 </w:t>
            </w:r>
            <w:r>
              <w:rPr>
                <w:rFonts w:eastAsia="KaiTi_GB2312"/>
                <w:b/>
                <w:sz w:val="24"/>
                <w:szCs w:val="24"/>
              </w:rPr>
              <w:t>Supervisor(s)</w:t>
            </w:r>
          </w:p>
        </w:tc>
        <w:tc>
          <w:tcPr>
            <w:tcW w:w="5356" w:type="dxa"/>
            <w:tcBorders>
              <w:top w:val="single" w:sz="4" w:space="0" w:color="auto"/>
              <w:bottom w:val="single" w:sz="4" w:space="0" w:color="auto"/>
            </w:tcBorders>
            <w:vAlign w:val="center"/>
          </w:tcPr>
          <w:p w14:paraId="6CFE4D42" w14:textId="77777777" w:rsidR="009A7EAF" w:rsidRDefault="009A7EAF">
            <w:pPr>
              <w:spacing w:before="120" w:after="120"/>
              <w:rPr>
                <w:rFonts w:eastAsia="STFangsong"/>
                <w:sz w:val="24"/>
                <w:szCs w:val="24"/>
              </w:rPr>
            </w:pPr>
            <w:r>
              <w:rPr>
                <w:rFonts w:eastAsia="STFangsong"/>
                <w:sz w:val="24"/>
              </w:rPr>
              <w:t>Liu Jialu (刘佳璐)</w:t>
            </w:r>
          </w:p>
        </w:tc>
      </w:tr>
      <w:tr w:rsidR="009A7EAF" w14:paraId="0F226C6D" w14:textId="77777777">
        <w:trPr>
          <w:trHeight w:val="810"/>
          <w:jc w:val="center"/>
        </w:trPr>
        <w:tc>
          <w:tcPr>
            <w:tcW w:w="3149" w:type="dxa"/>
            <w:vAlign w:val="center"/>
          </w:tcPr>
          <w:p w14:paraId="18B83966" w14:textId="77777777" w:rsidR="009A7EAF" w:rsidRDefault="00DC5510">
            <w:pPr>
              <w:spacing w:before="120" w:after="120"/>
              <w:jc w:val="left"/>
              <w:rPr>
                <w:rFonts w:eastAsia="KaiTi_GB2312"/>
                <w:b/>
                <w:sz w:val="28"/>
                <w:szCs w:val="28"/>
              </w:rPr>
            </w:pPr>
            <w:permStart w:id="1658080857" w:edGrp="everyone" w:colFirst="1" w:colLast="1"/>
            <w:permEnd w:id="1712784679"/>
            <w:r>
              <w:rPr>
                <w:rFonts w:eastAsia="KaiTi_GB2312" w:hint="eastAsia"/>
                <w:b/>
                <w:sz w:val="28"/>
                <w:szCs w:val="28"/>
              </w:rPr>
              <w:t>论文题目</w:t>
            </w:r>
            <w:r>
              <w:rPr>
                <w:rFonts w:eastAsia="KaiTi_GB2312"/>
                <w:b/>
                <w:sz w:val="24"/>
                <w:szCs w:val="24"/>
              </w:rPr>
              <w:t xml:space="preserve"> Thesis title</w:t>
            </w:r>
          </w:p>
        </w:tc>
        <w:tc>
          <w:tcPr>
            <w:tcW w:w="5356" w:type="dxa"/>
            <w:tcBorders>
              <w:top w:val="single" w:sz="4" w:space="0" w:color="auto"/>
              <w:bottom w:val="single" w:sz="4" w:space="0" w:color="auto"/>
            </w:tcBorders>
            <w:vAlign w:val="center"/>
          </w:tcPr>
          <w:p w14:paraId="6E7EBCEB" w14:textId="77777777" w:rsidR="009A7EAF" w:rsidRDefault="009A7EAF">
            <w:pPr>
              <w:spacing w:before="120" w:after="120"/>
              <w:rPr>
                <w:rFonts w:eastAsia="STFangsong"/>
                <w:sz w:val="24"/>
                <w:szCs w:val="24"/>
              </w:rPr>
            </w:pPr>
            <w:r>
              <w:rPr>
                <w:rFonts w:eastAsia="STFangsong"/>
                <w:sz w:val="24"/>
              </w:rPr>
              <w:t>When Analysts Become Agents: A Verification-Aware Benchmark for Multi-Agent LLM Systems in Business Analytics</w:t>
            </w:r>
          </w:p>
        </w:tc>
      </w:tr>
      <w:tr w:rsidR="009A7EAF" w14:paraId="73B0D6D0" w14:textId="77777777">
        <w:trPr>
          <w:jc w:val="center"/>
        </w:trPr>
        <w:tc>
          <w:tcPr>
            <w:tcW w:w="3149" w:type="dxa"/>
            <w:vAlign w:val="center"/>
          </w:tcPr>
          <w:p w14:paraId="36A63809" w14:textId="77777777" w:rsidR="009A7EAF" w:rsidRDefault="00DC5510">
            <w:pPr>
              <w:spacing w:before="120" w:after="120"/>
              <w:jc w:val="left"/>
              <w:rPr>
                <w:rFonts w:eastAsia="KaiTi_GB2312"/>
                <w:b/>
                <w:sz w:val="28"/>
                <w:szCs w:val="28"/>
              </w:rPr>
            </w:pPr>
            <w:permStart w:id="2129008814" w:edGrp="everyone" w:colFirst="1" w:colLast="1"/>
            <w:permEnd w:id="1658080857"/>
            <w:r>
              <w:rPr>
                <w:rFonts w:eastAsia="KaiTi_GB2312" w:hint="eastAsia"/>
                <w:b/>
                <w:sz w:val="28"/>
                <w:szCs w:val="28"/>
              </w:rPr>
              <w:t>学院</w:t>
            </w:r>
            <w:r>
              <w:rPr>
                <w:rFonts w:eastAsia="KaiTi_GB2312"/>
                <w:b/>
                <w:sz w:val="28"/>
                <w:szCs w:val="28"/>
              </w:rPr>
              <w:t xml:space="preserve"> </w:t>
            </w:r>
            <w:r>
              <w:rPr>
                <w:rFonts w:eastAsia="KaiTi_GB2312"/>
                <w:b/>
                <w:sz w:val="24"/>
                <w:szCs w:val="24"/>
              </w:rPr>
              <w:t>School</w:t>
            </w:r>
          </w:p>
        </w:tc>
        <w:tc>
          <w:tcPr>
            <w:tcW w:w="5356" w:type="dxa"/>
            <w:tcBorders>
              <w:top w:val="single" w:sz="4" w:space="0" w:color="auto"/>
              <w:bottom w:val="single" w:sz="4" w:space="0" w:color="auto"/>
            </w:tcBorders>
            <w:vAlign w:val="center"/>
          </w:tcPr>
          <w:p w14:paraId="21C09214" w14:textId="43D1825E" w:rsidR="009A7EAF" w:rsidRDefault="00836975">
            <w:pPr>
              <w:spacing w:before="120" w:after="120"/>
              <w:rPr>
                <w:rFonts w:eastAsia="STFangsong"/>
                <w:sz w:val="24"/>
                <w:szCs w:val="24"/>
              </w:rPr>
            </w:pPr>
            <w:r>
              <w:rPr>
                <w:rFonts w:eastAsia="STFangsong"/>
                <w:sz w:val="24"/>
                <w:szCs w:val="24"/>
              </w:rPr>
              <w:t>Antai College of Economics and Management</w:t>
            </w:r>
          </w:p>
        </w:tc>
      </w:tr>
      <w:tr w:rsidR="009A7EAF" w14:paraId="206C61E0" w14:textId="77777777">
        <w:trPr>
          <w:jc w:val="center"/>
        </w:trPr>
        <w:tc>
          <w:tcPr>
            <w:tcW w:w="3149" w:type="dxa"/>
            <w:vAlign w:val="center"/>
          </w:tcPr>
          <w:p w14:paraId="622DE9B0" w14:textId="77777777" w:rsidR="009A7EAF" w:rsidRDefault="00DC5510">
            <w:pPr>
              <w:spacing w:before="120" w:after="120"/>
              <w:jc w:val="left"/>
              <w:rPr>
                <w:rFonts w:eastAsia="KaiTi_GB2312"/>
                <w:b/>
                <w:sz w:val="28"/>
                <w:szCs w:val="28"/>
              </w:rPr>
            </w:pPr>
            <w:permStart w:id="178592739" w:edGrp="everyone" w:colFirst="1" w:colLast="1"/>
            <w:permEnd w:id="2129008814"/>
            <w:r>
              <w:rPr>
                <w:rFonts w:eastAsia="KaiTi_GB2312" w:hint="eastAsia"/>
                <w:b/>
                <w:sz w:val="28"/>
                <w:szCs w:val="28"/>
              </w:rPr>
              <w:t xml:space="preserve">专业 </w:t>
            </w:r>
            <w:r>
              <w:rPr>
                <w:rFonts w:eastAsia="KaiTi_GB2312"/>
                <w:b/>
                <w:sz w:val="24"/>
                <w:szCs w:val="24"/>
              </w:rPr>
              <w:t>Major</w:t>
            </w:r>
          </w:p>
        </w:tc>
        <w:tc>
          <w:tcPr>
            <w:tcW w:w="5356" w:type="dxa"/>
            <w:tcBorders>
              <w:top w:val="single" w:sz="4" w:space="0" w:color="auto"/>
              <w:bottom w:val="single" w:sz="4" w:space="0" w:color="auto"/>
            </w:tcBorders>
            <w:vAlign w:val="center"/>
          </w:tcPr>
          <w:p w14:paraId="166AF602" w14:textId="1A8DB61B" w:rsidR="009A7EAF" w:rsidRDefault="00836975">
            <w:pPr>
              <w:spacing w:before="120" w:after="120"/>
              <w:rPr>
                <w:rFonts w:eastAsia="STFangsong"/>
                <w:sz w:val="24"/>
                <w:szCs w:val="24"/>
              </w:rPr>
            </w:pPr>
            <w:r>
              <w:rPr>
                <w:rFonts w:eastAsia="STFangsong"/>
                <w:sz w:val="24"/>
                <w:szCs w:val="24"/>
              </w:rPr>
              <w:t>International Business</w:t>
            </w:r>
          </w:p>
        </w:tc>
      </w:tr>
      <w:tr w:rsidR="009A7EAF" w14:paraId="585B0C8D" w14:textId="77777777">
        <w:trPr>
          <w:jc w:val="center"/>
        </w:trPr>
        <w:tc>
          <w:tcPr>
            <w:tcW w:w="3149" w:type="dxa"/>
            <w:vAlign w:val="center"/>
          </w:tcPr>
          <w:p w14:paraId="78F39C39" w14:textId="77777777" w:rsidR="009A7EAF" w:rsidRDefault="00DC5510">
            <w:pPr>
              <w:spacing w:before="120" w:after="120"/>
              <w:jc w:val="left"/>
              <w:rPr>
                <w:rFonts w:eastAsia="KaiTi_GB2312"/>
                <w:b/>
                <w:sz w:val="28"/>
                <w:szCs w:val="28"/>
              </w:rPr>
            </w:pPr>
            <w:permStart w:id="1467615090" w:edGrp="everyone" w:colFirst="1" w:colLast="1"/>
            <w:permEnd w:id="178592739"/>
            <w:r>
              <w:rPr>
                <w:rFonts w:eastAsia="KaiTi_GB2312" w:hint="eastAsia"/>
                <w:b/>
                <w:sz w:val="28"/>
                <w:szCs w:val="28"/>
              </w:rPr>
              <w:t xml:space="preserve">开题日期 </w:t>
            </w:r>
            <w:r>
              <w:rPr>
                <w:rFonts w:eastAsia="KaiTi_GB2312"/>
                <w:b/>
                <w:sz w:val="24"/>
                <w:szCs w:val="24"/>
              </w:rPr>
              <w:t>Date</w:t>
            </w:r>
          </w:p>
        </w:tc>
        <w:tc>
          <w:tcPr>
            <w:tcW w:w="5356" w:type="dxa"/>
            <w:tcBorders>
              <w:top w:val="single" w:sz="4" w:space="0" w:color="auto"/>
              <w:bottom w:val="single" w:sz="4" w:space="0" w:color="auto"/>
            </w:tcBorders>
            <w:vAlign w:val="center"/>
          </w:tcPr>
          <w:p w14:paraId="34BD2C58" w14:textId="5D4D710B" w:rsidR="009A7EAF" w:rsidRDefault="00836975">
            <w:pPr>
              <w:spacing w:before="120" w:after="120"/>
              <w:rPr>
                <w:rFonts w:eastAsia="STFangsong"/>
                <w:sz w:val="24"/>
                <w:szCs w:val="24"/>
              </w:rPr>
            </w:pPr>
            <w:r>
              <w:rPr>
                <w:rFonts w:eastAsia="STFangsong"/>
                <w:sz w:val="24"/>
                <w:szCs w:val="24"/>
              </w:rPr>
              <w:t>2026/06/19</w:t>
            </w:r>
          </w:p>
        </w:tc>
      </w:tr>
      <w:tr w:rsidR="009A7EAF" w14:paraId="52EF42E4" w14:textId="77777777">
        <w:trPr>
          <w:jc w:val="center"/>
        </w:trPr>
        <w:tc>
          <w:tcPr>
            <w:tcW w:w="3149" w:type="dxa"/>
            <w:vAlign w:val="center"/>
          </w:tcPr>
          <w:p w14:paraId="37FD5C3C" w14:textId="77777777" w:rsidR="009A7EAF" w:rsidRDefault="00DC5510">
            <w:pPr>
              <w:spacing w:before="120" w:after="120"/>
              <w:jc w:val="left"/>
              <w:rPr>
                <w:rFonts w:eastAsia="KaiTi_GB2312"/>
                <w:b/>
                <w:sz w:val="28"/>
                <w:szCs w:val="28"/>
              </w:rPr>
            </w:pPr>
            <w:permStart w:id="1386356329" w:edGrp="everyone" w:colFirst="1" w:colLast="1"/>
            <w:permEnd w:id="1467615090"/>
            <w:r>
              <w:rPr>
                <w:rFonts w:eastAsia="KaiTi_GB2312" w:hint="eastAsia"/>
                <w:b/>
                <w:sz w:val="28"/>
                <w:szCs w:val="28"/>
              </w:rPr>
              <w:t>开题</w:t>
            </w:r>
            <w:r>
              <w:rPr>
                <w:rFonts w:eastAsia="KaiTi_GB2312"/>
                <w:b/>
                <w:sz w:val="28"/>
                <w:szCs w:val="28"/>
              </w:rPr>
              <w:t>地点</w:t>
            </w:r>
            <w:r>
              <w:rPr>
                <w:rFonts w:eastAsia="KaiTi_GB2312" w:hint="eastAsia"/>
                <w:b/>
                <w:sz w:val="28"/>
                <w:szCs w:val="28"/>
              </w:rPr>
              <w:t xml:space="preserve"> </w:t>
            </w:r>
            <w:r>
              <w:rPr>
                <w:rFonts w:eastAsia="KaiTi_GB2312" w:hint="eastAsia"/>
                <w:b/>
                <w:sz w:val="24"/>
                <w:szCs w:val="24"/>
              </w:rPr>
              <w:t>Venue</w:t>
            </w:r>
          </w:p>
        </w:tc>
        <w:tc>
          <w:tcPr>
            <w:tcW w:w="5356" w:type="dxa"/>
            <w:tcBorders>
              <w:top w:val="single" w:sz="4" w:space="0" w:color="auto"/>
              <w:bottom w:val="single" w:sz="4" w:space="0" w:color="auto"/>
            </w:tcBorders>
            <w:vAlign w:val="center"/>
          </w:tcPr>
          <w:p w14:paraId="0DC82990" w14:textId="1DBF5D74" w:rsidR="009A7EAF" w:rsidRDefault="00836975">
            <w:pPr>
              <w:spacing w:before="120" w:after="120"/>
              <w:rPr>
                <w:rFonts w:eastAsia="STFangsong"/>
                <w:sz w:val="24"/>
                <w:szCs w:val="24"/>
              </w:rPr>
            </w:pPr>
            <w:r>
              <w:rPr>
                <w:rFonts w:eastAsia="STFangsong"/>
                <w:sz w:val="24"/>
                <w:szCs w:val="24"/>
              </w:rPr>
              <w:t>Shanghai</w:t>
            </w:r>
          </w:p>
        </w:tc>
      </w:tr>
      <w:permEnd w:id="1386356329"/>
    </w:tbl>
    <w:p w14:paraId="72791011" w14:textId="5170E330" w:rsidR="009A7EAF" w:rsidRDefault="00DC5510" w:rsidP="00836975">
      <w:pPr>
        <w:jc w:val="center"/>
        <w:rPr>
          <w:rFonts w:eastAsia="FangSong_GB2312"/>
          <w:sz w:val="24"/>
          <w:szCs w:val="24"/>
        </w:rPr>
      </w:pPr>
      <w:r>
        <w:rPr>
          <w:rFonts w:eastAsia="SimHei"/>
          <w:sz w:val="30"/>
        </w:rPr>
        <w:br w:type="page"/>
      </w:r>
    </w:p>
    <w:p w14:paraId="296A4035" w14:textId="77777777" w:rsidR="009A7EAF" w:rsidRDefault="009A7EAF">
      <w:pPr>
        <w:spacing w:beforeLines="50" w:before="156" w:line="300" w:lineRule="auto"/>
        <w:ind w:left="480"/>
        <w:rPr>
          <w:rFonts w:eastAsia="FangSong_GB2312"/>
          <w:sz w:val="24"/>
          <w:szCs w:val="24"/>
        </w:rPr>
        <w:sectPr w:rsidR="009A7EAF">
          <w:footerReference w:type="even" r:id="rId9"/>
          <w:footerReference w:type="default" r:id="rId10"/>
          <w:footerReference w:type="first" r:id="rId11"/>
          <w:pgSz w:w="11906" w:h="16838"/>
          <w:pgMar w:top="1418" w:right="1588" w:bottom="1418" w:left="1588" w:header="851" w:footer="851" w:gutter="0"/>
          <w:cols w:space="425"/>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520"/>
      </w:tblGrid>
      <w:tr w:rsidR="009A7EAF" w14:paraId="5704BE59" w14:textId="77777777">
        <w:trPr>
          <w:jc w:val="center"/>
        </w:trPr>
        <w:tc>
          <w:tcPr>
            <w:tcW w:w="2127" w:type="dxa"/>
            <w:vAlign w:val="center"/>
          </w:tcPr>
          <w:p w14:paraId="6C2DF79C" w14:textId="77777777" w:rsidR="009A7EAF" w:rsidRDefault="00DC5510">
            <w:pPr>
              <w:spacing w:line="360" w:lineRule="auto"/>
              <w:rPr>
                <w:rFonts w:eastAsia="FangSong_GB2312"/>
                <w:sz w:val="24"/>
              </w:rPr>
            </w:pPr>
            <w:permStart w:id="1206788056" w:edGrp="everyone" w:colFirst="1" w:colLast="1"/>
            <w:r>
              <w:rPr>
                <w:rFonts w:eastAsia="FangSong_GB2312"/>
                <w:sz w:val="24"/>
              </w:rPr>
              <w:lastRenderedPageBreak/>
              <w:t>论文题目</w:t>
            </w:r>
          </w:p>
          <w:p w14:paraId="3A810B04" w14:textId="77777777" w:rsidR="009A7EAF" w:rsidRDefault="00DC5510">
            <w:pPr>
              <w:spacing w:line="360" w:lineRule="auto"/>
              <w:rPr>
                <w:rFonts w:eastAsia="FangSong_GB2312"/>
                <w:sz w:val="24"/>
              </w:rPr>
            </w:pPr>
            <w:r>
              <w:rPr>
                <w:rFonts w:eastAsia="FangSong_GB2312"/>
                <w:sz w:val="24"/>
              </w:rPr>
              <w:t>Proposed Title</w:t>
            </w:r>
          </w:p>
        </w:tc>
        <w:tc>
          <w:tcPr>
            <w:tcW w:w="6520" w:type="dxa"/>
            <w:vAlign w:val="center"/>
          </w:tcPr>
          <w:p w14:paraId="03906F26" w14:textId="77777777" w:rsidR="009A7EAF" w:rsidRDefault="009A7EAF">
            <w:pPr>
              <w:spacing w:line="360" w:lineRule="auto"/>
              <w:rPr>
                <w:rFonts w:eastAsia="STFangsong"/>
                <w:b/>
                <w:sz w:val="24"/>
              </w:rPr>
            </w:pPr>
            <w:r>
              <w:rPr>
                <w:rFonts w:eastAsia="STFangsong"/>
                <w:sz w:val="24"/>
              </w:rPr>
              <w:t>When Analysts Become Agents: A Verification-Aware Benchmark for Multi-Agent LLM Systems in Business Analytics</w:t>
            </w:r>
          </w:p>
        </w:tc>
      </w:tr>
      <w:permEnd w:id="1206788056"/>
      <w:tr w:rsidR="009A7EAF" w14:paraId="208CF562" w14:textId="77777777">
        <w:trPr>
          <w:jc w:val="center"/>
        </w:trPr>
        <w:tc>
          <w:tcPr>
            <w:tcW w:w="2127" w:type="dxa"/>
            <w:vAlign w:val="center"/>
          </w:tcPr>
          <w:p w14:paraId="6C07495A" w14:textId="77777777" w:rsidR="009A7EAF" w:rsidRDefault="00DC5510">
            <w:pPr>
              <w:spacing w:line="360" w:lineRule="auto"/>
              <w:rPr>
                <w:rFonts w:eastAsia="FangSong_GB2312"/>
                <w:sz w:val="24"/>
              </w:rPr>
            </w:pPr>
            <w:r>
              <w:rPr>
                <w:rFonts w:eastAsia="FangSong_GB2312"/>
                <w:sz w:val="24"/>
              </w:rPr>
              <w:t>研究课题来源</w:t>
            </w:r>
          </w:p>
          <w:p w14:paraId="6E95E68C" w14:textId="77777777" w:rsidR="009A7EAF" w:rsidRDefault="00DC5510">
            <w:pPr>
              <w:spacing w:line="360" w:lineRule="auto"/>
              <w:rPr>
                <w:rFonts w:eastAsia="FangSong_GB2312"/>
                <w:sz w:val="24"/>
              </w:rPr>
            </w:pPr>
            <w:r>
              <w:rPr>
                <w:rFonts w:eastAsia="FangSong_GB2312"/>
                <w:sz w:val="24"/>
              </w:rPr>
              <w:t>Source of Research Project</w:t>
            </w:r>
          </w:p>
        </w:tc>
        <w:tc>
          <w:tcPr>
            <w:tcW w:w="6520" w:type="dxa"/>
          </w:tcPr>
          <w:p w14:paraId="07BA756F" w14:textId="77777777" w:rsidR="009A7EAF" w:rsidRDefault="00DC5510">
            <w:pPr>
              <w:spacing w:line="300" w:lineRule="auto"/>
              <w:jc w:val="left"/>
              <w:rPr>
                <w:rFonts w:ascii="STFangsong" w:eastAsia="STFangsong" w:hAnsi="STFangsong"/>
                <w:sz w:val="24"/>
              </w:rPr>
            </w:pPr>
            <w:r>
              <w:rPr>
                <w:rFonts w:ascii="STFangsong" w:eastAsia="STFangsong" w:hAnsi="STFangsong"/>
                <w:sz w:val="24"/>
              </w:rPr>
              <w:t>请在合适选项前画</w:t>
            </w:r>
            <w:r>
              <w:rPr>
                <w:rFonts w:ascii="STFangsong" w:eastAsia="STFangsong" w:hAnsi="STFangsong" w:hint="eastAsia"/>
                <w:sz w:val="24"/>
              </w:rPr>
              <w:t>√</w:t>
            </w:r>
            <w:r>
              <w:rPr>
                <w:rFonts w:eastAsia="STFangsong"/>
                <w:sz w:val="24"/>
              </w:rPr>
              <w:t xml:space="preserve"> Please select proper options by </w:t>
            </w:r>
            <w:r>
              <w:rPr>
                <w:rFonts w:ascii="STFangsong" w:eastAsia="STFangsong" w:hAnsi="STFangsong"/>
                <w:sz w:val="24"/>
              </w:rPr>
              <w:t>“</w:t>
            </w:r>
            <w:r>
              <w:rPr>
                <w:rFonts w:ascii="STFangsong" w:eastAsia="STFangsong" w:hAnsi="STFangsong" w:hint="eastAsia"/>
                <w:sz w:val="24"/>
              </w:rPr>
              <w:t>√</w:t>
            </w:r>
            <w:r>
              <w:rPr>
                <w:rFonts w:ascii="STFangsong" w:eastAsia="STFangsong" w:hAnsi="STFangsong"/>
                <w:sz w:val="24"/>
              </w:rPr>
              <w:t>”</w:t>
            </w:r>
            <w:r>
              <w:rPr>
                <w:rFonts w:ascii="STFangsong" w:eastAsia="STFangsong" w:hAnsi="STFangsong" w:hint="eastAsia"/>
                <w:sz w:val="24"/>
              </w:rPr>
              <w:t>.</w:t>
            </w:r>
          </w:p>
          <w:permStart w:id="1313160341" w:edGrp="everyone"/>
          <w:p w14:paraId="1737DE72" w14:textId="77777777" w:rsidR="009A7EAF" w:rsidRDefault="00000000">
            <w:pPr>
              <w:spacing w:line="300" w:lineRule="auto"/>
              <w:jc w:val="left"/>
              <w:rPr>
                <w:rFonts w:eastAsia="FangSong_GB2312"/>
                <w:sz w:val="24"/>
              </w:rPr>
            </w:pPr>
            <w:sdt>
              <w:sdtPr>
                <w:rPr>
                  <w:rFonts w:ascii="STFangsong" w:eastAsia="STFangsong" w:hAnsi="STFangsong"/>
                  <w:sz w:val="24"/>
                </w:rPr>
                <w:alias w:val="source"/>
                <w:tag w:val="source"/>
                <w:id w:val="1349448350"/>
                <w:lock w:val="sdtLocked"/>
                <w14:checkbox>
                  <w14:checked w14:val="0"/>
                  <w14:checkedState w14:val="221A" w14:font="SimSun"/>
                  <w14:uncheckedState w14:val="2610" w14:font="MS Gothic"/>
                </w14:checkbox>
              </w:sdtPr>
              <w:sdtContent>
                <w:r>
                  <w:rPr>
                    <w:rFonts w:ascii="MS Gothic" w:eastAsia="MS Gothic" w:hAnsi="MS Gothic" w:hint="eastAsia"/>
                    <w:sz w:val="24"/>
                  </w:rPr>
                  <w:t>☐</w:t>
                </w:r>
                <w:permEnd w:id="1313160341"/>
              </w:sdtContent>
            </w:sdt>
            <w:r>
              <w:rPr>
                <w:rFonts w:ascii="STFangsong" w:eastAsia="STFangsong" w:hAnsi="STFangsong"/>
                <w:sz w:val="24"/>
              </w:rPr>
              <w:t xml:space="preserve"> 国家自然科学基金课题</w:t>
            </w:r>
            <w:r>
              <w:rPr>
                <w:rFonts w:eastAsia="FangSong_GB2312"/>
                <w:sz w:val="24"/>
              </w:rPr>
              <w:t xml:space="preserve"> NSFC Research Grants</w:t>
            </w:r>
          </w:p>
          <w:p w14:paraId="555D7AF4" w14:textId="77777777" w:rsidR="009A7EAF" w:rsidRDefault="00000000">
            <w:pPr>
              <w:spacing w:line="300" w:lineRule="auto"/>
              <w:jc w:val="left"/>
              <w:rPr>
                <w:rFonts w:eastAsia="FangSong_GB2312"/>
                <w:sz w:val="24"/>
              </w:rPr>
            </w:pPr>
            <w:sdt>
              <w:sdtPr>
                <w:rPr>
                  <w:rFonts w:ascii="STFangsong" w:eastAsia="STFangsong" w:hAnsi="STFangsong"/>
                  <w:sz w:val="24"/>
                </w:rPr>
                <w:alias w:val="source"/>
                <w:tag w:val="source"/>
                <w:id w:val="-944311502"/>
                <w14:checkbox>
                  <w14:checked w14:val="0"/>
                  <w14:checkedState w14:val="221A" w14:font="SimSun"/>
                  <w14:uncheckedState w14:val="2610" w14:font="MS Gothic"/>
                </w14:checkbox>
              </w:sdtPr>
              <w:sdtContent>
                <w:permStart w:id="2088655587" w:edGrp="everyone"/>
                <w:r>
                  <w:rPr>
                    <w:rFonts w:ascii="MS Gothic" w:eastAsia="MS Gothic" w:hAnsi="MS Gothic" w:hint="eastAsia"/>
                    <w:sz w:val="24"/>
                  </w:rPr>
                  <w:t>☐</w:t>
                </w:r>
              </w:sdtContent>
            </w:sdt>
            <w:permEnd w:id="2088655587"/>
            <w:r>
              <w:rPr>
                <w:rFonts w:ascii="STFangsong" w:eastAsia="STFangsong" w:hAnsi="STFangsong"/>
                <w:sz w:val="24"/>
              </w:rPr>
              <w:t xml:space="preserve"> </w:t>
            </w:r>
            <w:r>
              <w:rPr>
                <w:rFonts w:ascii="STFangsong" w:eastAsia="STFangsong" w:hAnsi="STFangsong" w:hint="eastAsia"/>
                <w:sz w:val="24"/>
              </w:rPr>
              <w:t xml:space="preserve">国家社会科学基金 </w:t>
            </w:r>
            <w:r>
              <w:rPr>
                <w:rFonts w:eastAsia="FangSong_GB2312" w:hint="eastAsia"/>
                <w:sz w:val="24"/>
              </w:rPr>
              <w:t>National Social Science Fund of China</w:t>
            </w:r>
          </w:p>
          <w:p w14:paraId="7E42BDAD" w14:textId="77777777" w:rsidR="009A7EAF" w:rsidRDefault="00000000">
            <w:pPr>
              <w:spacing w:line="300" w:lineRule="auto"/>
              <w:jc w:val="left"/>
              <w:rPr>
                <w:rFonts w:ascii="STFangsong" w:eastAsia="STFangsong" w:hAnsi="STFangsong"/>
                <w:sz w:val="24"/>
              </w:rPr>
            </w:pPr>
            <w:sdt>
              <w:sdtPr>
                <w:rPr>
                  <w:rFonts w:ascii="STFangsong" w:eastAsia="STFangsong" w:hAnsi="STFangsong"/>
                  <w:sz w:val="24"/>
                </w:rPr>
                <w:alias w:val="source"/>
                <w:tag w:val="source"/>
                <w:id w:val="226734177"/>
                <w14:checkbox>
                  <w14:checked w14:val="0"/>
                  <w14:checkedState w14:val="221A" w14:font="SimSun"/>
                  <w14:uncheckedState w14:val="2610" w14:font="MS Gothic"/>
                </w14:checkbox>
              </w:sdtPr>
              <w:sdtContent>
                <w:permStart w:id="538197296" w:edGrp="everyone"/>
                <w:r>
                  <w:rPr>
                    <w:rFonts w:ascii="MS Gothic" w:eastAsia="MS Gothic" w:hAnsi="MS Gothic" w:hint="eastAsia"/>
                    <w:sz w:val="24"/>
                  </w:rPr>
                  <w:t>☐</w:t>
                </w:r>
                <w:permEnd w:id="538197296"/>
              </w:sdtContent>
            </w:sdt>
            <w:r>
              <w:rPr>
                <w:rFonts w:ascii="STFangsong" w:eastAsia="STFangsong" w:hAnsi="STFangsong"/>
                <w:sz w:val="24"/>
              </w:rPr>
              <w:t xml:space="preserve"> 国家重大科研专项 </w:t>
            </w:r>
            <w:r>
              <w:rPr>
                <w:rFonts w:eastAsia="FangSong_GB2312"/>
                <w:sz w:val="24"/>
              </w:rPr>
              <w:t>National Key Research Project</w:t>
            </w:r>
            <w:r>
              <w:rPr>
                <w:rFonts w:eastAsia="FangSong_GB2312" w:hint="eastAsia"/>
                <w:sz w:val="24"/>
              </w:rPr>
              <w:t>s</w:t>
            </w:r>
          </w:p>
          <w:p w14:paraId="61738A49" w14:textId="77777777" w:rsidR="009A7EAF" w:rsidRDefault="00000000">
            <w:pPr>
              <w:spacing w:line="300" w:lineRule="auto"/>
              <w:jc w:val="left"/>
              <w:rPr>
                <w:rFonts w:ascii="STFangsong" w:eastAsia="STFangsong" w:hAnsi="STFangsong"/>
                <w:sz w:val="24"/>
              </w:rPr>
            </w:pPr>
            <w:sdt>
              <w:sdtPr>
                <w:rPr>
                  <w:rFonts w:ascii="STFangsong" w:eastAsia="STFangsong" w:hAnsi="STFangsong"/>
                  <w:sz w:val="24"/>
                </w:rPr>
                <w:alias w:val="source"/>
                <w:tag w:val="source"/>
                <w:id w:val="-1716879390"/>
                <w14:checkbox>
                  <w14:checked w14:val="0"/>
                  <w14:checkedState w14:val="221A" w14:font="SimSun"/>
                  <w14:uncheckedState w14:val="2610" w14:font="MS Gothic"/>
                </w14:checkbox>
              </w:sdtPr>
              <w:sdtContent>
                <w:permStart w:id="1897083599" w:edGrp="everyone"/>
                <w:r>
                  <w:rPr>
                    <w:rFonts w:ascii="MS Gothic" w:eastAsia="MS Gothic" w:hAnsi="MS Gothic" w:hint="eastAsia"/>
                    <w:sz w:val="24"/>
                  </w:rPr>
                  <w:t>☐</w:t>
                </w:r>
                <w:permEnd w:id="1897083599"/>
              </w:sdtContent>
            </w:sdt>
            <w:r>
              <w:rPr>
                <w:rFonts w:ascii="STFangsong" w:eastAsia="STFangsong" w:hAnsi="STFangsong"/>
                <w:sz w:val="24"/>
              </w:rPr>
              <w:t xml:space="preserve"> 其它纵向科研课题 </w:t>
            </w:r>
            <w:r>
              <w:rPr>
                <w:rFonts w:eastAsia="FangSong_GB2312"/>
                <w:sz w:val="24"/>
              </w:rPr>
              <w:t>Other Governmental Research Grants</w:t>
            </w:r>
          </w:p>
          <w:p w14:paraId="288CF6B3" w14:textId="77777777" w:rsidR="009A7EAF" w:rsidRDefault="00000000">
            <w:pPr>
              <w:spacing w:line="300" w:lineRule="auto"/>
              <w:jc w:val="left"/>
              <w:rPr>
                <w:rFonts w:ascii="STFangsong" w:eastAsia="STFangsong" w:hAnsi="STFangsong"/>
                <w:sz w:val="24"/>
              </w:rPr>
            </w:pPr>
            <w:sdt>
              <w:sdtPr>
                <w:rPr>
                  <w:rFonts w:ascii="STFangsong" w:eastAsia="STFangsong" w:hAnsi="STFangsong"/>
                  <w:sz w:val="24"/>
                </w:rPr>
                <w:alias w:val="source"/>
                <w:tag w:val="source"/>
                <w:id w:val="723414340"/>
                <w14:checkbox>
                  <w14:checked w14:val="0"/>
                  <w14:checkedState w14:val="221A" w14:font="SimSun"/>
                  <w14:uncheckedState w14:val="2610" w14:font="MS Gothic"/>
                </w14:checkbox>
              </w:sdtPr>
              <w:sdtContent>
                <w:permStart w:id="1133069861" w:edGrp="everyone"/>
                <w:r>
                  <w:rPr>
                    <w:rFonts w:ascii="MS Gothic" w:eastAsia="MS Gothic" w:hAnsi="MS Gothic" w:hint="eastAsia"/>
                    <w:sz w:val="24"/>
                  </w:rPr>
                  <w:t>☐</w:t>
                </w:r>
              </w:sdtContent>
            </w:sdt>
            <w:permEnd w:id="1133069861"/>
            <w:r>
              <w:rPr>
                <w:rFonts w:ascii="STFangsong" w:eastAsia="STFangsong" w:hAnsi="STFangsong"/>
                <w:sz w:val="24"/>
              </w:rPr>
              <w:t xml:space="preserve"> </w:t>
            </w:r>
            <w:r>
              <w:rPr>
                <w:rFonts w:ascii="STFangsong" w:eastAsia="STFangsong" w:hAnsi="STFangsong" w:hint="eastAsia"/>
                <w:sz w:val="24"/>
              </w:rPr>
              <w:t>企</w:t>
            </w:r>
            <w:r>
              <w:rPr>
                <w:rFonts w:ascii="STFangsong" w:eastAsia="STFangsong" w:hAnsi="STFangsong"/>
                <w:sz w:val="24"/>
              </w:rPr>
              <w:t>业横向课题</w:t>
            </w:r>
            <w:r>
              <w:rPr>
                <w:rFonts w:eastAsia="FangSong_GB2312"/>
                <w:sz w:val="24"/>
              </w:rPr>
              <w:t xml:space="preserve"> R&amp;D Projects from Industry</w:t>
            </w:r>
          </w:p>
          <w:p w14:paraId="42E1053F" w14:textId="77777777" w:rsidR="009A7EAF" w:rsidRDefault="00000000">
            <w:pPr>
              <w:spacing w:line="300" w:lineRule="auto"/>
              <w:jc w:val="left"/>
              <w:rPr>
                <w:rFonts w:eastAsia="FangSong_GB2312"/>
                <w:sz w:val="24"/>
              </w:rPr>
            </w:pPr>
            <w:sdt>
              <w:sdtPr>
                <w:rPr>
                  <w:rFonts w:ascii="STFangsong" w:eastAsia="STFangsong" w:hAnsi="STFangsong"/>
                  <w:sz w:val="24"/>
                </w:rPr>
                <w:alias w:val="source"/>
                <w:tag w:val="source"/>
                <w:id w:val="990681279"/>
                <w14:checkbox>
                  <w14:checked w14:val="0"/>
                  <w14:checkedState w14:val="221A" w14:font="SimSun"/>
                  <w14:uncheckedState w14:val="2610" w14:font="MS Gothic"/>
                </w14:checkbox>
              </w:sdtPr>
              <w:sdtContent>
                <w:permStart w:id="815222856" w:edGrp="everyone"/>
                <w:r>
                  <w:rPr>
                    <w:rFonts w:ascii="MS Gothic" w:eastAsia="MS Gothic" w:hAnsi="MS Gothic" w:hint="eastAsia"/>
                    <w:sz w:val="24"/>
                  </w:rPr>
                  <w:t>☑</w:t>
                </w:r>
                <w:permEnd w:id="815222856"/>
              </w:sdtContent>
            </w:sdt>
            <w:r>
              <w:rPr>
                <w:rFonts w:ascii="STFangsong" w:eastAsia="STFangsong" w:hAnsi="STFangsong"/>
                <w:sz w:val="24"/>
              </w:rPr>
              <w:t xml:space="preserve"> 自拟课题 </w:t>
            </w:r>
            <w:r>
              <w:rPr>
                <w:rFonts w:eastAsia="FangSong_GB2312"/>
                <w:sz w:val="24"/>
              </w:rPr>
              <w:t>Self-proposed Project</w:t>
            </w:r>
          </w:p>
          <w:p w14:paraId="4D932205" w14:textId="77777777" w:rsidR="009A7EAF" w:rsidRDefault="00000000">
            <w:pPr>
              <w:spacing w:line="300" w:lineRule="auto"/>
              <w:jc w:val="left"/>
              <w:rPr>
                <w:rFonts w:eastAsia="FangSong_GB2312"/>
                <w:sz w:val="24"/>
              </w:rPr>
            </w:pPr>
            <w:sdt>
              <w:sdtPr>
                <w:rPr>
                  <w:rFonts w:ascii="STFangsong" w:eastAsia="STFangsong" w:hAnsi="STFangsong"/>
                  <w:sz w:val="24"/>
                </w:rPr>
                <w:alias w:val="source"/>
                <w:tag w:val="source"/>
                <w:id w:val="-705103836"/>
                <w14:checkbox>
                  <w14:checked w14:val="0"/>
                  <w14:checkedState w14:val="221A" w14:font="SimSun"/>
                  <w14:uncheckedState w14:val="2610" w14:font="MS Gothic"/>
                </w14:checkbox>
              </w:sdtPr>
              <w:sdtContent>
                <w:permStart w:id="811284017" w:edGrp="everyone"/>
                <w:r>
                  <w:rPr>
                    <w:rFonts w:ascii="MS Gothic" w:eastAsia="MS Gothic" w:hAnsi="MS Gothic" w:hint="eastAsia"/>
                    <w:sz w:val="24"/>
                  </w:rPr>
                  <w:t>☐</w:t>
                </w:r>
                <w:permEnd w:id="811284017"/>
              </w:sdtContent>
            </w:sdt>
            <w:r>
              <w:rPr>
                <w:rFonts w:ascii="STFangsong" w:eastAsia="STFangsong" w:hAnsi="STFangsong"/>
                <w:sz w:val="24"/>
              </w:rPr>
              <w:t xml:space="preserve"> </w:t>
            </w:r>
            <w:r>
              <w:rPr>
                <w:rFonts w:ascii="STFangsong" w:eastAsia="STFangsong" w:hAnsi="STFangsong" w:hint="eastAsia"/>
                <w:sz w:val="24"/>
              </w:rPr>
              <w:t xml:space="preserve">其它 </w:t>
            </w:r>
            <w:r>
              <w:rPr>
                <w:rFonts w:eastAsia="FangSong_GB2312" w:hint="eastAsia"/>
                <w:sz w:val="24"/>
              </w:rPr>
              <w:t xml:space="preserve">Other </w:t>
            </w:r>
            <w:permStart w:id="1484682786" w:edGrp="everyone"/>
            <w:r>
              <w:rPr>
                <w:rFonts w:ascii="STFangsong" w:eastAsia="STFangsong" w:hAnsi="STFangsong" w:hint="eastAsia"/>
                <w:sz w:val="24"/>
                <w:u w:val="single"/>
              </w:rPr>
              <w:t xml:space="preserve">                                    </w:t>
            </w:r>
            <w:permEnd w:id="1484682786"/>
          </w:p>
        </w:tc>
      </w:tr>
    </w:tbl>
    <w:p w14:paraId="5AAE62BA" w14:textId="77777777" w:rsidR="009A7EAF" w:rsidRDefault="00DC5510">
      <w:pPr>
        <w:numPr>
          <w:ilvl w:val="0"/>
          <w:numId w:val="2"/>
        </w:numPr>
        <w:spacing w:before="240" w:after="240"/>
        <w:rPr>
          <w:rFonts w:eastAsia="FangSong_GB2312"/>
          <w:b/>
          <w:sz w:val="24"/>
        </w:rPr>
      </w:pPr>
      <w:r>
        <w:rPr>
          <w:rFonts w:eastAsia="FangSong_GB2312"/>
          <w:b/>
          <w:sz w:val="24"/>
        </w:rPr>
        <w:t>请综述课题</w:t>
      </w:r>
      <w:bookmarkStart w:id="0" w:name="OLE_LINK5"/>
      <w:bookmarkStart w:id="1" w:name="OLE_LINK6"/>
      <w:r>
        <w:rPr>
          <w:rFonts w:eastAsia="FangSong_GB2312"/>
          <w:b/>
          <w:sz w:val="24"/>
        </w:rPr>
        <w:t>国内外研究进展、现状</w:t>
      </w:r>
      <w:bookmarkEnd w:id="0"/>
      <w:bookmarkEnd w:id="1"/>
      <w:r>
        <w:rPr>
          <w:rFonts w:eastAsia="FangSong_GB2312"/>
          <w:b/>
          <w:sz w:val="24"/>
        </w:rPr>
        <w:t>、挑战与意义，可分节描述</w:t>
      </w:r>
      <w:r>
        <w:rPr>
          <w:rFonts w:eastAsia="FangSong_GB2312" w:hint="eastAsia"/>
          <w:b/>
          <w:sz w:val="24"/>
        </w:rPr>
        <w:t>。</w:t>
      </w:r>
      <w:r>
        <w:rPr>
          <w:rFonts w:eastAsia="FangSong_GB2312"/>
          <w:b/>
          <w:sz w:val="24"/>
        </w:rPr>
        <w:t>博士生不少于10,000汉字</w:t>
      </w:r>
      <w:r>
        <w:rPr>
          <w:rFonts w:eastAsia="FangSong_GB2312" w:hint="eastAsia"/>
          <w:b/>
          <w:sz w:val="24"/>
        </w:rPr>
        <w:t>，</w:t>
      </w:r>
      <w:r>
        <w:rPr>
          <w:rFonts w:eastAsia="FangSong_GB2312"/>
          <w:b/>
          <w:sz w:val="24"/>
        </w:rPr>
        <w:t>硕士生不少于</w:t>
      </w:r>
      <w:r>
        <w:rPr>
          <w:rFonts w:eastAsia="FangSong_GB2312" w:hint="eastAsia"/>
          <w:b/>
          <w:sz w:val="24"/>
        </w:rPr>
        <w:t>5</w:t>
      </w:r>
      <w:r>
        <w:rPr>
          <w:rFonts w:eastAsia="FangSong_GB2312"/>
          <w:b/>
          <w:sz w:val="24"/>
        </w:rPr>
        <w:t>,</w:t>
      </w:r>
      <w:r>
        <w:rPr>
          <w:rFonts w:eastAsia="FangSong_GB2312" w:hint="eastAsia"/>
          <w:b/>
          <w:sz w:val="24"/>
        </w:rPr>
        <w:t>000汉字。</w:t>
      </w:r>
      <w:r>
        <w:rPr>
          <w:rFonts w:eastAsia="FangSong_GB2312"/>
          <w:b/>
          <w:sz w:val="24"/>
        </w:rPr>
        <w:t>请在文中标注参考文献。 Please review the frontier, current status, challenges and significance of the research topic. The citations should be marked in the context and listed in order at the end of this section. No less than 8,000 words for doctoral students and 4,000 words for master students if written in English.</w:t>
      </w:r>
    </w:p>
    <w:p w14:paraId="6F0E6743" w14:textId="77777777" w:rsidR="00A9064B" w:rsidRDefault="00000000">
      <w:pPr>
        <w:snapToGrid w:val="0"/>
        <w:spacing w:beforeLines="40" w:before="124" w:line="360" w:lineRule="auto"/>
        <w:jc w:val="left"/>
        <w:rPr>
          <w:rFonts w:eastAsia="STKaiti"/>
          <w:b/>
          <w:sz w:val="24"/>
        </w:rPr>
      </w:pPr>
      <w:permStart w:id="323364973" w:edGrp="everyone"/>
      <w:r>
        <w:rPr>
          <w:rFonts w:eastAsia="STKaiti"/>
          <w:b/>
          <w:sz w:val="24"/>
        </w:rPr>
        <w:t>1.1 Background and motivation</w:t>
      </w:r>
    </w:p>
    <w:p w14:paraId="169C728C" w14:textId="77777777" w:rsidR="00A9064B" w:rsidRDefault="00000000">
      <w:pPr>
        <w:snapToGrid w:val="0"/>
        <w:spacing w:line="360" w:lineRule="auto"/>
        <w:ind w:firstLineChars="200" w:firstLine="480"/>
        <w:rPr>
          <w:rFonts w:eastAsia="STKaiti"/>
          <w:sz w:val="24"/>
        </w:rPr>
      </w:pPr>
      <w:r>
        <w:rPr>
          <w:rFonts w:eastAsia="STKaiti"/>
          <w:sz w:val="24"/>
        </w:rPr>
        <w:t>Large language model (LLM) agents - systems in which an LLM plans, calls tools, and acts over several steps - have moved quickly from research demonstrations to enterprise deployment [1]. A natural extension is the multi-agent system (MAS), in which several specialised agents (for example a planner, a coder, and a reviewer) collaborate on one task. Popular frameworks such as AutoGen [2], MetaGPT [3], CAMEL [4] and ChatDev [5] show that role specialisation and structured communication can, in principle, decompose complex problems. In business settings this promise is concrete: firms increasingly build self-service analytics agents so that non-technical staff in sales, operations and finance can answer their own data questions instead of queuing for a human analyst. The present proposal is motivated directly by this trend, which the author observes first-hand while building such systems in a corporate-and-investment-banking analytics team.</w:t>
      </w:r>
    </w:p>
    <w:p w14:paraId="0AE32C6B" w14:textId="77777777" w:rsidR="00A9064B" w:rsidRDefault="00000000">
      <w:pPr>
        <w:snapToGrid w:val="0"/>
        <w:spacing w:beforeLines="40" w:before="124" w:line="360" w:lineRule="auto"/>
        <w:jc w:val="left"/>
        <w:rPr>
          <w:rFonts w:eastAsia="STKaiti"/>
          <w:b/>
          <w:sz w:val="24"/>
        </w:rPr>
      </w:pPr>
      <w:r>
        <w:rPr>
          <w:rFonts w:eastAsia="STKaiti"/>
          <w:b/>
          <w:sz w:val="24"/>
        </w:rPr>
        <w:t>1.2 The central puzzle: more agents do not reliably mean better results</w:t>
      </w:r>
    </w:p>
    <w:p w14:paraId="482BCA41" w14:textId="77777777" w:rsidR="00A9064B" w:rsidRDefault="00000000">
      <w:pPr>
        <w:snapToGrid w:val="0"/>
        <w:spacing w:line="360" w:lineRule="auto"/>
        <w:ind w:firstLineChars="200" w:firstLine="480"/>
        <w:rPr>
          <w:rFonts w:eastAsia="STKaiti"/>
          <w:sz w:val="24"/>
        </w:rPr>
      </w:pPr>
      <w:r>
        <w:rPr>
          <w:rFonts w:eastAsia="STKaiti"/>
          <w:sz w:val="24"/>
        </w:rPr>
        <w:lastRenderedPageBreak/>
        <w:t>Despite the enthusiasm, the empirical record is mixed: multi-agent systems frequently fail to outperform a single, well-prompted agent, and sometimes do worse [6,7]. A recent large-scale study, MAST (Why Do Multi-Agent LLM Systems Fail?), annotated more than 1,600 execution traces across seven frameworks and produced the first Multi-Agent System Failure Taxonomy: fourteen failure modes grouped into three categories - (i) specification and system-design issues, (ii) inter-agent misalignment, and (iii) task verification and termination [7]. Importantly, failures are spread across all three categories and call for design-level fixes rather than larger models. Work on multi-agent debate reaches a similar caution: reported gains may stem largely from aggregating multiple answers rather than from the interaction itself [8,9]. Together these results reframe the question from do more agents help? to when, and why, do they fail?</w:t>
      </w:r>
    </w:p>
    <w:p w14:paraId="52FB0118" w14:textId="77777777" w:rsidR="00A9064B" w:rsidRDefault="00000000">
      <w:pPr>
        <w:snapToGrid w:val="0"/>
        <w:spacing w:beforeLines="40" w:before="124" w:line="360" w:lineRule="auto"/>
        <w:jc w:val="left"/>
        <w:rPr>
          <w:rFonts w:eastAsia="STKaiti"/>
          <w:b/>
          <w:sz w:val="24"/>
        </w:rPr>
      </w:pPr>
      <w:r>
        <w:rPr>
          <w:rFonts w:eastAsia="STKaiti"/>
          <w:b/>
          <w:sz w:val="24"/>
        </w:rPr>
        <w:t>1.3 Verification as a likely bottleneck</w:t>
      </w:r>
    </w:p>
    <w:p w14:paraId="0265DBA0" w14:textId="77777777" w:rsidR="00A9064B" w:rsidRDefault="00000000">
      <w:pPr>
        <w:snapToGrid w:val="0"/>
        <w:spacing w:line="360" w:lineRule="auto"/>
        <w:ind w:firstLineChars="200" w:firstLine="480"/>
        <w:rPr>
          <w:rFonts w:eastAsia="STKaiti"/>
          <w:sz w:val="24"/>
        </w:rPr>
      </w:pPr>
      <w:r>
        <w:rPr>
          <w:rFonts w:eastAsia="STKaiti"/>
          <w:sz w:val="24"/>
        </w:rPr>
        <w:t>One failure category is especially relevant when tasks have checkable answers. A growing literature shows that LLMs are weak at verifying and correcting their own reasoning: they often cannot reliably locate their own errors [10], and iterative self-feedback methods such as Reflexion [11] and Self-Refine [12] help only under specific conditions, with smaller models in particular needing an external verifier. Evaluation itself increasingly relies on the LLM-as-a-judge paradigm, which matches human preferences at over 80% agreement but carries known biases [13]. In a multi-agent pipeline, weak verification means a plausible-but-wrong intermediate result can propagate unchecked into the final answer - the mechanism the MAST taxonomy labels no/incomplete verification and incorrect verification [7].</w:t>
      </w:r>
    </w:p>
    <w:p w14:paraId="18A73DCD" w14:textId="77777777" w:rsidR="00A9064B" w:rsidRDefault="00000000">
      <w:pPr>
        <w:snapToGrid w:val="0"/>
        <w:spacing w:beforeLines="40" w:before="124" w:line="360" w:lineRule="auto"/>
        <w:jc w:val="left"/>
        <w:rPr>
          <w:rFonts w:eastAsia="STKaiti"/>
          <w:b/>
          <w:sz w:val="24"/>
        </w:rPr>
      </w:pPr>
      <w:r>
        <w:rPr>
          <w:rFonts w:eastAsia="STKaiti"/>
          <w:b/>
          <w:sz w:val="24"/>
        </w:rPr>
        <w:t>1.4 Business analytics as an ideal but under-used testbed</w:t>
      </w:r>
    </w:p>
    <w:p w14:paraId="62FAAF8C" w14:textId="77777777" w:rsidR="00A9064B" w:rsidRDefault="00000000">
      <w:pPr>
        <w:snapToGrid w:val="0"/>
        <w:spacing w:line="360" w:lineRule="auto"/>
        <w:ind w:firstLineChars="200" w:firstLine="480"/>
        <w:rPr>
          <w:rFonts w:eastAsia="STKaiti"/>
          <w:sz w:val="24"/>
        </w:rPr>
      </w:pPr>
      <w:r>
        <w:rPr>
          <w:rFonts w:eastAsia="STKaiti"/>
          <w:sz w:val="24"/>
        </w:rPr>
        <w:t>Most MAS evaluations use coding, mathematics or open-ended research tasks [6,7]. Business analytics is an attractive yet largely unused testbed because its tasks have objective ground truth: a question such as which region had the highest quarter-over-quarter revenue growth? resolves to a specific number or SQL result that can be checked automatically. A mature set of public benchmarks already supplies such tasks - Spider [14] and the database-grounded BIRD benchmark [15] for text-to-SQL, the enterprise-scale Spider 2.0 [16], the data-analysis agent benchmark InfiAgent-DABench [17], TableBench [18] for table question answering, and the financial reasoning datasets FinQA [19] and TAT-QA [20]. However, these benchmarks evaluate single agents and score only final-answer accuracy; none diagnoses multi-agent failure modes, and none isolates the role of verification.</w:t>
      </w:r>
    </w:p>
    <w:p w14:paraId="462D890B" w14:textId="77777777" w:rsidR="00A9064B" w:rsidRDefault="00000000">
      <w:pPr>
        <w:snapToGrid w:val="0"/>
        <w:spacing w:beforeLines="40" w:before="124" w:line="360" w:lineRule="auto"/>
        <w:jc w:val="left"/>
        <w:rPr>
          <w:rFonts w:eastAsia="STKaiti"/>
          <w:b/>
          <w:sz w:val="24"/>
        </w:rPr>
      </w:pPr>
      <w:r>
        <w:rPr>
          <w:rFonts w:eastAsia="STKaiti"/>
          <w:b/>
          <w:sz w:val="24"/>
        </w:rPr>
        <w:lastRenderedPageBreak/>
        <w:t>1.5 Research gap and significance</w:t>
      </w:r>
    </w:p>
    <w:p w14:paraId="5BEF3626" w14:textId="77777777" w:rsidR="00A9064B" w:rsidRDefault="00000000">
      <w:pPr>
        <w:snapToGrid w:val="0"/>
        <w:spacing w:line="360" w:lineRule="auto"/>
        <w:ind w:firstLineChars="200" w:firstLine="480"/>
        <w:rPr>
          <w:rFonts w:eastAsia="STKaiti"/>
          <w:sz w:val="24"/>
        </w:rPr>
      </w:pPr>
      <w:r>
        <w:rPr>
          <w:rFonts w:eastAsia="STKaiti"/>
          <w:sz w:val="24"/>
        </w:rPr>
        <w:t>This leaves a clear gap at the intersection of three literatures: multi-agent systems and their failures [6,7], verification and self-correction [10,11,12], and verifiable analytics benchmarks [15,17]. No existing work (a) measures whether multi-agent systems beat single agents specifically on business-analytics tasks, (b) profiles where their failures fall using the MAST taxonomy, or (c) tests whether adding an explicit verification mechanism closes the gap. Filling this gap is scientifically significant - it would yield the first failure-mode profile of MAS in a verifiable business domain and a reusable, verification-aware benchmark - and practically significant, giving firms that deploy self-service analytics agents an evidence-based way to measure quality and to decide when multi-agent designs are worth their additional cost.</w:t>
      </w:r>
    </w:p>
    <w:permEnd w:id="323364973"/>
    <w:p w14:paraId="02FD30C4" w14:textId="77777777" w:rsidR="009A7EAF" w:rsidRDefault="00DC5510">
      <w:pPr>
        <w:snapToGrid w:val="0"/>
        <w:ind w:firstLineChars="200" w:firstLine="480"/>
        <w:jc w:val="left"/>
        <w:rPr>
          <w:rFonts w:eastAsia="STKaiti"/>
          <w:sz w:val="24"/>
        </w:rPr>
      </w:pPr>
      <w:r>
        <w:rPr>
          <w:rFonts w:eastAsia="STKaiti"/>
          <w:sz w:val="24"/>
        </w:rPr>
        <w:t>参考文献</w:t>
      </w:r>
      <w:r>
        <w:rPr>
          <w:rFonts w:eastAsia="STKaiti" w:hint="eastAsia"/>
          <w:sz w:val="24"/>
        </w:rPr>
        <w:t xml:space="preserve"> Reference：</w:t>
      </w:r>
    </w:p>
    <w:p w14:paraId="46448454" w14:textId="77777777" w:rsidR="00A9064B" w:rsidRDefault="00000000">
      <w:pPr>
        <w:numPr>
          <w:ilvl w:val="0"/>
          <w:numId w:val="3"/>
        </w:numPr>
        <w:snapToGrid w:val="0"/>
        <w:spacing w:line="288" w:lineRule="auto"/>
        <w:jc w:val="left"/>
        <w:rPr>
          <w:rFonts w:eastAsia="STKaiti"/>
          <w:sz w:val="22"/>
        </w:rPr>
      </w:pPr>
      <w:permStart w:id="930682925" w:edGrp="everyone"/>
      <w:r>
        <w:rPr>
          <w:rFonts w:eastAsia="STKaiti"/>
          <w:sz w:val="22"/>
        </w:rPr>
        <w:t>T. Guo, X. Chen, Y. Wang, et al., Large Language Model based Multi-Agents: A Survey of Progress and Challenges, Proc. IJCAI, 2024. (arXiv:2402.01680)</w:t>
      </w:r>
    </w:p>
    <w:p w14:paraId="4D955C0A" w14:textId="77777777" w:rsidR="00A9064B" w:rsidRDefault="00000000">
      <w:pPr>
        <w:numPr>
          <w:ilvl w:val="0"/>
          <w:numId w:val="3"/>
        </w:numPr>
        <w:snapToGrid w:val="0"/>
        <w:spacing w:line="288" w:lineRule="auto"/>
        <w:jc w:val="left"/>
        <w:rPr>
          <w:rFonts w:eastAsia="STKaiti"/>
          <w:sz w:val="22"/>
        </w:rPr>
      </w:pPr>
      <w:r>
        <w:rPr>
          <w:rFonts w:eastAsia="STKaiti"/>
          <w:sz w:val="22"/>
        </w:rPr>
        <w:t>Q. Wu, G. Bansal, J. Zhang, et al., AutoGen: Enabling Next-Gen LLM Applications via Multi-Agent Conversation, arXiv:2308.08155, 2023 (COLM 2024).</w:t>
      </w:r>
    </w:p>
    <w:p w14:paraId="75F8CE16" w14:textId="77777777" w:rsidR="00A9064B" w:rsidRDefault="00000000">
      <w:pPr>
        <w:numPr>
          <w:ilvl w:val="0"/>
          <w:numId w:val="3"/>
        </w:numPr>
        <w:snapToGrid w:val="0"/>
        <w:spacing w:line="288" w:lineRule="auto"/>
        <w:jc w:val="left"/>
        <w:rPr>
          <w:rFonts w:eastAsia="STKaiti"/>
          <w:sz w:val="22"/>
        </w:rPr>
      </w:pPr>
      <w:r>
        <w:rPr>
          <w:rFonts w:eastAsia="STKaiti"/>
          <w:sz w:val="22"/>
        </w:rPr>
        <w:t>S. Hong, M. Zhuge, J. Chen, et al., MetaGPT: Meta Programming for a Multi-Agent Collaborative Framework, Proc. ICLR, 2024. (arXiv:2308.00352)</w:t>
      </w:r>
    </w:p>
    <w:p w14:paraId="650715C1" w14:textId="77777777" w:rsidR="00A9064B" w:rsidRDefault="00000000">
      <w:pPr>
        <w:numPr>
          <w:ilvl w:val="0"/>
          <w:numId w:val="3"/>
        </w:numPr>
        <w:snapToGrid w:val="0"/>
        <w:spacing w:line="288" w:lineRule="auto"/>
        <w:jc w:val="left"/>
        <w:rPr>
          <w:rFonts w:eastAsia="STKaiti"/>
          <w:sz w:val="22"/>
        </w:rPr>
      </w:pPr>
      <w:r>
        <w:rPr>
          <w:rFonts w:eastAsia="STKaiti"/>
          <w:sz w:val="22"/>
        </w:rPr>
        <w:t>G. Li, H. Hammoud, H. Itani, et al., CAMEL: Communicative Agents for Mind Exploration of Large Language Model Society, Proc. NeurIPS, 2023. (arXiv:2303.17760)</w:t>
      </w:r>
    </w:p>
    <w:p w14:paraId="5BDA7F61" w14:textId="77777777" w:rsidR="00A9064B" w:rsidRDefault="00000000">
      <w:pPr>
        <w:numPr>
          <w:ilvl w:val="0"/>
          <w:numId w:val="3"/>
        </w:numPr>
        <w:snapToGrid w:val="0"/>
        <w:spacing w:line="288" w:lineRule="auto"/>
        <w:jc w:val="left"/>
        <w:rPr>
          <w:rFonts w:eastAsia="STKaiti"/>
          <w:sz w:val="22"/>
        </w:rPr>
      </w:pPr>
      <w:r>
        <w:rPr>
          <w:rFonts w:eastAsia="STKaiti"/>
          <w:sz w:val="22"/>
        </w:rPr>
        <w:t>C. Qian, W. Liu, H. Liu, et al., ChatDev: Communicative Agents for Software Development, Proc. ACL, 2024. (arXiv:2307.07924)</w:t>
      </w:r>
    </w:p>
    <w:p w14:paraId="68558626" w14:textId="77777777" w:rsidR="00A9064B" w:rsidRDefault="00000000">
      <w:pPr>
        <w:numPr>
          <w:ilvl w:val="0"/>
          <w:numId w:val="3"/>
        </w:numPr>
        <w:snapToGrid w:val="0"/>
        <w:spacing w:line="288" w:lineRule="auto"/>
        <w:jc w:val="left"/>
        <w:rPr>
          <w:rFonts w:eastAsia="STKaiti"/>
          <w:sz w:val="22"/>
        </w:rPr>
      </w:pPr>
      <w:r>
        <w:rPr>
          <w:rFonts w:eastAsia="STKaiti"/>
          <w:sz w:val="22"/>
        </w:rPr>
        <w:t>K. Zhu, H. Du, Z. Hong, et al., MultiAgentBench: Evaluating the Collaboration and Competition of LLM Agents, arXiv:2503.01935, 2025.</w:t>
      </w:r>
    </w:p>
    <w:p w14:paraId="34085ECF" w14:textId="77777777" w:rsidR="00A9064B" w:rsidRDefault="00000000">
      <w:pPr>
        <w:numPr>
          <w:ilvl w:val="0"/>
          <w:numId w:val="3"/>
        </w:numPr>
        <w:snapToGrid w:val="0"/>
        <w:spacing w:line="288" w:lineRule="auto"/>
        <w:jc w:val="left"/>
        <w:rPr>
          <w:rFonts w:eastAsia="STKaiti"/>
          <w:sz w:val="22"/>
        </w:rPr>
      </w:pPr>
      <w:r>
        <w:rPr>
          <w:rFonts w:eastAsia="STKaiti"/>
          <w:sz w:val="22"/>
        </w:rPr>
        <w:t>M. Cemri, M. Z. Pan, S. Yang, et al., Why Do Multi-Agent LLM Systems Fail?, arXiv:2503.13657, 2025.</w:t>
      </w:r>
    </w:p>
    <w:p w14:paraId="402A0078" w14:textId="77777777" w:rsidR="00A9064B" w:rsidRDefault="00000000">
      <w:pPr>
        <w:numPr>
          <w:ilvl w:val="0"/>
          <w:numId w:val="3"/>
        </w:numPr>
        <w:snapToGrid w:val="0"/>
        <w:spacing w:line="288" w:lineRule="auto"/>
        <w:jc w:val="left"/>
        <w:rPr>
          <w:rFonts w:eastAsia="STKaiti"/>
          <w:sz w:val="22"/>
        </w:rPr>
      </w:pPr>
      <w:r>
        <w:rPr>
          <w:rFonts w:eastAsia="STKaiti"/>
          <w:sz w:val="22"/>
        </w:rPr>
        <w:t>Y. Du, S. Li, A. Torralba, J. B. Tenenbaum, I. Mordatch, Improving Factuality and Reasoning in Language Models through Multiagent Debate, arXiv:2305.14325, 2023.</w:t>
      </w:r>
    </w:p>
    <w:p w14:paraId="2660CA32" w14:textId="77777777" w:rsidR="00A9064B" w:rsidRDefault="00000000">
      <w:pPr>
        <w:numPr>
          <w:ilvl w:val="0"/>
          <w:numId w:val="3"/>
        </w:numPr>
        <w:snapToGrid w:val="0"/>
        <w:spacing w:line="288" w:lineRule="auto"/>
        <w:jc w:val="left"/>
        <w:rPr>
          <w:rFonts w:eastAsia="STKaiti"/>
          <w:sz w:val="22"/>
        </w:rPr>
      </w:pPr>
      <w:r>
        <w:rPr>
          <w:rFonts w:eastAsia="STKaiti"/>
          <w:sz w:val="22"/>
        </w:rPr>
        <w:t>J. Li, Q. Zhang, Y. Yu, Q. Fu, D. Ye, More Agents Is All You Need, arXiv:2402.05120, 2024.</w:t>
      </w:r>
    </w:p>
    <w:p w14:paraId="6A39A865" w14:textId="77777777" w:rsidR="00A9064B" w:rsidRDefault="00000000">
      <w:pPr>
        <w:numPr>
          <w:ilvl w:val="0"/>
          <w:numId w:val="3"/>
        </w:numPr>
        <w:snapToGrid w:val="0"/>
        <w:spacing w:line="288" w:lineRule="auto"/>
        <w:jc w:val="left"/>
        <w:rPr>
          <w:rFonts w:eastAsia="STKaiti"/>
          <w:sz w:val="22"/>
        </w:rPr>
      </w:pPr>
      <w:r>
        <w:rPr>
          <w:rFonts w:eastAsia="STKaiti"/>
          <w:sz w:val="22"/>
        </w:rPr>
        <w:t>J. Huang, X. Chen, S. Mishra, et al., Large Language Models Cannot Self-Correct Reasoning Yet, Proc. ICLR, 2024. (arXiv:2310.01798)</w:t>
      </w:r>
    </w:p>
    <w:p w14:paraId="40FE086D" w14:textId="77777777" w:rsidR="00A9064B" w:rsidRDefault="00000000">
      <w:pPr>
        <w:numPr>
          <w:ilvl w:val="0"/>
          <w:numId w:val="3"/>
        </w:numPr>
        <w:snapToGrid w:val="0"/>
        <w:spacing w:line="288" w:lineRule="auto"/>
        <w:jc w:val="left"/>
        <w:rPr>
          <w:rFonts w:eastAsia="STKaiti"/>
          <w:sz w:val="22"/>
        </w:rPr>
      </w:pPr>
      <w:r>
        <w:rPr>
          <w:rFonts w:eastAsia="STKaiti"/>
          <w:sz w:val="22"/>
        </w:rPr>
        <w:t>N. Shinn, F. Cassano, E. Berman, et al., Reflexion: Language Agents with Verbal Reinforcement Learning, Proc. NeurIPS, 2023. (arXiv:2303.11366)</w:t>
      </w:r>
    </w:p>
    <w:p w14:paraId="6C96205A" w14:textId="77777777" w:rsidR="00A9064B" w:rsidRDefault="00000000">
      <w:pPr>
        <w:numPr>
          <w:ilvl w:val="0"/>
          <w:numId w:val="3"/>
        </w:numPr>
        <w:snapToGrid w:val="0"/>
        <w:spacing w:line="288" w:lineRule="auto"/>
        <w:jc w:val="left"/>
        <w:rPr>
          <w:rFonts w:eastAsia="STKaiti"/>
          <w:sz w:val="22"/>
        </w:rPr>
      </w:pPr>
      <w:r>
        <w:rPr>
          <w:rFonts w:eastAsia="STKaiti"/>
          <w:sz w:val="22"/>
        </w:rPr>
        <w:t>A. Madaan, N. Tandon, P. Gupta, et al., Self-Refine: Iterative Refinement with Self-Feedback, Proc. NeurIPS, 2023. (arXiv:2303.17651)</w:t>
      </w:r>
    </w:p>
    <w:p w14:paraId="566405F8" w14:textId="77777777" w:rsidR="00A9064B" w:rsidRDefault="00000000">
      <w:pPr>
        <w:numPr>
          <w:ilvl w:val="0"/>
          <w:numId w:val="3"/>
        </w:numPr>
        <w:snapToGrid w:val="0"/>
        <w:spacing w:line="288" w:lineRule="auto"/>
        <w:jc w:val="left"/>
        <w:rPr>
          <w:rFonts w:eastAsia="STKaiti"/>
          <w:sz w:val="22"/>
        </w:rPr>
      </w:pPr>
      <w:r>
        <w:rPr>
          <w:rFonts w:eastAsia="STKaiti"/>
          <w:sz w:val="22"/>
        </w:rPr>
        <w:t>L. Zheng, W.-L. Chiang, Y. Sheng, et al., Judging LLM-as-a-Judge with MT-Bench and Chatbot Arena, Proc. NeurIPS Datasets and Benchmarks, 2023. (arXiv:2306.05685)</w:t>
      </w:r>
    </w:p>
    <w:p w14:paraId="5645DCE0" w14:textId="77777777" w:rsidR="00A9064B" w:rsidRDefault="00000000">
      <w:pPr>
        <w:numPr>
          <w:ilvl w:val="0"/>
          <w:numId w:val="3"/>
        </w:numPr>
        <w:snapToGrid w:val="0"/>
        <w:spacing w:line="288" w:lineRule="auto"/>
        <w:jc w:val="left"/>
        <w:rPr>
          <w:rFonts w:eastAsia="STKaiti"/>
          <w:sz w:val="22"/>
        </w:rPr>
      </w:pPr>
      <w:r>
        <w:rPr>
          <w:rFonts w:eastAsia="STKaiti"/>
          <w:sz w:val="22"/>
        </w:rPr>
        <w:t xml:space="preserve">T. Yu, R. Zhang, K. Yang, et al., Spider: A Large-Scale Human-Labeled Dataset for Complex and Cross-Domain Semantic Parsing and Text-to-SQL Task, Proc. EMNLP, </w:t>
        <w:lastRenderedPageBreak/>
        <w:t>2018.</w:t>
      </w:r>
    </w:p>
    <w:p w14:paraId="513758C9" w14:textId="77777777" w:rsidR="00A9064B" w:rsidRDefault="00000000">
      <w:pPr>
        <w:numPr>
          <w:ilvl w:val="0"/>
          <w:numId w:val="3"/>
        </w:numPr>
        <w:snapToGrid w:val="0"/>
        <w:spacing w:line="288" w:lineRule="auto"/>
        <w:jc w:val="left"/>
        <w:rPr>
          <w:rFonts w:eastAsia="STKaiti"/>
          <w:sz w:val="22"/>
        </w:rPr>
      </w:pPr>
      <w:r>
        <w:rPr>
          <w:rFonts w:eastAsia="STKaiti"/>
          <w:sz w:val="22"/>
        </w:rPr>
        <w:t>J. Li, B. Hui, G. Qu, et al., Can LLM Already Serve as a Database Interface? A Big Bench for Large-Scale Database Grounded Text-to-SQLs (BIRD), Proc. NeurIPS, 2023. (arXiv:2305.03111)</w:t>
      </w:r>
    </w:p>
    <w:p w14:paraId="535607F0" w14:textId="77777777" w:rsidR="00A9064B" w:rsidRDefault="00000000">
      <w:pPr>
        <w:numPr>
          <w:ilvl w:val="0"/>
          <w:numId w:val="3"/>
        </w:numPr>
        <w:snapToGrid w:val="0"/>
        <w:spacing w:line="288" w:lineRule="auto"/>
        <w:jc w:val="left"/>
        <w:rPr>
          <w:rFonts w:eastAsia="STKaiti"/>
          <w:sz w:val="22"/>
        </w:rPr>
      </w:pPr>
      <w:r>
        <w:rPr>
          <w:rFonts w:eastAsia="STKaiti"/>
          <w:sz w:val="22"/>
        </w:rPr>
        <w:t>F. Lei, J. Chen, Y. Ye, et al., Spider 2.0: Evaluating Language Models on Real-World Enterprise Text-to-SQL Workflows, arXiv:2411.07763, 2024.</w:t>
      </w:r>
    </w:p>
    <w:p w14:paraId="267B51C3" w14:textId="77777777" w:rsidR="00A9064B" w:rsidRDefault="00000000">
      <w:pPr>
        <w:numPr>
          <w:ilvl w:val="0"/>
          <w:numId w:val="3"/>
        </w:numPr>
        <w:snapToGrid w:val="0"/>
        <w:spacing w:line="288" w:lineRule="auto"/>
        <w:jc w:val="left"/>
        <w:rPr>
          <w:rFonts w:eastAsia="STKaiti"/>
          <w:sz w:val="22"/>
        </w:rPr>
      </w:pPr>
      <w:r>
        <w:rPr>
          <w:rFonts w:eastAsia="STKaiti"/>
          <w:sz w:val="22"/>
        </w:rPr>
        <w:t>X. Hu, Z. Zhao, S. Wei, et al., InfiAgent-DABench: Evaluating Agents on Data Analysis Tasks, Proc. ICML, 2024. (arXiv:2401.05507)</w:t>
      </w:r>
    </w:p>
    <w:p w14:paraId="63FC7BEE" w14:textId="77777777" w:rsidR="00A9064B" w:rsidRDefault="00000000">
      <w:pPr>
        <w:numPr>
          <w:ilvl w:val="0"/>
          <w:numId w:val="3"/>
        </w:numPr>
        <w:snapToGrid w:val="0"/>
        <w:spacing w:line="288" w:lineRule="auto"/>
        <w:jc w:val="left"/>
        <w:rPr>
          <w:rFonts w:eastAsia="STKaiti"/>
          <w:sz w:val="22"/>
        </w:rPr>
      </w:pPr>
      <w:r>
        <w:rPr>
          <w:rFonts w:eastAsia="STKaiti"/>
          <w:sz w:val="22"/>
        </w:rPr>
        <w:t>X. Wu, J. Yang, L. Chai, et al., TableBench: A Comprehensive and Complex Benchmark for Table Question Answering, arXiv:2408.09174, 2024.</w:t>
      </w:r>
    </w:p>
    <w:p w14:paraId="682B4E59" w14:textId="77777777" w:rsidR="00A9064B" w:rsidRDefault="00000000">
      <w:pPr>
        <w:numPr>
          <w:ilvl w:val="0"/>
          <w:numId w:val="3"/>
        </w:numPr>
        <w:snapToGrid w:val="0"/>
        <w:spacing w:line="288" w:lineRule="auto"/>
        <w:jc w:val="left"/>
        <w:rPr>
          <w:rFonts w:eastAsia="STKaiti"/>
          <w:sz w:val="22"/>
        </w:rPr>
      </w:pPr>
      <w:r>
        <w:rPr>
          <w:rFonts w:eastAsia="STKaiti"/>
          <w:sz w:val="22"/>
        </w:rPr>
        <w:t>Z. Chen, W. Chen, C. Smiley, et al., FinQA: A Dataset of Numerical Reasoning over Financial Data, Proc. EMNLP, 2021. (arXiv:2109.00122)</w:t>
      </w:r>
    </w:p>
    <w:p w14:paraId="606993F5" w14:textId="77777777" w:rsidR="00A9064B" w:rsidRDefault="00000000">
      <w:pPr>
        <w:numPr>
          <w:ilvl w:val="0"/>
          <w:numId w:val="3"/>
        </w:numPr>
        <w:snapToGrid w:val="0"/>
        <w:spacing w:line="288" w:lineRule="auto"/>
        <w:jc w:val="left"/>
        <w:rPr>
          <w:rFonts w:eastAsia="STKaiti"/>
          <w:sz w:val="22"/>
        </w:rPr>
      </w:pPr>
      <w:r>
        <w:rPr>
          <w:rFonts w:eastAsia="STKaiti"/>
          <w:sz w:val="22"/>
        </w:rPr>
        <w:t>F. Zhu, W. Lei, Y. Huang, et al., TAT-QA: A Question Answering Benchmark on a Hybrid of Tabular and Textual Content in Finance, Proc. ACL, 2021. (arXiv:2105.07624)</w:t>
      </w:r>
    </w:p>
    <w:permEnd w:id="930682925"/>
    <w:p w14:paraId="4D5DFFDC" w14:textId="77777777" w:rsidR="009A7EAF" w:rsidRDefault="00DC5510">
      <w:pPr>
        <w:numPr>
          <w:ilvl w:val="0"/>
          <w:numId w:val="2"/>
        </w:numPr>
        <w:spacing w:before="240" w:after="240"/>
        <w:jc w:val="left"/>
        <w:rPr>
          <w:rFonts w:eastAsia="FangSong_GB2312"/>
          <w:b/>
          <w:sz w:val="24"/>
        </w:rPr>
      </w:pPr>
      <w:r>
        <w:rPr>
          <w:rFonts w:ascii="FangSong_GB2312" w:eastAsia="FangSong_GB2312" w:hint="eastAsia"/>
          <w:b/>
          <w:sz w:val="24"/>
        </w:rPr>
        <w:t>课题研究目标、主要研究内容和拟解决的关键问题。</w:t>
      </w:r>
      <w:r>
        <w:rPr>
          <w:rFonts w:eastAsia="FangSong_GB2312"/>
          <w:b/>
          <w:sz w:val="24"/>
        </w:rPr>
        <w:t xml:space="preserve"> Research objectives, main contents and key issues to be solved.</w:t>
      </w:r>
    </w:p>
    <w:p>
      <w:pPr>
        <w:snapToGrid w:val="0"/>
        <w:spacing w:beforeLines="40" w:before="120" w:line="360" w:lineRule="auto"/>
        <w:jc w:val="left"/>
        <w:rPr>
          <w:rFonts w:eastAsia="华文楷体"/>
          <w:b/>
          <w:sz w:val="24"/>
        </w:rPr>
      </w:pPr>
      <w:r>
        <w:rPr>
          <w:rFonts w:eastAsia="华文楷体"/>
          <w:b/>
          <w:sz w:val="24"/>
        </w:rPr>
        <w:t xml:space="preserve">Research objective</w:t>
      </w:r>
    </w:p>
    <w:p>
      <w:pPr>
        <w:snapToGrid w:val="0"/>
        <w:spacing w:line="360" w:lineRule="auto"/>
        <w:ind w:firstLineChars="200" w:firstLine="480"/>
        <w:jc w:val="both"/>
        <w:rPr>
          <w:rFonts w:eastAsia="华文楷体"/>
          <w:sz w:val="24"/>
        </w:rPr>
      </w:pPr>
      <w:r>
        <w:rPr>
          <w:rFonts w:eastAsia="华文楷体"/>
          <w:sz w:val="24"/>
        </w:rPr>
        <w:t xml:space="preserve">The objective is to build a verification-aware benchmark for multi-agent business analytics and to use it to (a) measure when multi-agent systems outperform single agents, (b) profile how their failures distribute across the MAST categories, and (c) compare a ladder of interventions - from shallow self-checking to grounded executable verification and structured shared context - to determine which failure categories each one mitigates and whether any closes the single-versus-multi gap.</w:t>
      </w:r>
    </w:p>
    <w:p>
      <w:pPr>
        <w:snapToGrid w:val="0"/>
        <w:spacing w:beforeLines="40" w:before="120" w:line="360" w:lineRule="auto"/>
        <w:jc w:val="left"/>
        <w:rPr>
          <w:rFonts w:eastAsia="华文楷体"/>
          <w:b/>
          <w:sz w:val="24"/>
        </w:rPr>
      </w:pPr>
      <w:r>
        <w:rPr>
          <w:rFonts w:eastAsia="华文楷体"/>
          <w:b/>
          <w:sz w:val="24"/>
        </w:rPr>
        <w:t xml:space="preserve">Research questions and hypotheses</w:t>
      </w:r>
    </w:p>
    <w:p>
      <w:pPr>
        <w:snapToGrid w:val="0"/>
        <w:spacing w:line="360" w:lineRule="auto"/>
        <w:ind w:firstLineChars="200" w:firstLine="480"/>
        <w:jc w:val="both"/>
        <w:rPr>
          <w:rFonts w:eastAsia="华文楷体"/>
          <w:sz w:val="24"/>
        </w:rPr>
      </w:pPr>
      <w:r>
        <w:rPr>
          <w:rFonts w:eastAsia="华文楷体"/>
          <w:sz w:val="24"/>
        </w:rPr>
        <w:t xml:space="preserve">RQ1 - Do multi-agent systems outperform single agents on business-analytics tasks, and does this depend on task complexity? H1: performance is comparable on simple queries, but multi-agent systems gain an advantage on complex, multi-step tasks.</w:t>
      </w:r>
    </w:p>
    <w:p>
      <w:pPr>
        <w:snapToGrid w:val="0"/>
        <w:spacing w:line="360" w:lineRule="auto"/>
        <w:ind w:firstLineChars="200" w:firstLine="480"/>
        <w:jc w:val="both"/>
        <w:rPr>
          <w:rFonts w:eastAsia="华文楷体"/>
          <w:sz w:val="24"/>
        </w:rPr>
      </w:pPr>
      <w:r>
        <w:rPr>
          <w:rFonts w:eastAsia="华文楷体"/>
          <w:sz w:val="24"/>
        </w:rPr>
        <w:t xml:space="preserve">RQ2 - How do multi-agent failures distribute across the MAST categories in analytics? H2: a disproportionate share fall in the Task-Verification category, because numeric answers can be plausible yet wrong.</w:t>
      </w:r>
    </w:p>
    <w:p>
      <w:pPr>
        <w:snapToGrid w:val="0"/>
        <w:spacing w:line="360" w:lineRule="auto"/>
        <w:ind w:firstLineChars="200" w:firstLine="480"/>
        <w:jc w:val="both"/>
        <w:rPr>
          <w:rFonts w:eastAsia="华文楷体"/>
          <w:sz w:val="24"/>
        </w:rPr>
      </w:pPr>
      <w:r>
        <w:rPr>
          <w:rFonts w:eastAsia="华文楷体"/>
          <w:sz w:val="24"/>
        </w:rPr>
        <w:t xml:space="preserve">RQ3 - Which interventions reduce which failures? Prior work shows that adding a verifier to coding tasks helps but is not a silver bullet [7]; business analytics is the domain where grounded, executable verification (re-running the query or recomputing the metric) becomes feasible, unlike the superficial checks available for code. H3a: grounded executable verification reduces Task-Verification failures more than shallow self-verification. H3b: even with verification, residual failures shift toward System-Design and Inter-Agent-Misalignment, motivating a structured shared-context mechanism. H3c: combining verification with shared context outperforms either intervention alone.</w:t>
      </w:r>
    </w:p>
    <w:p>
      <w:pPr>
        <w:snapToGrid w:val="0"/>
        <w:spacing w:beforeLines="40" w:before="120" w:line="360" w:lineRule="auto"/>
        <w:jc w:val="left"/>
        <w:rPr>
          <w:rFonts w:eastAsia="华文楷体"/>
          <w:b/>
          <w:sz w:val="24"/>
        </w:rPr>
      </w:pPr>
      <w:r>
        <w:rPr>
          <w:rFonts w:eastAsia="华文楷体"/>
          <w:b/>
          <w:sz w:val="24"/>
        </w:rPr>
        <w:t xml:space="preserve">Main contents</w:t>
      </w:r>
    </w:p>
    <w:p>
      <w:pPr>
        <w:snapToGrid w:val="0"/>
        <w:spacing w:line="360" w:lineRule="auto"/>
        <w:ind w:firstLineChars="200" w:firstLine="480"/>
        <w:jc w:val="both"/>
        <w:rPr>
          <w:rFonts w:eastAsia="华文楷体"/>
          <w:sz w:val="24"/>
        </w:rPr>
      </w:pPr>
      <w:r>
        <w:rPr>
          <w:rFonts w:eastAsia="华文楷体"/>
          <w:sz w:val="24"/>
        </w:rPr>
        <w:t xml:space="preserve">(1) A curated business-analytics task suite with ground-truth answers and milestones. (2) An experimental comparison of single- and multi-agent configurations across complexity levels. (3) An automated MAST failure-annotation pipeline. (4) A controlled comparison of an intervention ladder: no verification; shallow self-verification; grounded executable verification; structured shared context; and their combination.</w:t>
      </w:r>
    </w:p>
    <w:p>
      <w:pPr>
        <w:snapToGrid w:val="0"/>
        <w:spacing w:beforeLines="40" w:before="120" w:line="360" w:lineRule="auto"/>
        <w:jc w:val="left"/>
        <w:rPr>
          <w:rFonts w:eastAsia="华文楷体"/>
          <w:b/>
          <w:sz w:val="24"/>
        </w:rPr>
      </w:pPr>
      <w:r>
        <w:rPr>
          <w:rFonts w:eastAsia="华文楷体"/>
          <w:b/>
          <w:sz w:val="24"/>
        </w:rPr>
        <w:t xml:space="preserve">Key issues to be solved</w:t>
      </w:r>
    </w:p>
    <w:p>
      <w:pPr>
        <w:snapToGrid w:val="0"/>
        <w:spacing w:line="360" w:lineRule="auto"/>
        <w:ind w:firstLineChars="200" w:firstLine="480"/>
        <w:jc w:val="both"/>
        <w:rPr>
          <w:rFonts w:eastAsia="华文楷体"/>
          <w:sz w:val="24"/>
        </w:rPr>
      </w:pPr>
      <w:r>
        <w:rPr>
          <w:rFonts w:eastAsia="华文楷体"/>
          <w:sz w:val="24"/>
        </w:rPr>
        <w:t xml:space="preserve">(i) Defining realistic, automatically checkable analytics tasks with milestone checkpoints. (ii) Reliable, scalable failure annotation, validated against a hand-labelled subset. (iii) Cleanly attributing changes to specific interventions and MAST categories while controlling for model choice, cost, and task difficulty.</w:t>
      </w:r>
    </w:p>
    <w:p w14:paraId="7CC2EA84" w14:textId="77777777" w:rsidR="009A7EAF" w:rsidRDefault="00DC5510">
      <w:pPr>
        <w:numPr>
          <w:ilvl w:val="0"/>
          <w:numId w:val="2"/>
        </w:numPr>
        <w:spacing w:before="240" w:after="240"/>
        <w:rPr>
          <w:rFonts w:eastAsia="FangSong_GB2312"/>
          <w:b/>
          <w:sz w:val="24"/>
        </w:rPr>
      </w:pPr>
      <w:r>
        <w:rPr>
          <w:rFonts w:eastAsia="FangSong_GB2312"/>
          <w:b/>
          <w:sz w:val="24"/>
        </w:rPr>
        <w:t>拟采取的研究方法、</w:t>
      </w:r>
      <w:bookmarkStart w:id="2" w:name="OLE_LINK8"/>
      <w:bookmarkStart w:id="3" w:name="OLE_LINK7"/>
      <w:r>
        <w:rPr>
          <w:rFonts w:eastAsia="FangSong_GB2312" w:hint="eastAsia"/>
          <w:b/>
          <w:sz w:val="24"/>
        </w:rPr>
        <w:t>研究</w:t>
      </w:r>
      <w:r>
        <w:rPr>
          <w:rFonts w:eastAsia="FangSong_GB2312"/>
          <w:b/>
          <w:sz w:val="24"/>
        </w:rPr>
        <w:t>方案</w:t>
      </w:r>
      <w:bookmarkEnd w:id="2"/>
      <w:bookmarkEnd w:id="3"/>
      <w:r>
        <w:rPr>
          <w:rFonts w:eastAsia="FangSong_GB2312"/>
          <w:b/>
          <w:sz w:val="24"/>
        </w:rPr>
        <w:t>及其可行性分析</w:t>
      </w:r>
      <w:r>
        <w:rPr>
          <w:rFonts w:eastAsia="FangSong_GB2312" w:hint="eastAsia"/>
          <w:b/>
          <w:sz w:val="24"/>
        </w:rPr>
        <w:t>。</w:t>
      </w:r>
      <w:r>
        <w:rPr>
          <w:rFonts w:eastAsia="FangSong_GB2312"/>
          <w:b/>
          <w:sz w:val="24"/>
        </w:rPr>
        <w:t>Research methods and research scheme to be adopted and feasibility analysis.</w:t>
      </w:r>
    </w:p>
    <w:p>
      <w:pPr>
        <w:snapToGrid w:val="0"/>
        <w:spacing w:beforeLines="40" w:before="120" w:line="360" w:lineRule="auto"/>
        <w:jc w:val="left"/>
        <w:rPr>
          <w:rFonts w:eastAsia="华文楷体"/>
          <w:b/>
          <w:sz w:val="24"/>
        </w:rPr>
      </w:pPr>
      <w:r>
        <w:rPr>
          <w:rFonts w:eastAsia="华文楷体"/>
          <w:b/>
          <w:sz w:val="24"/>
        </w:rPr>
        <w:t xml:space="preserve">Data and task construction</w:t>
      </w:r>
    </w:p>
    <w:p>
      <w:pPr>
        <w:snapToGrid w:val="0"/>
        <w:spacing w:line="360" w:lineRule="auto"/>
        <w:ind w:firstLineChars="200" w:firstLine="480"/>
        <w:jc w:val="both"/>
        <w:rPr>
          <w:rFonts w:eastAsia="华文楷体"/>
          <w:sz w:val="24"/>
        </w:rPr>
      </w:pPr>
      <w:r>
        <w:rPr>
          <w:rFonts w:eastAsia="华文楷体"/>
          <w:sz w:val="24"/>
        </w:rPr>
        <w:t xml:space="preserve">The benchmark is assembled from public datasets with verifiable answers - BIRD [15], Spider 2.0 [16], InfiAgent-DABench [17], TableBench [18], and FinQA/TAT-QA [19,20] - re-cast into a unified business-analytics suite covering sales, finance and operations questions. Each task carries a gold answer for automatic execution-based scoring and is decomposed into milestones (for example correct table/column selection, correct aggregation, correct final value) to enable milestone-based KPIs in the style of MultiAgentBench [6]. No proprietary or personal data is used.</w:t>
      </w:r>
    </w:p>
    <w:p>
      <w:pPr>
        <w:snapToGrid w:val="0"/>
        <w:spacing w:beforeLines="40" w:before="120" w:line="360" w:lineRule="auto"/>
        <w:jc w:val="left"/>
        <w:rPr>
          <w:rFonts w:eastAsia="华文楷体"/>
          <w:b/>
          <w:sz w:val="24"/>
        </w:rPr>
      </w:pPr>
      <w:r>
        <w:rPr>
          <w:rFonts w:eastAsia="华文楷体"/>
          <w:b/>
          <w:sz w:val="24"/>
        </w:rPr>
        <w:t xml:space="preserve">System implementation and the intervention ladder</w:t>
      </w:r>
    </w:p>
    <w:p>
      <w:pPr>
        <w:snapToGrid w:val="0"/>
        <w:spacing w:line="360" w:lineRule="auto"/>
        <w:ind w:firstLineChars="200" w:firstLine="480"/>
        <w:jc w:val="both"/>
        <w:rPr>
          <w:rFonts w:eastAsia="华文楷体"/>
          <w:sz w:val="24"/>
        </w:rPr>
      </w:pPr>
      <w:r>
        <w:rPr>
          <w:rFonts w:eastAsia="华文楷体"/>
          <w:sz w:val="24"/>
        </w:rPr>
        <w:t xml:space="preserve">Single-agent and multi-agent configurations are implemented on an open framework, building on MARBLE and AutoGen [2,6], with multi-agent conditions varying coordination topology (chain, star, graph) and roles (planner, SQL/analysis agent, critic). On top of the baseline, the study evaluates a ladder of interventions, motivated by the finding of Cemri et al. [7] that adding a verifier to coding tasks helps but is not sufficient on its own: (V0) no verification; (V1) shallow self-verification, in which an LLM critic re-reads the output; (V2) grounded executable verification, which re-runs the generated SQL or recomputes the reported metric against the data - the multi-level verification that prior work found necessary but lacking, and which becomes feasible precisely because analytics answers are executable; (C1) a structured shared-context mechanism that targets inter-agent misalignment; and (V2+C1) their combination.</w:t>
      </w:r>
    </w:p>
    <w:p>
      <w:pPr>
        <w:snapToGrid w:val="0"/>
        <w:spacing w:beforeLines="40" w:before="120" w:line="360" w:lineRule="auto"/>
        <w:jc w:val="left"/>
        <w:rPr>
          <w:rFonts w:eastAsia="华文楷体"/>
          <w:b/>
          <w:sz w:val="24"/>
        </w:rPr>
      </w:pPr>
      <w:r>
        <w:rPr>
          <w:rFonts w:eastAsia="华文楷体"/>
          <w:b/>
          <w:sz w:val="24"/>
        </w:rPr>
        <w:t xml:space="preserve">Metrics and analysis</w:t>
      </w:r>
    </w:p>
    <w:p>
      <w:pPr>
        <w:snapToGrid w:val="0"/>
        <w:spacing w:line="360" w:lineRule="auto"/>
        <w:ind w:firstLineChars="200" w:firstLine="480"/>
        <w:jc w:val="both"/>
        <w:rPr>
          <w:rFonts w:eastAsia="华文楷体"/>
          <w:sz w:val="24"/>
        </w:rPr>
      </w:pPr>
      <w:r>
        <w:rPr>
          <w:rFonts w:eastAsia="华文楷体"/>
          <w:sz w:val="24"/>
        </w:rPr>
        <w:t xml:space="preserve">The primary outcome is task success by execution match against the gold answer; secondary outcomes are milestone-achievement rate and cost (tokens, latency). Every failed trace is labelled with the MAST taxonomy using an LLM-as-judge annotator [7,13], validated against a hand-labelled sample of about 150 traces with inter-rater agreement (Cohen's kappa) reported. A factorial design crosses task complexity (low/high) x architecture (single, multi-chain, multi-graph) x intervention (V0, V1, V2, C1, V2+C1), with at least one small and one stronger model for robustness. Success is analysed with mixed-effects logistic regression (random effects for task and model); the per-category failure distribution is compared with chi-square tests; and each intervention's effect is estimated as the change in success and in the targeted MAST failure category - so the study can attribute which intervention mitigates which failure mode rather than reporting only aggregate gains.</w:t>
      </w:r>
    </w:p>
    <w:p>
      <w:pPr>
        <w:snapToGrid w:val="0"/>
        <w:spacing w:beforeLines="40" w:before="120" w:line="360" w:lineRule="auto"/>
        <w:jc w:val="left"/>
        <w:rPr>
          <w:rFonts w:eastAsia="华文楷体"/>
          <w:b/>
          <w:sz w:val="24"/>
        </w:rPr>
      </w:pPr>
      <w:r>
        <w:rPr>
          <w:rFonts w:eastAsia="华文楷体"/>
          <w:b/>
          <w:sz w:val="24"/>
        </w:rPr>
        <w:t xml:space="preserve">Feasibility</w:t>
      </w:r>
    </w:p>
    <w:p>
      <w:pPr>
        <w:snapToGrid w:val="0"/>
        <w:spacing w:line="360" w:lineRule="auto"/>
        <w:ind w:firstLineChars="200" w:firstLine="480"/>
        <w:jc w:val="both"/>
        <w:rPr>
          <w:rFonts w:eastAsia="华文楷体"/>
          <w:sz w:val="24"/>
        </w:rPr>
      </w:pPr>
      <w:r>
        <w:rPr>
          <w:rFonts w:eastAsia="华文楷体"/>
          <w:sz w:val="24"/>
        </w:rPr>
        <w:t xml:space="preserve">The study relies only on public data and open-source frameworks and reuses MAST's released taxonomy and annotator [7], which lowers technical risk. Compute is modest: tasks run through model APIs within a limited budget, and small models are viable subjects [6]. The author's professional experience building analytics agents reduces the engineering learning curve. The main risks - annotator noise and dataset heterogeneity - are mitigated by human validation of the annotator and a unified task schema; scope can be narrowed (fewer datasets, one model family, or fewer ladder rungs) if needed.</w:t>
      </w:r>
    </w:p>
    <w:p w14:paraId="7EF9B0DB" w14:textId="77777777" w:rsidR="009A7EAF" w:rsidRDefault="00DC5510">
      <w:pPr>
        <w:numPr>
          <w:ilvl w:val="0"/>
          <w:numId w:val="2"/>
        </w:numPr>
        <w:spacing w:before="240" w:after="240"/>
        <w:rPr>
          <w:rFonts w:eastAsia="FangSong_GB2312"/>
          <w:b/>
          <w:sz w:val="24"/>
        </w:rPr>
      </w:pPr>
      <w:r>
        <w:rPr>
          <w:rFonts w:eastAsia="FangSong_GB2312" w:hint="eastAsia"/>
          <w:b/>
          <w:sz w:val="24"/>
        </w:rPr>
        <w:t xml:space="preserve">课题的创新点 </w:t>
      </w:r>
      <w:r>
        <w:rPr>
          <w:rFonts w:eastAsia="FangSong_GB2312"/>
          <w:b/>
          <w:sz w:val="24"/>
        </w:rPr>
        <w:t>Novelties of the proposed topic.</w:t>
      </w:r>
    </w:p>
    <w:p>
      <w:pPr>
        <w:snapToGrid w:val="0"/>
        <w:spacing w:line="360" w:lineRule="auto"/>
        <w:ind w:firstLineChars="200" w:firstLine="480"/>
        <w:jc w:val="both"/>
        <w:rPr>
          <w:rFonts w:eastAsia="华文楷体"/>
          <w:sz w:val="24"/>
        </w:rPr>
      </w:pPr>
      <w:r>
        <w:rPr>
          <w:rFonts w:eastAsia="华文楷体"/>
          <w:sz w:val="24"/>
        </w:rPr>
        <w:t xml:space="preserve">1. Domain-first. The first multi-agent benchmark and failure analysis situated in business analytics - a domain whose verifiable, executable ground truth makes failure objectively measurable and, crucially, makes grounded multi-level verification feasible, unlike the coding, mathematics and open-ended tasks used in prior MAS evaluations [6,7].</w:t>
      </w:r>
    </w:p>
    <w:p>
      <w:pPr>
        <w:snapToGrid w:val="0"/>
        <w:spacing w:line="360" w:lineRule="auto"/>
        <w:ind w:firstLineChars="200" w:firstLine="480"/>
        <w:jc w:val="both"/>
        <w:rPr>
          <w:rFonts w:eastAsia="华文楷体"/>
          <w:sz w:val="24"/>
        </w:rPr>
      </w:pPr>
      <w:r>
        <w:rPr>
          <w:rFonts w:eastAsia="华文楷体"/>
          <w:sz w:val="24"/>
        </w:rPr>
        <w:t xml:space="preserve">2. A direct test of an open question. Prior work shows a verifier helps coding tasks but is not a silver bullet and calls for multi-level verification [7]; this study tests whether grounded executable verification - only possible when answers are executable - succeeds where superficial verification did not.</w:t>
      </w:r>
    </w:p>
    <w:p>
      <w:pPr>
        <w:snapToGrid w:val="0"/>
        <w:spacing w:line="360" w:lineRule="auto"/>
        <w:ind w:firstLineChars="200" w:firstLine="480"/>
        <w:jc w:val="both"/>
        <w:rPr>
          <w:rFonts w:eastAsia="华文楷体"/>
          <w:sz w:val="24"/>
        </w:rPr>
      </w:pPr>
      <w:r>
        <w:rPr>
          <w:rFonts w:eastAsia="华文楷体"/>
          <w:sz w:val="24"/>
        </w:rPr>
        <w:t xml:space="preserve">3. Intervention ladder, not a single fix. Rather than adding one verifier, the study compares no verification, shallow self-verification, grounded executable verification, a structured shared-context mechanism, and their combination, and uses the MAST taxonomy to attribute which intervention mitigates which failure category.</w:t>
      </w:r>
    </w:p>
    <w:p>
      <w:pPr>
        <w:snapToGrid w:val="0"/>
        <w:spacing w:line="360" w:lineRule="auto"/>
        <w:ind w:firstLineChars="200" w:firstLine="480"/>
        <w:jc w:val="both"/>
        <w:rPr>
          <w:rFonts w:eastAsia="华文楷体"/>
          <w:sz w:val="24"/>
        </w:rPr>
      </w:pPr>
      <w:r>
        <w:rPr>
          <w:rFonts w:eastAsia="华文楷体"/>
          <w:sz w:val="24"/>
        </w:rPr>
        <w:t xml:space="preserve">4. Cost-aware and practitioner-facing. By reporting accuracy alongside token and latency cost, the work yields an actionable decision rule for when - and which - multi-agent designs and interventions are worth their overhead, directly useful to firms deploying self-service analytics agents.</w:t>
      </w:r>
    </w:p>
    <w:p>
      <w:pPr>
        <w:snapToGrid w:val="0"/>
        <w:spacing w:beforeLines="40" w:before="120" w:line="360" w:lineRule="auto"/>
        <w:jc w:val="left"/>
        <w:rPr>
          <w:rFonts w:eastAsia="华文楷体"/>
          <w:b/>
          <w:sz w:val="24"/>
        </w:rPr>
      </w:pPr>
      <w:r>
        <w:rPr>
          <w:rFonts w:eastAsia="华文楷体"/>
          <w:b/>
          <w:sz w:val="24"/>
        </w:rPr>
        <w:t xml:space="preserve">Indicative schedule (July 2026 - April 2027)</w:t>
      </w:r>
    </w:p>
    <w:p>
      <w:pPr>
        <w:snapToGrid w:val="0"/>
        <w:spacing w:line="360" w:lineRule="auto"/>
        <w:ind w:firstLineChars="200" w:firstLine="480"/>
        <w:jc w:val="both"/>
        <w:rPr>
          <w:rFonts w:eastAsia="华文楷体"/>
          <w:sz w:val="24"/>
        </w:rPr>
      </w:pPr>
      <w:r>
        <w:rPr>
          <w:rFonts w:eastAsia="华文楷体"/>
          <w:sz w:val="24"/>
        </w:rPr>
        <w:t xml:space="preserve">July 2026: finalise the literature review and set up the codebase; run the MAST annotator on sample traces (a light month). August: fix the benchmark scope, task suite and milestone scheme, and build the single-/multi-agent baseline harness. September: implement the intervention ladder (shallow verification, grounded executable verification, shared context) and pilot it. October: run the full experiments across complexity levels and models, and collect traces. November: failure annotation with MAST and annotator validation, and analysis of which interventions mitigate which categories. December: buffer for additional ablations and a mid-point progress review. January 2027: finalise results, statistics and figures, and release the benchmark and code. February: write the full draft. March: revise with supervisor feedback and prepare the defence. April 2027: final submission and defence.</w:t>
      </w:r>
    </w:p>
    <w:p>
      <w:pPr>
        <w:snapToGrid w:val="0"/>
        <w:spacing w:beforeLines="40" w:before="120" w:line="360" w:lineRule="auto"/>
        <w:jc w:val="left"/>
        <w:rPr>
          <w:rFonts w:eastAsia="华文楷体"/>
          <w:b/>
          <w:sz w:val="24"/>
        </w:rPr>
      </w:pPr>
      <w:r>
        <w:rPr>
          <w:rFonts w:eastAsia="华文楷体"/>
          <w:b/>
          <w:sz w:val="24"/>
        </w:rPr>
        <w:t xml:space="preserve">Expected outcomes</w:t>
      </w:r>
    </w:p>
    <w:p>
      <w:pPr>
        <w:snapToGrid w:val="0"/>
        <w:spacing w:line="360" w:lineRule="auto"/>
        <w:ind w:firstLineChars="200" w:firstLine="480"/>
        <w:jc w:val="both"/>
        <w:rPr>
          <w:rFonts w:eastAsia="华文楷体"/>
          <w:sz w:val="24"/>
        </w:rPr>
      </w:pPr>
      <w:r>
        <w:rPr>
          <w:rFonts w:eastAsia="华文楷体"/>
          <w:sz w:val="24"/>
        </w:rPr>
        <w:t xml:space="preserve">(1) An open-source, verification-aware business-analytics benchmark (tasks, gold answers, milestones, and the MAST annotation pipeline). (2) Empirical findings on whether and when multi-agent systems beat single agents in analytics and how their failures distribute. (3) A comparative evaluation of the intervention ladder, identifying which interventions address which failure categories. (4) A completed master's thesis and, potentially, a short workshop paper and a concise practitioner guideline.</w:t>
      </w:r>
    </w:p>
    <w:p w14:paraId="0921645E" w14:textId="77777777" w:rsidR="009A7EAF" w:rsidRDefault="00DC5510">
      <w:pPr>
        <w:numPr>
          <w:ilvl w:val="0"/>
          <w:numId w:val="2"/>
        </w:numPr>
        <w:spacing w:before="240" w:after="240"/>
        <w:rPr>
          <w:rFonts w:eastAsia="FangSong_GB2312"/>
          <w:b/>
          <w:sz w:val="24"/>
        </w:rPr>
      </w:pPr>
      <w:r>
        <w:rPr>
          <w:rFonts w:eastAsia="FangSong_GB2312" w:hint="eastAsia"/>
          <w:b/>
          <w:sz w:val="24"/>
        </w:rPr>
        <w:t>与本课题有关的工作积累、</w:t>
      </w:r>
      <w:bookmarkStart w:id="4" w:name="OLE_LINK13"/>
      <w:bookmarkStart w:id="5" w:name="OLE_LINK12"/>
      <w:r>
        <w:rPr>
          <w:rFonts w:eastAsia="FangSong_GB2312" w:hint="eastAsia"/>
          <w:b/>
          <w:sz w:val="24"/>
        </w:rPr>
        <w:t>已有的研究工作</w:t>
      </w:r>
      <w:bookmarkEnd w:id="4"/>
      <w:bookmarkEnd w:id="5"/>
      <w:r>
        <w:rPr>
          <w:rFonts w:eastAsia="FangSong_GB2312" w:hint="eastAsia"/>
          <w:b/>
          <w:sz w:val="24"/>
        </w:rPr>
        <w:t>成绩。</w:t>
      </w:r>
      <w:r>
        <w:rPr>
          <w:rFonts w:eastAsia="FangSong_GB2312"/>
          <w:b/>
          <w:sz w:val="24"/>
        </w:rPr>
        <w:t>Prior experience and accomplished achievements related to the proposed topic.</w:t>
      </w:r>
    </w:p>
    <w:p w14:paraId="6114172E" w14:textId="77777777" w:rsidR="00A9064B" w:rsidRDefault="00000000">
      <w:pPr>
        <w:snapToGrid w:val="0"/>
        <w:spacing w:line="360" w:lineRule="auto"/>
        <w:ind w:firstLineChars="200" w:firstLine="480"/>
        <w:rPr>
          <w:rFonts w:eastAsia="STKaiti"/>
          <w:sz w:val="24"/>
        </w:rPr>
      </w:pPr>
      <w:permStart w:id="1169560495" w:edGrp="everyone"/>
      <w:r>
        <w:rPr>
          <w:rFonts w:eastAsia="STKaiti"/>
          <w:sz w:val="24"/>
        </w:rPr>
        <w:t>The author works as a data analyst in a corporate-and-investment-banking division, where current responsibilities include building agentic and plugin-based analytics systems that let business and sales staff perform their own analyses. This provides direct, daily exposure to the problem the thesis studies - including the practical difficulty of benchmarking and comparing different agent configurations - together with working proficiency in Python and machine learning. This background supports both the engineering implementation and the practical relevance of the proposed benchmark. The proposal also builds on prior coursework in quantitative methods and data analytics within the MIB programme.</w:t>
      </w:r>
    </w:p>
    <w:permEnd w:id="1169560495"/>
    <w:p w14:paraId="5ACA1FEB" w14:textId="77777777" w:rsidR="009A7EAF" w:rsidRDefault="00DC5510">
      <w:pPr>
        <w:snapToGrid w:val="0"/>
        <w:spacing w:before="120"/>
        <w:rPr>
          <w:rFonts w:ascii="FangSong_GB2312" w:eastAsia="FangSong_GB2312"/>
          <w:b/>
          <w:sz w:val="24"/>
        </w:rPr>
      </w:pPr>
      <w:r>
        <w:rPr>
          <w:rFonts w:ascii="FangSong_GB2312" w:eastAsia="FangSong_GB2312" w:hint="eastAsia"/>
          <w:b/>
          <w:sz w:val="24"/>
        </w:rPr>
        <w:t>本人</w:t>
      </w:r>
      <w:r>
        <w:rPr>
          <w:rFonts w:ascii="FangSong_GB2312" w:eastAsia="FangSong_GB2312"/>
          <w:b/>
          <w:sz w:val="24"/>
        </w:rPr>
        <w:t>承诺：</w:t>
      </w:r>
      <w:r>
        <w:rPr>
          <w:rFonts w:ascii="FangSong_GB2312" w:eastAsia="FangSong_GB2312" w:hint="eastAsia"/>
          <w:b/>
          <w:sz w:val="24"/>
        </w:rPr>
        <w:t>开题报告中</w:t>
      </w:r>
      <w:r>
        <w:rPr>
          <w:rFonts w:ascii="FangSong_GB2312" w:eastAsia="FangSong_GB2312"/>
          <w:b/>
          <w:sz w:val="24"/>
        </w:rPr>
        <w:t>的内容</w:t>
      </w:r>
      <w:r>
        <w:rPr>
          <w:rFonts w:ascii="FangSong_GB2312" w:eastAsia="FangSong_GB2312" w:hint="eastAsia"/>
          <w:b/>
          <w:sz w:val="24"/>
        </w:rPr>
        <w:t>真实无误</w:t>
      </w:r>
      <w:r>
        <w:rPr>
          <w:rFonts w:ascii="FangSong_GB2312" w:eastAsia="FangSong_GB2312"/>
          <w:b/>
          <w:sz w:val="24"/>
        </w:rPr>
        <w:t>，若有不</w:t>
      </w:r>
      <w:r>
        <w:rPr>
          <w:rFonts w:ascii="FangSong_GB2312" w:eastAsia="FangSong_GB2312" w:hint="eastAsia"/>
          <w:b/>
          <w:sz w:val="24"/>
        </w:rPr>
        <w:t>实</w:t>
      </w:r>
      <w:r>
        <w:rPr>
          <w:rFonts w:ascii="FangSong_GB2312" w:eastAsia="FangSong_GB2312"/>
          <w:b/>
          <w:sz w:val="24"/>
        </w:rPr>
        <w:t>，愿承担相应的责任和后果。</w:t>
      </w:r>
      <w:bookmarkStart w:id="6" w:name="OLE_LINK23"/>
      <w:bookmarkStart w:id="7" w:name="OLE_LINK22"/>
      <w:r>
        <w:rPr>
          <w:rFonts w:eastAsia="FangSong_GB2312"/>
          <w:b/>
          <w:sz w:val="24"/>
        </w:rPr>
        <w:t xml:space="preserve">I </w:t>
      </w:r>
      <w:r>
        <w:rPr>
          <w:rFonts w:eastAsia="FangSong_GB2312" w:hint="eastAsia"/>
          <w:b/>
          <w:sz w:val="24"/>
        </w:rPr>
        <w:t xml:space="preserve">hereby </w:t>
      </w:r>
      <w:r>
        <w:rPr>
          <w:rFonts w:eastAsia="FangSong_GB2312"/>
          <w:b/>
          <w:sz w:val="24"/>
        </w:rPr>
        <w:t>declare and confirm that the details provided in this Form are valid and accurate.</w:t>
      </w:r>
      <w:bookmarkEnd w:id="6"/>
      <w:bookmarkEnd w:id="7"/>
      <w:r>
        <w:rPr>
          <w:rFonts w:eastAsia="FangSong_GB2312"/>
          <w:b/>
          <w:sz w:val="24"/>
        </w:rPr>
        <w:t xml:space="preserve"> </w:t>
      </w:r>
      <w:bookmarkStart w:id="8" w:name="OLE_LINK18"/>
      <w:bookmarkStart w:id="9" w:name="OLE_LINK19"/>
      <w:bookmarkStart w:id="10" w:name="OLE_LINK20"/>
      <w:bookmarkStart w:id="11" w:name="OLE_LINK21"/>
      <w:r>
        <w:rPr>
          <w:rFonts w:eastAsia="FangSong_GB2312"/>
          <w:b/>
          <w:sz w:val="24"/>
        </w:rPr>
        <w:t xml:space="preserve">If anything untruthful found, I will </w:t>
      </w:r>
      <w:r>
        <w:rPr>
          <w:rFonts w:eastAsia="FangSong_GB2312" w:hint="eastAsia"/>
          <w:b/>
          <w:sz w:val="24"/>
        </w:rPr>
        <w:t>bear</w:t>
      </w:r>
      <w:r>
        <w:rPr>
          <w:rFonts w:eastAsia="FangSong_GB2312"/>
          <w:b/>
          <w:sz w:val="24"/>
        </w:rPr>
        <w:t xml:space="preserve"> </w:t>
      </w:r>
      <w:r>
        <w:rPr>
          <w:rFonts w:eastAsia="FangSong_GB2312" w:hint="eastAsia"/>
          <w:b/>
          <w:sz w:val="24"/>
        </w:rPr>
        <w:t xml:space="preserve">the </w:t>
      </w:r>
      <w:r>
        <w:rPr>
          <w:rFonts w:eastAsia="FangSong_GB2312"/>
          <w:b/>
          <w:sz w:val="24"/>
        </w:rPr>
        <w:t xml:space="preserve">corresponding </w:t>
      </w:r>
      <w:r>
        <w:rPr>
          <w:rFonts w:eastAsia="FangSong_GB2312" w:hint="eastAsia"/>
          <w:b/>
          <w:sz w:val="24"/>
        </w:rPr>
        <w:t>liabilities</w:t>
      </w:r>
      <w:r>
        <w:rPr>
          <w:rFonts w:eastAsia="FangSong_GB2312"/>
          <w:b/>
          <w:sz w:val="24"/>
        </w:rPr>
        <w:t xml:space="preserve"> and consequences</w:t>
      </w:r>
      <w:bookmarkEnd w:id="8"/>
      <w:bookmarkEnd w:id="9"/>
      <w:r>
        <w:rPr>
          <w:rFonts w:eastAsia="FangSong_GB2312"/>
          <w:b/>
          <w:sz w:val="24"/>
        </w:rPr>
        <w:t>.</w:t>
      </w:r>
      <w:bookmarkEnd w:id="10"/>
      <w:bookmarkEnd w:id="11"/>
    </w:p>
    <w:p w14:paraId="17375CE8" w14:textId="77777777" w:rsidR="009A7EAF" w:rsidRDefault="009A7EAF">
      <w:pPr>
        <w:snapToGrid w:val="0"/>
        <w:spacing w:before="120"/>
        <w:rPr>
          <w:rFonts w:ascii="FangSong_GB2312" w:eastAsia="FangSong_GB2312"/>
          <w:b/>
          <w:sz w:val="24"/>
        </w:rPr>
      </w:pPr>
    </w:p>
    <w:p w14:paraId="41F3DE4A" w14:textId="342CFDE7" w:rsidR="009A7EAF" w:rsidRDefault="00DC5510">
      <w:pPr>
        <w:snapToGrid w:val="0"/>
        <w:spacing w:before="120"/>
        <w:rPr>
          <w:rFonts w:eastAsia="FangSong_GB2312"/>
          <w:b/>
          <w:sz w:val="24"/>
        </w:rPr>
      </w:pPr>
      <w:r>
        <w:rPr>
          <w:rFonts w:eastAsia="FangSong_GB2312"/>
          <w:b/>
          <w:sz w:val="24"/>
        </w:rPr>
        <w:t xml:space="preserve">学生签字/Signature of Student： </w:t>
      </w:r>
      <w:permStart w:id="1574509855" w:edGrp="everyone"/>
      <w:r>
        <w:rPr>
          <w:rFonts w:eastAsia="FangSong_GB2312"/>
          <w:b/>
          <w:sz w:val="24"/>
        </w:rPr>
        <w:t xml:space="preserve">             </w:t>
      </w:r>
      <w:permEnd w:id="1574509855"/>
      <w:r>
        <w:rPr>
          <w:rFonts w:eastAsia="FangSong_GB2312"/>
          <w:b/>
          <w:sz w:val="24"/>
        </w:rPr>
        <w:t xml:space="preserve"> 日期/Date：</w:t>
      </w:r>
      <w:permStart w:id="1603671240" w:edGrp="everyone"/>
      <w:r>
        <w:rPr>
          <w:rFonts w:eastAsia="FangSong_GB2312" w:hint="eastAsia"/>
          <w:b/>
          <w:sz w:val="24"/>
        </w:rPr>
        <w:t xml:space="preserve"> </w:t>
      </w:r>
      <w:r>
        <w:rPr>
          <w:rFonts w:eastAsia="FangSong_GB2312"/>
          <w:sz w:val="24"/>
        </w:rPr>
        <w:fldChar w:fldCharType="begin"/>
        <w:instrText xml:space="preserve"> DATE \@ "yyyy-MM-dd" </w:instrText>
        <w:fldChar w:fldCharType="separate"/>
      </w:r>
      <w:r>
        <w:rPr>
          <w:rFonts w:eastAsia="FangSong_GB2312"/>
          <w:noProof/>
          <w:sz w:val="24"/>
        </w:rPr>
        <w:t>2026-06-19</w:t>
      </w:r>
      <w:r>
        <w:rPr>
          <w:rFonts w:eastAsia="FangSong_GB2312"/>
          <w:sz w:val="24"/>
        </w:rPr>
        <w:fldChar w:fldCharType="end"/>
        <w:t xml:space="preserve"> </w:t>
      </w:r>
      <w:permEnd w:id="1603671240"/>
    </w:p>
    <w:sectPr w:rsidR="009A7EAF">
      <w:footerReference w:type="default" r:id="rId12"/>
      <w:footerReference w:type="first" r:id="rId13"/>
      <w:pgSz w:w="11906" w:h="16838"/>
      <w:pgMar w:top="1418" w:right="1588" w:bottom="1418" w:left="1588" w:header="851" w:footer="851"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66615A" w14:textId="77777777" w:rsidR="002D2C63" w:rsidRDefault="002D2C63">
      <w:r>
        <w:separator/>
      </w:r>
    </w:p>
  </w:endnote>
  <w:endnote w:type="continuationSeparator" w:id="0">
    <w:p w14:paraId="788D166C" w14:textId="77777777" w:rsidR="002D2C63" w:rsidRDefault="002D2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KaiTi"/>
    <w:panose1 w:val="020B0604020202020204"/>
    <w:charset w:val="86"/>
    <w:family w:val="modern"/>
    <w:pitch w:val="default"/>
    <w:sig w:usb0="00000000" w:usb1="00000000" w:usb2="00000010" w:usb3="00000000" w:csb0="00040000" w:csb1="00000000"/>
  </w:font>
  <w:font w:name="STFangsong">
    <w:altName w:val="华文仿宋"/>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Microsoft YaHei"/>
    <w:panose1 w:val="020B0604020202020204"/>
    <w:charset w:val="86"/>
    <w:family w:val="modern"/>
    <w:pitch w:val="default"/>
    <w:sig w:usb0="00000001" w:usb1="080E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STKaiti">
    <w:altName w:val="华文楷体"/>
    <w:panose1 w:val="02010600040101010101"/>
    <w:charset w:val="86"/>
    <w:family w:val="auto"/>
    <w:pitch w:val="variable"/>
    <w:sig w:usb0="80000287" w:usb1="280F3C52" w:usb2="00000016"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EDAC7" w14:textId="77777777" w:rsidR="009A7EAF" w:rsidRDefault="00DC55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FBBCD32" w14:textId="77777777" w:rsidR="009A7EAF" w:rsidRDefault="009A7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899447" w14:textId="77777777" w:rsidR="009A7EAF" w:rsidRDefault="009A7EA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63511" w14:textId="77777777" w:rsidR="009A7EAF" w:rsidRDefault="00DC5510">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FFB6A9" w14:textId="77777777" w:rsidR="009A7EAF" w:rsidRDefault="00DC5510">
    <w:pPr>
      <w:pStyle w:val="Footer"/>
      <w:jc w:val="center"/>
    </w:pPr>
    <w:r>
      <w:rPr>
        <w:b/>
        <w:bCs/>
      </w:rPr>
      <w:fldChar w:fldCharType="begin"/>
    </w:r>
    <w:r>
      <w:rPr>
        <w:b/>
        <w:bCs/>
      </w:rPr>
      <w:instrText>PAGE  \* Arabic  \* MERGEFORMAT</w:instrText>
    </w:r>
    <w:r>
      <w:rPr>
        <w:b/>
        <w:bCs/>
      </w:rPr>
      <w:fldChar w:fldCharType="separate"/>
    </w:r>
    <w:r>
      <w:rPr>
        <w:b/>
        <w:bCs/>
        <w:lang w:val="zh-CN"/>
      </w:rPr>
      <w:t>2</w:t>
    </w:r>
    <w:r>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70295F" w14:textId="77777777" w:rsidR="009A7EAF" w:rsidRDefault="00DC5510">
    <w:pPr>
      <w:pStyle w:val="Footer"/>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D901D8" w14:textId="77777777" w:rsidR="002D2C63" w:rsidRDefault="002D2C63">
      <w:r>
        <w:separator/>
      </w:r>
    </w:p>
  </w:footnote>
  <w:footnote w:type="continuationSeparator" w:id="0">
    <w:p w14:paraId="145C9BBD" w14:textId="77777777" w:rsidR="002D2C63" w:rsidRDefault="002D2C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E81871"/>
    <w:multiLevelType w:val="multilevel"/>
    <w:tmpl w:val="5FE81871"/>
    <w:lvl w:ilvl="0">
      <w:start w:val="1"/>
      <w:numFmt w:val="decimal"/>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D45FAC"/>
    <w:multiLevelType w:val="multilevel"/>
    <w:tmpl w:val="73D45F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B4A1088"/>
    <w:multiLevelType w:val="multilevel"/>
    <w:tmpl w:val="7B4A1088"/>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373731477">
    <w:abstractNumId w:val="1"/>
  </w:num>
  <w:num w:numId="2" w16cid:durableId="1658068967">
    <w:abstractNumId w:val="0"/>
  </w:num>
  <w:num w:numId="3" w16cid:durableId="76573496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hkM2Q4OGZkZmZjNTc4MDE3NTMxOTBkZDViMjA2NmEifQ=="/>
  </w:docVars>
  <w:rsids>
    <w:rsidRoot w:val="009B1129"/>
    <w:rsid w:val="00004747"/>
    <w:rsid w:val="00016786"/>
    <w:rsid w:val="00023C10"/>
    <w:rsid w:val="0002431A"/>
    <w:rsid w:val="000351C6"/>
    <w:rsid w:val="0004010B"/>
    <w:rsid w:val="00040831"/>
    <w:rsid w:val="00045026"/>
    <w:rsid w:val="000559E6"/>
    <w:rsid w:val="00060773"/>
    <w:rsid w:val="00060892"/>
    <w:rsid w:val="00060AAD"/>
    <w:rsid w:val="000828CA"/>
    <w:rsid w:val="00082BB5"/>
    <w:rsid w:val="0008580D"/>
    <w:rsid w:val="00087EB8"/>
    <w:rsid w:val="0009080F"/>
    <w:rsid w:val="0009356A"/>
    <w:rsid w:val="00094852"/>
    <w:rsid w:val="00095D36"/>
    <w:rsid w:val="000A271D"/>
    <w:rsid w:val="000B081C"/>
    <w:rsid w:val="000B41CA"/>
    <w:rsid w:val="000B556F"/>
    <w:rsid w:val="000C373D"/>
    <w:rsid w:val="000D11C7"/>
    <w:rsid w:val="000E201F"/>
    <w:rsid w:val="000E2D8F"/>
    <w:rsid w:val="000F4B73"/>
    <w:rsid w:val="000F59A8"/>
    <w:rsid w:val="000F6821"/>
    <w:rsid w:val="001007AB"/>
    <w:rsid w:val="001013DC"/>
    <w:rsid w:val="00104B3B"/>
    <w:rsid w:val="00105B80"/>
    <w:rsid w:val="0011124E"/>
    <w:rsid w:val="001326FF"/>
    <w:rsid w:val="0013523E"/>
    <w:rsid w:val="00143630"/>
    <w:rsid w:val="00144D49"/>
    <w:rsid w:val="00151B26"/>
    <w:rsid w:val="00153C40"/>
    <w:rsid w:val="001606D9"/>
    <w:rsid w:val="00170CAA"/>
    <w:rsid w:val="001823F8"/>
    <w:rsid w:val="00186391"/>
    <w:rsid w:val="001A2D52"/>
    <w:rsid w:val="001B2CC0"/>
    <w:rsid w:val="001C2CE5"/>
    <w:rsid w:val="001D0CCD"/>
    <w:rsid w:val="001D3230"/>
    <w:rsid w:val="00202981"/>
    <w:rsid w:val="002033F3"/>
    <w:rsid w:val="00206CD6"/>
    <w:rsid w:val="002136CF"/>
    <w:rsid w:val="00223EF9"/>
    <w:rsid w:val="00224023"/>
    <w:rsid w:val="00225D08"/>
    <w:rsid w:val="002338BF"/>
    <w:rsid w:val="0024294B"/>
    <w:rsid w:val="00253E61"/>
    <w:rsid w:val="002765BF"/>
    <w:rsid w:val="00281A24"/>
    <w:rsid w:val="00283412"/>
    <w:rsid w:val="00285C68"/>
    <w:rsid w:val="002A47F9"/>
    <w:rsid w:val="002B6911"/>
    <w:rsid w:val="002C345C"/>
    <w:rsid w:val="002D2C63"/>
    <w:rsid w:val="002D5C52"/>
    <w:rsid w:val="002D5F22"/>
    <w:rsid w:val="002E0571"/>
    <w:rsid w:val="002E0C2B"/>
    <w:rsid w:val="00300758"/>
    <w:rsid w:val="00310DF8"/>
    <w:rsid w:val="00330969"/>
    <w:rsid w:val="00337A91"/>
    <w:rsid w:val="00356F02"/>
    <w:rsid w:val="00372AA6"/>
    <w:rsid w:val="003948B7"/>
    <w:rsid w:val="003A0B48"/>
    <w:rsid w:val="003A3355"/>
    <w:rsid w:val="003A5837"/>
    <w:rsid w:val="003B0B7E"/>
    <w:rsid w:val="003B4BF0"/>
    <w:rsid w:val="003B5113"/>
    <w:rsid w:val="003C1395"/>
    <w:rsid w:val="003C30F8"/>
    <w:rsid w:val="003D2E65"/>
    <w:rsid w:val="003E2C0C"/>
    <w:rsid w:val="003E49AD"/>
    <w:rsid w:val="003E6CB4"/>
    <w:rsid w:val="003F0658"/>
    <w:rsid w:val="004011C2"/>
    <w:rsid w:val="00403ABE"/>
    <w:rsid w:val="00425654"/>
    <w:rsid w:val="00426E88"/>
    <w:rsid w:val="00443D9C"/>
    <w:rsid w:val="00451C99"/>
    <w:rsid w:val="0045597C"/>
    <w:rsid w:val="00455F9E"/>
    <w:rsid w:val="00457F89"/>
    <w:rsid w:val="0046791D"/>
    <w:rsid w:val="00467E1F"/>
    <w:rsid w:val="0047071D"/>
    <w:rsid w:val="00471C38"/>
    <w:rsid w:val="004810A3"/>
    <w:rsid w:val="00482F63"/>
    <w:rsid w:val="004862BE"/>
    <w:rsid w:val="00491BA2"/>
    <w:rsid w:val="00493F0A"/>
    <w:rsid w:val="004942BC"/>
    <w:rsid w:val="004B35BD"/>
    <w:rsid w:val="004B5AD7"/>
    <w:rsid w:val="004C42B2"/>
    <w:rsid w:val="004D1A61"/>
    <w:rsid w:val="004D2790"/>
    <w:rsid w:val="004D5DA8"/>
    <w:rsid w:val="004D7214"/>
    <w:rsid w:val="004E5218"/>
    <w:rsid w:val="004F4F40"/>
    <w:rsid w:val="00511CE8"/>
    <w:rsid w:val="00512368"/>
    <w:rsid w:val="00520425"/>
    <w:rsid w:val="00523324"/>
    <w:rsid w:val="005301E1"/>
    <w:rsid w:val="00530C01"/>
    <w:rsid w:val="00540E55"/>
    <w:rsid w:val="00546E0F"/>
    <w:rsid w:val="005520DF"/>
    <w:rsid w:val="00552B95"/>
    <w:rsid w:val="0055587C"/>
    <w:rsid w:val="00571A6D"/>
    <w:rsid w:val="005762ED"/>
    <w:rsid w:val="00577ADB"/>
    <w:rsid w:val="005868BD"/>
    <w:rsid w:val="00596283"/>
    <w:rsid w:val="00596722"/>
    <w:rsid w:val="005A49B0"/>
    <w:rsid w:val="005C5688"/>
    <w:rsid w:val="005D0533"/>
    <w:rsid w:val="005D1BBA"/>
    <w:rsid w:val="005D714C"/>
    <w:rsid w:val="005F2D7C"/>
    <w:rsid w:val="00615C20"/>
    <w:rsid w:val="006246E9"/>
    <w:rsid w:val="006249AF"/>
    <w:rsid w:val="0063033D"/>
    <w:rsid w:val="00631653"/>
    <w:rsid w:val="00641940"/>
    <w:rsid w:val="00654BC4"/>
    <w:rsid w:val="006571CC"/>
    <w:rsid w:val="00677481"/>
    <w:rsid w:val="00687079"/>
    <w:rsid w:val="00693B58"/>
    <w:rsid w:val="00693BB0"/>
    <w:rsid w:val="006A6B81"/>
    <w:rsid w:val="006B4E54"/>
    <w:rsid w:val="006B7B46"/>
    <w:rsid w:val="006B7E2B"/>
    <w:rsid w:val="006C3E2F"/>
    <w:rsid w:val="006D2633"/>
    <w:rsid w:val="006D2937"/>
    <w:rsid w:val="006F4949"/>
    <w:rsid w:val="00705FD7"/>
    <w:rsid w:val="00714BA9"/>
    <w:rsid w:val="0073395F"/>
    <w:rsid w:val="00734C83"/>
    <w:rsid w:val="00744C9E"/>
    <w:rsid w:val="00770241"/>
    <w:rsid w:val="00771B3D"/>
    <w:rsid w:val="00774FF8"/>
    <w:rsid w:val="00776F14"/>
    <w:rsid w:val="007C0D28"/>
    <w:rsid w:val="007C2A68"/>
    <w:rsid w:val="007D53A5"/>
    <w:rsid w:val="007E4FF9"/>
    <w:rsid w:val="007F141D"/>
    <w:rsid w:val="007F15CE"/>
    <w:rsid w:val="007F52D9"/>
    <w:rsid w:val="008001C8"/>
    <w:rsid w:val="008010BD"/>
    <w:rsid w:val="00802F48"/>
    <w:rsid w:val="008151AD"/>
    <w:rsid w:val="00815E9A"/>
    <w:rsid w:val="00827F44"/>
    <w:rsid w:val="00835D87"/>
    <w:rsid w:val="00836975"/>
    <w:rsid w:val="00844780"/>
    <w:rsid w:val="00847D47"/>
    <w:rsid w:val="008515A4"/>
    <w:rsid w:val="00857A4D"/>
    <w:rsid w:val="008672F1"/>
    <w:rsid w:val="00872CFC"/>
    <w:rsid w:val="00872FD0"/>
    <w:rsid w:val="008731D1"/>
    <w:rsid w:val="008804C8"/>
    <w:rsid w:val="008818F7"/>
    <w:rsid w:val="008B5C0F"/>
    <w:rsid w:val="008C47ED"/>
    <w:rsid w:val="008D114F"/>
    <w:rsid w:val="008D1AA1"/>
    <w:rsid w:val="008D3B3C"/>
    <w:rsid w:val="008D77FA"/>
    <w:rsid w:val="008E1640"/>
    <w:rsid w:val="008F15F9"/>
    <w:rsid w:val="00901053"/>
    <w:rsid w:val="009022EE"/>
    <w:rsid w:val="00906F6B"/>
    <w:rsid w:val="00907F22"/>
    <w:rsid w:val="009106E5"/>
    <w:rsid w:val="00911F43"/>
    <w:rsid w:val="00915BFB"/>
    <w:rsid w:val="00936B61"/>
    <w:rsid w:val="00936C68"/>
    <w:rsid w:val="00945A3F"/>
    <w:rsid w:val="00985400"/>
    <w:rsid w:val="00996DEC"/>
    <w:rsid w:val="00997F23"/>
    <w:rsid w:val="009A3A5D"/>
    <w:rsid w:val="009A5308"/>
    <w:rsid w:val="009A7EAF"/>
    <w:rsid w:val="009B1129"/>
    <w:rsid w:val="009B3C39"/>
    <w:rsid w:val="009D3E86"/>
    <w:rsid w:val="009D5FE9"/>
    <w:rsid w:val="009D6659"/>
    <w:rsid w:val="009F5A0F"/>
    <w:rsid w:val="00A071DA"/>
    <w:rsid w:val="00A20EFC"/>
    <w:rsid w:val="00A227EF"/>
    <w:rsid w:val="00A24BFC"/>
    <w:rsid w:val="00A3384C"/>
    <w:rsid w:val="00A47BBE"/>
    <w:rsid w:val="00A54A69"/>
    <w:rsid w:val="00A743DD"/>
    <w:rsid w:val="00A76D96"/>
    <w:rsid w:val="00A77AEB"/>
    <w:rsid w:val="00A77EE2"/>
    <w:rsid w:val="00A8151D"/>
    <w:rsid w:val="00A860C9"/>
    <w:rsid w:val="00A9064B"/>
    <w:rsid w:val="00AA3996"/>
    <w:rsid w:val="00AB26D0"/>
    <w:rsid w:val="00AB4B37"/>
    <w:rsid w:val="00AC43DC"/>
    <w:rsid w:val="00AC7A47"/>
    <w:rsid w:val="00AD1341"/>
    <w:rsid w:val="00AD1D55"/>
    <w:rsid w:val="00AD3A46"/>
    <w:rsid w:val="00AD6FF7"/>
    <w:rsid w:val="00AF2F00"/>
    <w:rsid w:val="00AF37F9"/>
    <w:rsid w:val="00AF517A"/>
    <w:rsid w:val="00B0524A"/>
    <w:rsid w:val="00B10E5D"/>
    <w:rsid w:val="00B121A6"/>
    <w:rsid w:val="00B1240E"/>
    <w:rsid w:val="00B21327"/>
    <w:rsid w:val="00B23EC1"/>
    <w:rsid w:val="00B324E4"/>
    <w:rsid w:val="00B4325F"/>
    <w:rsid w:val="00B56515"/>
    <w:rsid w:val="00B6027D"/>
    <w:rsid w:val="00B6411E"/>
    <w:rsid w:val="00B64204"/>
    <w:rsid w:val="00B6583F"/>
    <w:rsid w:val="00B730AC"/>
    <w:rsid w:val="00B73946"/>
    <w:rsid w:val="00B86BEF"/>
    <w:rsid w:val="00B924AC"/>
    <w:rsid w:val="00B93973"/>
    <w:rsid w:val="00B95697"/>
    <w:rsid w:val="00BB2478"/>
    <w:rsid w:val="00BB27DA"/>
    <w:rsid w:val="00BB39E8"/>
    <w:rsid w:val="00BB44E9"/>
    <w:rsid w:val="00BD236C"/>
    <w:rsid w:val="00BE2750"/>
    <w:rsid w:val="00BE40D1"/>
    <w:rsid w:val="00BE5F48"/>
    <w:rsid w:val="00BE78EB"/>
    <w:rsid w:val="00BF5358"/>
    <w:rsid w:val="00BF53DC"/>
    <w:rsid w:val="00BF610A"/>
    <w:rsid w:val="00BF66BB"/>
    <w:rsid w:val="00BF6AA8"/>
    <w:rsid w:val="00C03625"/>
    <w:rsid w:val="00C11A43"/>
    <w:rsid w:val="00C12313"/>
    <w:rsid w:val="00C22DEA"/>
    <w:rsid w:val="00C27CFD"/>
    <w:rsid w:val="00C32EE0"/>
    <w:rsid w:val="00C33D28"/>
    <w:rsid w:val="00C35BB3"/>
    <w:rsid w:val="00C52E4E"/>
    <w:rsid w:val="00C56169"/>
    <w:rsid w:val="00C5714E"/>
    <w:rsid w:val="00C71544"/>
    <w:rsid w:val="00C77A8D"/>
    <w:rsid w:val="00C83935"/>
    <w:rsid w:val="00C84A1C"/>
    <w:rsid w:val="00C90C97"/>
    <w:rsid w:val="00CA36F5"/>
    <w:rsid w:val="00CA409D"/>
    <w:rsid w:val="00CC75B7"/>
    <w:rsid w:val="00CC775A"/>
    <w:rsid w:val="00CD26CF"/>
    <w:rsid w:val="00CD35C7"/>
    <w:rsid w:val="00CD63BF"/>
    <w:rsid w:val="00CE5AD6"/>
    <w:rsid w:val="00CE6A58"/>
    <w:rsid w:val="00D2413D"/>
    <w:rsid w:val="00D2414E"/>
    <w:rsid w:val="00D25DBF"/>
    <w:rsid w:val="00D32705"/>
    <w:rsid w:val="00D35DFE"/>
    <w:rsid w:val="00D37599"/>
    <w:rsid w:val="00D376CD"/>
    <w:rsid w:val="00D41F33"/>
    <w:rsid w:val="00D41F4C"/>
    <w:rsid w:val="00D43DDB"/>
    <w:rsid w:val="00D44B01"/>
    <w:rsid w:val="00D62C3F"/>
    <w:rsid w:val="00D63BEF"/>
    <w:rsid w:val="00D7142E"/>
    <w:rsid w:val="00D740A7"/>
    <w:rsid w:val="00D87D37"/>
    <w:rsid w:val="00D9261A"/>
    <w:rsid w:val="00D94902"/>
    <w:rsid w:val="00DA17DE"/>
    <w:rsid w:val="00DA53E4"/>
    <w:rsid w:val="00DC2DCD"/>
    <w:rsid w:val="00DC3553"/>
    <w:rsid w:val="00DC5510"/>
    <w:rsid w:val="00DE2BC2"/>
    <w:rsid w:val="00DE74CB"/>
    <w:rsid w:val="00E035BC"/>
    <w:rsid w:val="00E03E28"/>
    <w:rsid w:val="00E0797D"/>
    <w:rsid w:val="00E15A63"/>
    <w:rsid w:val="00E215CB"/>
    <w:rsid w:val="00E22FF6"/>
    <w:rsid w:val="00E32F01"/>
    <w:rsid w:val="00E41690"/>
    <w:rsid w:val="00E60439"/>
    <w:rsid w:val="00E613BB"/>
    <w:rsid w:val="00E65C58"/>
    <w:rsid w:val="00E66B7D"/>
    <w:rsid w:val="00E746C6"/>
    <w:rsid w:val="00E76BCA"/>
    <w:rsid w:val="00E81417"/>
    <w:rsid w:val="00E81E50"/>
    <w:rsid w:val="00E8501F"/>
    <w:rsid w:val="00E8669D"/>
    <w:rsid w:val="00EC0474"/>
    <w:rsid w:val="00EC35FF"/>
    <w:rsid w:val="00EE3E40"/>
    <w:rsid w:val="00EF0DBB"/>
    <w:rsid w:val="00EF6D6B"/>
    <w:rsid w:val="00F00878"/>
    <w:rsid w:val="00F113A7"/>
    <w:rsid w:val="00F146F8"/>
    <w:rsid w:val="00F275C7"/>
    <w:rsid w:val="00F33FD0"/>
    <w:rsid w:val="00F351A9"/>
    <w:rsid w:val="00F40004"/>
    <w:rsid w:val="00F52F0A"/>
    <w:rsid w:val="00F74B6A"/>
    <w:rsid w:val="00F77C82"/>
    <w:rsid w:val="00FB3464"/>
    <w:rsid w:val="00FB3ADE"/>
    <w:rsid w:val="00FB4A89"/>
    <w:rsid w:val="00FD3782"/>
    <w:rsid w:val="00FE551C"/>
    <w:rsid w:val="7D7C4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764F03"/>
  <w15:docId w15:val="{B836275D-7F2E-4880-95C8-1A115631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Block Text"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pPr>
      <w:jc w:val="left"/>
    </w:pPr>
  </w:style>
  <w:style w:type="paragraph" w:styleId="BlockText">
    <w:name w:val="Block Text"/>
    <w:basedOn w:val="Normal"/>
    <w:qFormat/>
    <w:pPr>
      <w:ind w:left="600" w:right="631" w:firstLine="460"/>
    </w:pPr>
    <w:rPr>
      <w:sz w:val="24"/>
    </w:rPr>
  </w:style>
  <w:style w:type="paragraph" w:styleId="BalloonText">
    <w:name w:val="Balloon Text"/>
    <w:basedOn w:val="Normal"/>
    <w:link w:val="BalloonTextChar"/>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pPr>
      <w:pBdr>
        <w:bottom w:val="single" w:sz="6" w:space="1" w:color="auto"/>
      </w:pBdr>
      <w:tabs>
        <w:tab w:val="center" w:pos="4153"/>
        <w:tab w:val="right" w:pos="8306"/>
      </w:tabs>
      <w:snapToGrid w:val="0"/>
      <w:jc w:val="center"/>
    </w:pPr>
    <w:rPr>
      <w:sz w:val="18"/>
    </w:rPr>
  </w:style>
  <w:style w:type="paragraph" w:styleId="CommentSubject">
    <w:name w:val="annotation subject"/>
    <w:basedOn w:val="CommentText"/>
    <w:next w:val="CommentText"/>
    <w:link w:val="CommentSubjectChar"/>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character" w:styleId="Hyperlink">
    <w:name w:val="Hyperlink"/>
    <w:rPr>
      <w:color w:val="0000FF"/>
      <w:u w:val="single"/>
    </w:rPr>
  </w:style>
  <w:style w:type="character" w:styleId="CommentReference">
    <w:name w:val="annotation reference"/>
    <w:rPr>
      <w:sz w:val="21"/>
      <w:szCs w:val="21"/>
    </w:rPr>
  </w:style>
  <w:style w:type="character" w:customStyle="1" w:styleId="CommentTextChar">
    <w:name w:val="Comment Text Char"/>
    <w:link w:val="CommentText"/>
    <w:rPr>
      <w:kern w:val="2"/>
      <w:sz w:val="21"/>
    </w:rPr>
  </w:style>
  <w:style w:type="character" w:customStyle="1" w:styleId="CommentSubjectChar">
    <w:name w:val="Comment Subject Char"/>
    <w:link w:val="CommentSubject"/>
    <w:rPr>
      <w:b/>
      <w:bCs/>
      <w:kern w:val="2"/>
      <w:sz w:val="21"/>
    </w:rPr>
  </w:style>
  <w:style w:type="character" w:customStyle="1" w:styleId="BalloonTextChar">
    <w:name w:val="Balloon Text Char"/>
    <w:link w:val="BalloonText"/>
    <w:qFormat/>
    <w:rPr>
      <w:kern w:val="2"/>
      <w:sz w:val="18"/>
      <w:szCs w:val="18"/>
    </w:rPr>
  </w:style>
  <w:style w:type="paragraph" w:customStyle="1" w:styleId="1">
    <w:name w:val="修订1"/>
    <w:hidden/>
    <w:uiPriority w:val="99"/>
    <w:semiHidden/>
    <w:rPr>
      <w:kern w:val="2"/>
      <w:sz w:val="21"/>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081868575"/>
        <w:category>
          <w:name w:val="常规"/>
          <w:gallery w:val="placeholder"/>
        </w:category>
        <w:types>
          <w:type w:val="bbPlcHdr"/>
        </w:types>
        <w:behaviors>
          <w:behavior w:val="content"/>
        </w:behaviors>
        <w:guid w:val="{78F97715-55B8-409B-9D36-D3EDCF754A0C}"/>
      </w:docPartPr>
      <w:docPartBody>
        <w:p w:rsidR="001931F9" w:rsidRDefault="004A4DE0">
          <w:r>
            <w:rPr>
              <w:rStyle w:val="PlaceholderText"/>
              <w:rFonts w:hint="eastAsia"/>
            </w:rPr>
            <w:t>选择一项。</w:t>
          </w:r>
        </w:p>
      </w:docPartBody>
    </w:docPart>
    <w:docPart>
      <w:docPartPr>
        <w:name w:val="92FF123C7D9343D4908226538DDC15EF"/>
        <w:category>
          <w:name w:val="常规"/>
          <w:gallery w:val="placeholder"/>
        </w:category>
        <w:types>
          <w:type w:val="bbPlcHdr"/>
        </w:types>
        <w:behaviors>
          <w:behavior w:val="content"/>
        </w:behaviors>
        <w:guid w:val="{3A94D0A7-C6F5-4EF1-B788-E86217411C95}"/>
      </w:docPartPr>
      <w:docPartBody>
        <w:p w:rsidR="001931F9" w:rsidRDefault="004A4DE0">
          <w:pPr>
            <w:pStyle w:val="92FF123C7D9343D4908226538DDC15EF"/>
          </w:pPr>
          <w:r>
            <w:rPr>
              <w:rStyle w:val="PlaceholderText"/>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KaiTi"/>
    <w:panose1 w:val="020B0604020202020204"/>
    <w:charset w:val="86"/>
    <w:family w:val="modern"/>
    <w:pitch w:val="default"/>
    <w:sig w:usb0="00000000" w:usb1="00000000" w:usb2="00000010" w:usb3="00000000" w:csb0="00040000" w:csb1="00000000"/>
  </w:font>
  <w:font w:name="STFangsong">
    <w:altName w:val="华文仿宋"/>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Microsoft YaHei"/>
    <w:panose1 w:val="020B0604020202020204"/>
    <w:charset w:val="86"/>
    <w:family w:val="modern"/>
    <w:pitch w:val="default"/>
    <w:sig w:usb0="00000001" w:usb1="080E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STKaiti">
    <w:altName w:val="华文楷体"/>
    <w:panose1 w:val="02010600040101010101"/>
    <w:charset w:val="86"/>
    <w:family w:val="auto"/>
    <w:pitch w:val="variable"/>
    <w:sig w:usb0="80000287" w:usb1="280F3C52" w:usb2="00000016" w:usb3="00000000" w:csb0="0004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880"/>
    <w:rsid w:val="000D47E8"/>
    <w:rsid w:val="001931F9"/>
    <w:rsid w:val="00202981"/>
    <w:rsid w:val="003D4624"/>
    <w:rsid w:val="004A4DE0"/>
    <w:rsid w:val="00546E28"/>
    <w:rsid w:val="00676425"/>
    <w:rsid w:val="006871FD"/>
    <w:rsid w:val="006E343A"/>
    <w:rsid w:val="008363FA"/>
    <w:rsid w:val="008F6474"/>
    <w:rsid w:val="00981CDF"/>
    <w:rsid w:val="009825B2"/>
    <w:rsid w:val="00B60880"/>
    <w:rsid w:val="00C02D8A"/>
    <w:rsid w:val="00D93406"/>
    <w:rsid w:val="00DE471C"/>
    <w:rsid w:val="00DE6A99"/>
    <w:rsid w:val="00F43B92"/>
    <w:rsid w:val="00F56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 w:type="paragraph" w:customStyle="1" w:styleId="92FF123C7D9343D4908226538DDC15EF">
    <w:name w:val="92FF123C7D9343D4908226538DDC15EF"/>
    <w:qFormat/>
    <w:pPr>
      <w:widowControl w:val="0"/>
      <w:jc w:val="both"/>
    </w:pPr>
    <w:rPr>
      <w:rFonts w:ascii="Times New Roman" w:eastAsia="SimSun" w:hAnsi="Times New Roman" w:cs="Times New Roman"/>
      <w:kern w:val="2"/>
      <w:sz w:val="21"/>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18D08F07-1F73-4D76-86B2-A17011837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2463</Words>
  <Characters>14044</Characters>
  <Application>Microsoft Office Word</Application>
  <DocSecurity>0</DocSecurity>
  <Lines>117</Lines>
  <Paragraphs>32</Paragraphs>
  <ScaleCrop>false</ScaleCrop>
  <Company>上海交通大学研究生院</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学科代码</dc:title>
  <dc:creator>hc</dc:creator>
  <cp:lastModifiedBy>Mikhail Dushkin</cp:lastModifiedBy>
  <cp:revision>3</cp:revision>
  <cp:lastPrinted>2026-06-19T07:45:00Z</cp:lastPrinted>
  <dcterms:created xsi:type="dcterms:W3CDTF">2026-06-19T07:45:00Z</dcterms:created>
  <dcterms:modified xsi:type="dcterms:W3CDTF">2026-06-19T07:49:00Z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922BEB2049994B4CBE4AE1EE8DDCE994_13</vt:lpwstr>
  </property>
</Properties>
</file>