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80091" w14:textId="77777777" w:rsidR="00F53AA8" w:rsidRDefault="00000000">
      <w:pPr>
        <w:jc w:val="center"/>
      </w:pPr>
      <w:r>
        <w:rPr>
          <w:noProof/>
        </w:rPr>
        <w:drawing>
          <wp:inline distT="0" distB="0" distL="0" distR="0" wp14:anchorId="24562231" wp14:editId="176A8832">
            <wp:extent cx="3597275" cy="2527300"/>
            <wp:effectExtent l="0" t="0" r="0" b="0"/>
            <wp:docPr id="1" name="图片 1" descr="校标-标志中英文上下组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校标-标志中英文上下组合"/>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597275" cy="2527300"/>
                    </a:xfrm>
                    <a:prstGeom prst="rect">
                      <a:avLst/>
                    </a:prstGeom>
                    <a:noFill/>
                    <a:ln>
                      <a:noFill/>
                    </a:ln>
                  </pic:spPr>
                </pic:pic>
              </a:graphicData>
            </a:graphic>
          </wp:inline>
        </w:drawing>
      </w:r>
    </w:p>
    <w:p w14:paraId="081AB2A4" w14:textId="77777777" w:rsidR="00F53AA8" w:rsidRDefault="00000000">
      <w:pPr>
        <w:jc w:val="center"/>
        <w:rPr>
          <w:rFonts w:ascii="宋体"/>
          <w:b/>
          <w:sz w:val="52"/>
          <w:szCs w:val="52"/>
        </w:rPr>
      </w:pPr>
      <w:r>
        <w:rPr>
          <w:rFonts w:ascii="宋体" w:hint="eastAsia"/>
          <w:b/>
          <w:sz w:val="52"/>
          <w:szCs w:val="52"/>
        </w:rPr>
        <w:t>研究生学位论文开题报告</w:t>
      </w:r>
    </w:p>
    <w:p w14:paraId="0343E9A4" w14:textId="77777777" w:rsidR="00F53AA8" w:rsidRDefault="00000000">
      <w:pPr>
        <w:jc w:val="center"/>
        <w:rPr>
          <w:b/>
          <w:sz w:val="30"/>
          <w:szCs w:val="30"/>
        </w:rPr>
      </w:pPr>
      <w:r>
        <w:rPr>
          <w:b/>
          <w:sz w:val="30"/>
          <w:szCs w:val="30"/>
        </w:rPr>
        <w:t>Graduate Thesis/Dissertation Proposal</w:t>
      </w:r>
    </w:p>
    <w:p w14:paraId="5F66E48F" w14:textId="77777777" w:rsidR="00F53AA8" w:rsidRDefault="00F53AA8">
      <w:pPr>
        <w:jc w:val="center"/>
        <w:rPr>
          <w:b/>
          <w:sz w:val="4"/>
          <w:szCs w:val="30"/>
        </w:rPr>
        <w:spacing w:before="0" w:after="0" w:line="40" w:lineRule="exact"/>
      </w:pPr>
    </w:p>
    <w:tbl>
      <w:tblPr>
        <w:tblW w:w="8505" w:type="dxa"/>
        <w:jc w:val="center"/>
        <w:tblLayout w:type="fixed"/>
        <w:tblCellMar>
          <w:left w:w="56" w:type="dxa"/>
          <w:right w:w="56" w:type="dxa"/>
        </w:tblCellMar>
        <w:tblLook w:val="04A0" w:firstRow="1" w:lastRow="0" w:firstColumn="1" w:lastColumn="0" w:noHBand="0" w:noVBand="1"/>
      </w:tblPr>
      <w:tblGrid>
        <w:gridCol w:w="3149"/>
        <w:gridCol w:w="5356"/>
      </w:tblGrid>
      <w:tr w:rsidR="00F53AA8" w14:paraId="0CC7EBE6" w14:textId="77777777">
        <w:trPr>
          <w:jc w:val="center"/>
        </w:trPr>
        <w:tc>
          <w:tcPr>
            <w:tcW w:w="3149" w:type="dxa"/>
            <w:vAlign w:val="center"/>
          </w:tcPr>
          <w:p w14:paraId="095B33B2" w14:textId="77777777" w:rsidR="00F53AA8" w:rsidRDefault="00000000">
            <w:pPr>
              <w:spacing w:before="120" w:after="120"/>
              <w:jc w:val="left"/>
              <w:rPr>
                <w:rFonts w:eastAsia="楷体_GB2312"/>
                <w:b/>
                <w:sz w:val="28"/>
                <w:szCs w:val="28"/>
              </w:rPr>
            </w:pPr>
            <w:permStart w:id="491548339" w:edGrp="everyone" w:colFirst="1" w:colLast="1"/>
            <w:r>
              <w:rPr>
                <w:rFonts w:eastAsia="楷体_GB2312" w:hint="eastAsia"/>
                <w:b/>
                <w:sz w:val="28"/>
                <w:szCs w:val="28"/>
              </w:rPr>
              <w:t>学号</w:t>
            </w:r>
            <w:r>
              <w:rPr>
                <w:rFonts w:eastAsia="楷体_GB2312"/>
                <w:b/>
                <w:sz w:val="28"/>
                <w:szCs w:val="28"/>
              </w:rPr>
              <w:t xml:space="preserve"> </w:t>
            </w:r>
            <w:r>
              <w:rPr>
                <w:rFonts w:eastAsia="楷体_GB2312" w:hint="eastAsia"/>
                <w:b/>
                <w:sz w:val="24"/>
                <w:szCs w:val="24"/>
              </w:rPr>
              <w:t xml:space="preserve">Student </w:t>
            </w:r>
            <w:r>
              <w:rPr>
                <w:rFonts w:eastAsia="楷体_GB2312"/>
                <w:b/>
                <w:sz w:val="24"/>
                <w:szCs w:val="24"/>
              </w:rPr>
              <w:t>ID</w:t>
            </w:r>
          </w:p>
        </w:tc>
        <w:tc>
          <w:tcPr>
            <w:tcW w:w="5356" w:type="dxa"/>
            <w:tcBorders>
              <w:bottom w:val="single" w:sz="4" w:space="0" w:color="auto"/>
            </w:tcBorders>
            <w:vAlign w:val="center"/>
          </w:tcPr>
          <w:p w14:paraId="0ADAF3CE" w14:textId="77777777" w:rsidR="00F53AA8" w:rsidRDefault="00F53AA8">
            <w:pPr>
              <w:rPr>
                <w:rFonts w:eastAsia="华文仿宋"/>
                <w:sz w:val="24"/>
                <w:szCs w:val="24"/>
              </w:rPr>
              <w:spacing w:before="0" w:after="0" w:line="300" w:lineRule="auto"/>
              <w:jc w:val="left"/>
            </w:pPr>
            <w:r>
              <w:rPr>
                <w:rFonts w:ascii="Times New Roman" w:hAnsi="Times New Roman" w:eastAsia="华文楷体"/>
                <w:sz w:val="24"/>
                <w:color w:val="000000"/>
                <w:lang w:val="en-US"/>
              </w:rPr>
              <w:t xml:space="preserve">125120990077</w:t>
            </w:r>
          </w:p>
        </w:tc>
      </w:tr>
      <w:tr w:rsidR="00F53AA8" w14:paraId="46B8AC86" w14:textId="77777777">
        <w:trPr>
          <w:jc w:val="center"/>
        </w:trPr>
        <w:tc>
          <w:tcPr>
            <w:tcW w:w="3149" w:type="dxa"/>
            <w:vAlign w:val="center"/>
          </w:tcPr>
          <w:p w14:paraId="6CB183A9" w14:textId="77777777" w:rsidR="00F53AA8" w:rsidRDefault="00000000">
            <w:pPr>
              <w:spacing w:before="120" w:after="120"/>
              <w:jc w:val="left"/>
              <w:rPr>
                <w:rFonts w:eastAsia="楷体_GB2312"/>
                <w:b/>
                <w:sz w:val="28"/>
                <w:szCs w:val="28"/>
              </w:rPr>
            </w:pPr>
            <w:permStart w:id="350231110" w:edGrp="everyone" w:colFirst="1" w:colLast="1"/>
            <w:permEnd w:id="491548339"/>
            <w:r>
              <w:rPr>
                <w:rFonts w:eastAsia="楷体_GB2312" w:hint="eastAsia"/>
                <w:b/>
                <w:sz w:val="28"/>
                <w:szCs w:val="28"/>
              </w:rPr>
              <w:t>姓名</w:t>
            </w:r>
            <w:r>
              <w:rPr>
                <w:rFonts w:eastAsia="楷体_GB2312"/>
                <w:b/>
                <w:sz w:val="24"/>
                <w:szCs w:val="24"/>
              </w:rPr>
              <w:t xml:space="preserve"> Name</w:t>
            </w:r>
          </w:p>
        </w:tc>
        <w:tc>
          <w:tcPr>
            <w:tcW w:w="5356" w:type="dxa"/>
            <w:tcBorders>
              <w:top w:val="single" w:sz="4" w:space="0" w:color="auto"/>
              <w:bottom w:val="single" w:sz="4" w:space="0" w:color="auto"/>
            </w:tcBorders>
            <w:vAlign w:val="center"/>
          </w:tcPr>
          <w:p w14:paraId="7114D191" w14:textId="77777777" w:rsidR="00F53AA8" w:rsidRDefault="00F53AA8">
            <w:pPr>
              <w:rPr>
                <w:rFonts w:eastAsia="华文仿宋"/>
                <w:sz w:val="24"/>
                <w:szCs w:val="24"/>
              </w:rPr>
              <w:spacing w:before="0" w:after="0" w:line="300" w:lineRule="auto"/>
              <w:jc w:val="left"/>
            </w:pPr>
            <w:r>
              <w:rPr>
                <w:rFonts w:ascii="Times New Roman" w:hAnsi="Times New Roman" w:eastAsia="华文楷体"/>
                <w:sz w:val="24"/>
                <w:color w:val="000000"/>
                <w:lang w:val="en-US"/>
              </w:rPr>
              <w:t xml:space="preserve">Mikhail Dushkin</w:t>
            </w:r>
          </w:p>
        </w:tc>
      </w:tr>
      <w:permEnd w:id="350231110"/>
      <w:tr w:rsidR="00F53AA8" w14:paraId="20252176" w14:textId="77777777">
        <w:trPr>
          <w:jc w:val="center"/>
        </w:trPr>
        <w:tc>
          <w:tcPr>
            <w:tcW w:w="3149" w:type="dxa"/>
            <w:vAlign w:val="center"/>
          </w:tcPr>
          <w:p w14:paraId="35BF6C78" w14:textId="77777777" w:rsidR="00F53AA8" w:rsidRDefault="00000000">
            <w:pPr>
              <w:spacing w:before="120" w:after="120"/>
              <w:jc w:val="left"/>
              <w:rPr>
                <w:rFonts w:eastAsia="楷体_GB2312"/>
                <w:b/>
                <w:sz w:val="28"/>
                <w:szCs w:val="28"/>
              </w:rPr>
            </w:pPr>
            <w:r>
              <w:rPr>
                <w:rFonts w:eastAsia="楷体_GB2312" w:hint="eastAsia"/>
                <w:b/>
                <w:sz w:val="28"/>
                <w:szCs w:val="28"/>
              </w:rPr>
              <w:t>学生类别</w:t>
            </w:r>
            <w:r>
              <w:rPr>
                <w:rFonts w:eastAsia="楷体_GB2312" w:hint="eastAsia"/>
                <w:b/>
                <w:sz w:val="28"/>
                <w:szCs w:val="28"/>
              </w:rPr>
              <w:t xml:space="preserve"> </w:t>
            </w:r>
            <w:r>
              <w:rPr>
                <w:rFonts w:eastAsia="楷体_GB2312"/>
                <w:b/>
                <w:sz w:val="24"/>
                <w:szCs w:val="24"/>
              </w:rPr>
              <w:t>Degree Program</w:t>
            </w:r>
          </w:p>
        </w:tc>
        <w:tc>
          <w:tcPr>
            <w:tcW w:w="5356" w:type="dxa"/>
            <w:tcBorders>
              <w:top w:val="single" w:sz="4" w:space="0" w:color="auto"/>
              <w:bottom w:val="single" w:sz="4" w:space="0" w:color="auto"/>
            </w:tcBorders>
            <w:vAlign w:val="center"/>
          </w:tcPr>
          <w:p w14:paraId="0BB0FEA1" w14:textId="77777777" w:rsidR="00F53AA8" w:rsidRDefault="00000000">
            <w:pPr>
              <w:jc w:val="left"/>
              <w:rPr>
                <w:rFonts w:eastAsia="华文仿宋"/>
                <w:sz w:val="24"/>
                <w:szCs w:val="24"/>
              </w:rPr>
            </w:pPr>
            <w:sdt>
              <w:sdtPr>
                <w:rPr>
                  <w:rFonts w:ascii="宋体" w:hAnsi="宋体"/>
                  <w:sz w:val="24"/>
                  <w:szCs w:val="24"/>
                </w:rPr>
                <w:alias w:val="program"/>
                <w:tag w:val="program"/>
                <w:id w:val="-1129858802"/>
                <w:lock w:val="sdtLocked"/>
                <w:placeholder>
                  <w:docPart w:val="92FF123C7D9343D4908226538DDC15EF"/>
                </w:placeholder>
                <w:dropDownList>
                  <w:listItem w:value="选择一项。"/>
                  <w:listItem w:displayText="学术型博士生 Academic Doctoral Student" w:value="1"/>
                  <w:listItem w:displayText="专业型博士生 Professional Doctoral Student" w:value="8"/>
                  <w:listItem w:displayText="学术型硕士生 Academic Master Student" w:value="3"/>
                  <w:listItem w:displayText="专业型硕士生 Professional Master Student" w:value="4"/>
                </w:dropDownList>
              </w:sdtPr>
              <w:sdtContent>
                <w:r>
                  <w:rPr>
                    <w:rFonts w:ascii="宋体" w:hAnsi="宋体"/>
                    <w:sz w:val="24"/>
                    <w:szCs w:val="24"/>
                  </w:rPr>
                  <w:t>学术型硕士生 Academic Master Student</w:t>
                </w:r>
              </w:sdtContent>
            </w:sdt>
          </w:p>
        </w:tc>
      </w:tr>
      <w:tr w:rsidR="00F53AA8" w14:paraId="379409B4" w14:textId="77777777">
        <w:trPr>
          <w:jc w:val="center"/>
        </w:trPr>
        <w:tc>
          <w:tcPr>
            <w:tcW w:w="3149" w:type="dxa"/>
            <w:vAlign w:val="center"/>
          </w:tcPr>
          <w:p w14:paraId="4B815D78" w14:textId="77777777" w:rsidR="00F53AA8" w:rsidRDefault="00000000">
            <w:pPr>
              <w:spacing w:before="120" w:after="120"/>
              <w:jc w:val="left"/>
              <w:rPr>
                <w:rFonts w:eastAsia="楷体_GB2312"/>
                <w:b/>
                <w:sz w:val="28"/>
                <w:szCs w:val="28"/>
              </w:rPr>
            </w:pPr>
            <w:r>
              <w:rPr>
                <w:rFonts w:eastAsia="楷体_GB2312" w:hint="eastAsia"/>
                <w:b/>
                <w:sz w:val="28"/>
                <w:szCs w:val="28"/>
              </w:rPr>
              <w:t>学习形式</w:t>
            </w:r>
            <w:r>
              <w:rPr>
                <w:rFonts w:eastAsia="楷体_GB2312" w:hint="eastAsia"/>
                <w:b/>
                <w:sz w:val="28"/>
                <w:szCs w:val="28"/>
              </w:rPr>
              <w:t xml:space="preserve"> </w:t>
            </w:r>
            <w:r>
              <w:rPr>
                <w:rFonts w:eastAsia="楷体_GB2312"/>
                <w:b/>
                <w:sz w:val="24"/>
                <w:szCs w:val="24"/>
              </w:rPr>
              <w:t>Study Mode</w:t>
            </w:r>
          </w:p>
        </w:tc>
        <w:tc>
          <w:tcPr>
            <w:tcW w:w="5356" w:type="dxa"/>
            <w:tcBorders>
              <w:top w:val="single" w:sz="4" w:space="0" w:color="auto"/>
              <w:bottom w:val="single" w:sz="4" w:space="0" w:color="auto"/>
            </w:tcBorders>
            <w:vAlign w:val="center"/>
          </w:tcPr>
          <w:p w14:paraId="3CEBA7E0" w14:textId="77777777" w:rsidR="00F53AA8" w:rsidRDefault="00000000">
            <w:pPr>
              <w:jc w:val="left"/>
              <w:rPr>
                <w:rFonts w:eastAsia="华文仿宋"/>
                <w:sz w:val="24"/>
                <w:szCs w:val="24"/>
              </w:rPr>
            </w:pPr>
            <w:sdt>
              <w:sdtPr>
                <w:rPr>
                  <w:rFonts w:ascii="宋体" w:hAnsi="宋体"/>
                  <w:sz w:val="24"/>
                  <w:szCs w:val="24"/>
                </w:rPr>
                <w:alias w:val="studymode"/>
                <w:tag w:val="studymode"/>
                <w:id w:val="397949588"/>
                <w:lock w:val="sdtLocked"/>
                <w:placeholder>
                  <w:docPart w:val="DefaultPlaceholder_1081868575"/>
                </w:placeholder>
                <w:dropDownList>
                  <w:listItem w:value="选择一项。"/>
                  <w:listItem w:displayText="全日制 Full-time" w:value="1"/>
                  <w:listItem w:displayText="非全日制 Part-time" w:value="2"/>
                  <w:listItem w:displayText="同等学力学生" w:value="3"/>
                </w:dropDownList>
              </w:sdtPr>
              <w:sdtContent>
                <w:permStart w:id="262226271" w:edGrp="everyone"/>
                <w:r>
                  <w:rPr>
                    <w:rFonts w:ascii="宋体" w:hAnsi="宋体"/>
                    <w:sz w:val="24"/>
                    <w:szCs w:val="24"/>
                  </w:rPr>
                  <w:t>全日制 Full-time</w:t>
                </w:r>
                <w:permEnd w:id="262226271"/>
              </w:sdtContent>
            </w:sdt>
          </w:p>
        </w:tc>
      </w:tr>
      <w:tr w:rsidR="00F53AA8" w14:paraId="59F950D0" w14:textId="77777777">
        <w:trPr>
          <w:jc w:val="center"/>
        </w:trPr>
        <w:tc>
          <w:tcPr>
            <w:tcW w:w="3149" w:type="dxa"/>
            <w:vAlign w:val="center"/>
          </w:tcPr>
          <w:p w14:paraId="45450340" w14:textId="77777777" w:rsidR="00F53AA8" w:rsidRDefault="00000000">
            <w:pPr>
              <w:spacing w:before="120" w:after="120"/>
              <w:jc w:val="left"/>
              <w:rPr>
                <w:rFonts w:eastAsia="楷体_GB2312"/>
                <w:b/>
                <w:sz w:val="28"/>
                <w:szCs w:val="28"/>
              </w:rPr>
            </w:pPr>
            <w:permStart w:id="221450801" w:edGrp="everyone" w:colFirst="1" w:colLast="1"/>
            <w:r>
              <w:rPr>
                <w:rFonts w:eastAsia="楷体_GB2312" w:hint="eastAsia"/>
                <w:b/>
                <w:sz w:val="28"/>
                <w:szCs w:val="28"/>
              </w:rPr>
              <w:t>导师</w:t>
            </w:r>
            <w:r>
              <w:rPr>
                <w:rFonts w:eastAsia="楷体_GB2312" w:hint="eastAsia"/>
                <w:b/>
                <w:sz w:val="28"/>
                <w:szCs w:val="28"/>
              </w:rPr>
              <w:t xml:space="preserve"> </w:t>
            </w:r>
            <w:r>
              <w:rPr>
                <w:rFonts w:eastAsia="楷体_GB2312"/>
                <w:b/>
                <w:sz w:val="24"/>
                <w:szCs w:val="24"/>
              </w:rPr>
              <w:t>Supervisor(s)</w:t>
            </w:r>
          </w:p>
        </w:tc>
        <w:tc>
          <w:tcPr>
            <w:tcW w:w="5356" w:type="dxa"/>
            <w:tcBorders>
              <w:top w:val="single" w:sz="4" w:space="0" w:color="auto"/>
              <w:bottom w:val="single" w:sz="4" w:space="0" w:color="auto"/>
            </w:tcBorders>
            <w:vAlign w:val="center"/>
          </w:tcPr>
          <w:p w14:paraId="039A8552" w14:textId="77777777" w:rsidR="00F53AA8" w:rsidRDefault="00F53AA8">
            <w:pPr>
              <w:rPr>
                <w:rFonts w:eastAsia="华文仿宋"/>
                <w:sz w:val="24"/>
                <w:szCs w:val="24"/>
              </w:rPr>
              <w:spacing w:before="0" w:after="0" w:line="300" w:lineRule="auto"/>
              <w:jc w:val="left"/>
            </w:pPr>
            <w:r>
              <w:rPr>
                <w:rFonts w:ascii="Times New Roman" w:hAnsi="Times New Roman" w:eastAsia="华文楷体"/>
                <w:sz w:val="24"/>
                <w:color w:val="000000"/>
                <w:lang w:val="en-US"/>
              </w:rPr>
              <w:t xml:space="preserve">Professor Liu Jialu (刘佳璐)</w:t>
            </w:r>
          </w:p>
        </w:tc>
      </w:tr>
      <w:tr w:rsidR="00F53AA8" w14:paraId="7F5F89D2" w14:textId="77777777">
        <w:trPr>
          <w:trHeight w:val="810" w:hRule="atLeast"/>
          <w:jc w:val="center"/>
        </w:trPr>
        <w:tc>
          <w:tcPr>
            <w:tcW w:w="3149" w:type="dxa"/>
            <w:vAlign w:val="center"/>
          </w:tcPr>
          <w:p w14:paraId="4C9E13FA" w14:textId="77777777" w:rsidR="00F53AA8" w:rsidRDefault="00000000">
            <w:pPr>
              <w:spacing w:before="120" w:after="120"/>
              <w:jc w:val="left"/>
              <w:rPr>
                <w:rFonts w:eastAsia="楷体_GB2312"/>
                <w:b/>
                <w:sz w:val="28"/>
                <w:szCs w:val="28"/>
              </w:rPr>
            </w:pPr>
            <w:permStart w:id="409338753" w:edGrp="everyone" w:colFirst="1" w:colLast="1"/>
            <w:permEnd w:id="221450801"/>
            <w:r>
              <w:rPr>
                <w:rFonts w:eastAsia="楷体_GB2312" w:hint="eastAsia"/>
                <w:b/>
                <w:sz w:val="28"/>
                <w:szCs w:val="28"/>
              </w:rPr>
              <w:t>论文题目</w:t>
            </w:r>
            <w:r>
              <w:rPr>
                <w:rFonts w:eastAsia="楷体_GB2312"/>
                <w:b/>
                <w:sz w:val="24"/>
                <w:szCs w:val="24"/>
              </w:rPr>
              <w:t xml:space="preserve"> Thesis title</w:t>
            </w:r>
          </w:p>
        </w:tc>
        <w:tc>
          <w:tcPr>
            <w:tcW w:w="5356" w:type="dxa"/>
            <w:tcBorders>
              <w:top w:val="single" w:sz="4" w:space="0" w:color="auto"/>
              <w:bottom w:val="single" w:sz="4" w:space="0" w:color="auto"/>
            </w:tcBorders>
            <w:vAlign w:val="center"/>
          </w:tcPr>
          <w:p w14:paraId="6771448B" w14:textId="77777777" w:rsidR="00F53AA8" w:rsidRDefault="00F53AA8">
            <w:pPr>
              <w:rPr>
                <w:rFonts w:eastAsia="华文仿宋"/>
                <w:sz w:val="24"/>
                <w:szCs w:val="24"/>
              </w:rPr>
              <w:spacing w:before="0" w:after="0" w:line="300" w:lineRule="auto"/>
              <w:jc w:val="left"/>
            </w:pPr>
            <w:r>
              <w:rPr>
                <w:rFonts w:ascii="Times New Roman" w:hAnsi="Times New Roman" w:eastAsia="华文楷体"/>
                <w:sz w:val="24"/>
                <w:color w:val="000000"/>
                <w:lang w:val="en-US"/>
              </w:rPr>
              <w:t xml:space="preserve">Improving Evidence Use and Semantic Verification in Multi-Agent Business Analytics: A Failure-Guided Controlled Study</w:t>
            </w:r>
          </w:p>
        </w:tc>
      </w:tr>
      <w:tr w:rsidR="00F53AA8" w14:paraId="36DB5202" w14:textId="77777777">
        <w:trPr>
          <w:jc w:val="center"/>
        </w:trPr>
        <w:tc>
          <w:tcPr>
            <w:tcW w:w="3149" w:type="dxa"/>
            <w:vAlign w:val="center"/>
          </w:tcPr>
          <w:p w14:paraId="0F372AC3" w14:textId="77777777" w:rsidR="00F53AA8" w:rsidRDefault="00000000">
            <w:pPr>
              <w:spacing w:before="120" w:after="120"/>
              <w:jc w:val="left"/>
              <w:rPr>
                <w:rFonts w:eastAsia="楷体_GB2312"/>
                <w:b/>
                <w:sz w:val="28"/>
                <w:szCs w:val="28"/>
              </w:rPr>
            </w:pPr>
            <w:permStart w:id="1184317749" w:edGrp="everyone" w:colFirst="1" w:colLast="1"/>
            <w:permEnd w:id="409338753"/>
            <w:r>
              <w:rPr>
                <w:rFonts w:eastAsia="楷体_GB2312" w:hint="eastAsia"/>
                <w:b/>
                <w:sz w:val="28"/>
                <w:szCs w:val="28"/>
              </w:rPr>
              <w:t>学院</w:t>
            </w:r>
            <w:r>
              <w:rPr>
                <w:rFonts w:eastAsia="楷体_GB2312"/>
                <w:b/>
                <w:sz w:val="28"/>
                <w:szCs w:val="28"/>
              </w:rPr>
              <w:t xml:space="preserve"> </w:t>
            </w:r>
            <w:r>
              <w:rPr>
                <w:rFonts w:eastAsia="楷体_GB2312"/>
                <w:b/>
                <w:sz w:val="24"/>
                <w:szCs w:val="24"/>
              </w:rPr>
              <w:t>School</w:t>
            </w:r>
          </w:p>
        </w:tc>
        <w:tc>
          <w:tcPr>
            <w:tcW w:w="5356" w:type="dxa"/>
            <w:tcBorders>
              <w:top w:val="single" w:sz="4" w:space="0" w:color="auto"/>
              <w:bottom w:val="single" w:sz="4" w:space="0" w:color="auto"/>
            </w:tcBorders>
            <w:vAlign w:val="center"/>
          </w:tcPr>
          <w:p w14:paraId="52703CDA" w14:textId="77777777" w:rsidR="00F53AA8" w:rsidRDefault="00000000">
            <w:pPr>
              <w:spacing w:before="120" w:after="120"/>
              <w:rPr>
                <w:rFonts w:eastAsia="华文仿宋"/>
                <w:sz w:val="24"/>
                <w:szCs w:val="24"/>
              </w:rPr>
            </w:pPr>
            <w:r>
              <w:rPr>
                <w:rFonts w:eastAsia="华文仿宋" w:hint="eastAsia"/>
                <w:sz w:val="24"/>
                <w:szCs w:val="24"/>
              </w:rPr>
              <w:t>Antai College of Economics and Management</w:t>
            </w:r>
          </w:p>
        </w:tc>
      </w:tr>
      <w:tr w:rsidR="00F53AA8" w14:paraId="210FEB6A" w14:textId="77777777">
        <w:trPr>
          <w:jc w:val="center"/>
        </w:trPr>
        <w:tc>
          <w:tcPr>
            <w:tcW w:w="3149" w:type="dxa"/>
            <w:vAlign w:val="center"/>
          </w:tcPr>
          <w:p w14:paraId="16E5F643" w14:textId="77777777" w:rsidR="00F53AA8" w:rsidRDefault="00000000">
            <w:pPr>
              <w:spacing w:before="120" w:after="120"/>
              <w:jc w:val="left"/>
              <w:rPr>
                <w:rFonts w:eastAsia="楷体_GB2312"/>
                <w:b/>
                <w:sz w:val="28"/>
                <w:szCs w:val="28"/>
              </w:rPr>
            </w:pPr>
            <w:permStart w:id="669014900" w:edGrp="everyone" w:colFirst="1" w:colLast="1"/>
            <w:permEnd w:id="1184317749"/>
            <w:r>
              <w:rPr>
                <w:rFonts w:eastAsia="楷体_GB2312" w:hint="eastAsia"/>
                <w:b/>
                <w:sz w:val="28"/>
                <w:szCs w:val="28"/>
              </w:rPr>
              <w:t>专业</w:t>
            </w:r>
            <w:r>
              <w:rPr>
                <w:rFonts w:eastAsia="楷体_GB2312" w:hint="eastAsia"/>
                <w:b/>
                <w:sz w:val="28"/>
                <w:szCs w:val="28"/>
              </w:rPr>
              <w:t xml:space="preserve"> </w:t>
            </w:r>
            <w:r>
              <w:rPr>
                <w:rFonts w:eastAsia="楷体_GB2312"/>
                <w:b/>
                <w:sz w:val="24"/>
                <w:szCs w:val="24"/>
              </w:rPr>
              <w:t>Major</w:t>
            </w:r>
          </w:p>
        </w:tc>
        <w:tc>
          <w:tcPr>
            <w:tcW w:w="5356" w:type="dxa"/>
            <w:tcBorders>
              <w:top w:val="single" w:sz="4" w:space="0" w:color="auto"/>
              <w:bottom w:val="single" w:sz="4" w:space="0" w:color="auto"/>
            </w:tcBorders>
            <w:vAlign w:val="center"/>
          </w:tcPr>
          <w:p w14:paraId="0F253286" w14:textId="77777777" w:rsidR="00F53AA8" w:rsidRDefault="00F53AA8">
            <w:pPr>
              <w:rPr>
                <w:rFonts w:eastAsia="华文仿宋"/>
                <w:sz w:val="24"/>
                <w:szCs w:val="24"/>
              </w:rPr>
              <w:spacing w:before="0" w:after="0" w:line="300" w:lineRule="auto"/>
              <w:jc w:val="left"/>
            </w:pPr>
            <w:r>
              <w:rPr>
                <w:rFonts w:ascii="Times New Roman" w:hAnsi="Times New Roman" w:eastAsia="华文楷体"/>
                <w:sz w:val="24"/>
                <w:color w:val="000000"/>
                <w:lang w:val="en-US"/>
              </w:rPr>
              <w:t xml:space="preserve">Master of International Business</w:t>
            </w:r>
          </w:p>
        </w:tc>
      </w:tr>
      <w:tr w:rsidR="00F53AA8" w14:paraId="3ED00435" w14:textId="77777777">
        <w:trPr>
          <w:jc w:val="center"/>
        </w:trPr>
        <w:tc>
          <w:tcPr>
            <w:tcW w:w="3149" w:type="dxa"/>
            <w:vAlign w:val="center"/>
          </w:tcPr>
          <w:p w14:paraId="7AC705D7" w14:textId="77777777" w:rsidR="00F53AA8" w:rsidRDefault="00000000">
            <w:pPr>
              <w:spacing w:before="120" w:after="120"/>
              <w:jc w:val="left"/>
              <w:rPr>
                <w:rFonts w:eastAsia="楷体_GB2312"/>
                <w:b/>
                <w:sz w:val="28"/>
                <w:szCs w:val="28"/>
              </w:rPr>
            </w:pPr>
            <w:permStart w:id="332333399" w:edGrp="everyone" w:colFirst="1" w:colLast="1"/>
            <w:permEnd w:id="669014900"/>
            <w:r>
              <w:rPr>
                <w:rFonts w:eastAsia="楷体_GB2312" w:hint="eastAsia"/>
                <w:b/>
                <w:sz w:val="28"/>
                <w:szCs w:val="28"/>
              </w:rPr>
              <w:t>开题日期</w:t>
            </w:r>
            <w:r>
              <w:rPr>
                <w:rFonts w:eastAsia="楷体_GB2312" w:hint="eastAsia"/>
                <w:b/>
                <w:sz w:val="28"/>
                <w:szCs w:val="28"/>
              </w:rPr>
              <w:t xml:space="preserve"> </w:t>
            </w:r>
            <w:r>
              <w:rPr>
                <w:rFonts w:eastAsia="楷体_GB2312"/>
                <w:b/>
                <w:sz w:val="24"/>
                <w:szCs w:val="24"/>
              </w:rPr>
              <w:t>Date</w:t>
            </w:r>
          </w:p>
        </w:tc>
        <w:tc>
          <w:tcPr>
            <w:tcW w:w="5356" w:type="dxa"/>
            <w:tcBorders>
              <w:top w:val="single" w:sz="4" w:space="0" w:color="auto"/>
              <w:bottom w:val="single" w:sz="4" w:space="0" w:color="auto"/>
            </w:tcBorders>
            <w:vAlign w:val="center"/>
          </w:tcPr>
          <w:p w14:paraId="4037FC1F" w14:textId="77777777" w:rsidR="00F53AA8" w:rsidRDefault="00F53AA8">
            <w:pPr>
              <w:rPr>
                <w:rFonts w:eastAsia="华文仿宋"/>
                <w:sz w:val="24"/>
                <w:szCs w:val="24"/>
              </w:rPr>
              <w:spacing w:before="0" w:after="0" w:line="300" w:lineRule="auto"/>
              <w:jc w:val="left"/>
            </w:pPr>
            <w:r>
              <w:rPr>
                <w:rFonts w:ascii="Times New Roman" w:hAnsi="Times New Roman" w:eastAsia="华文楷体"/>
                <w:sz w:val="24"/>
                <w:color w:val="000000"/>
                <w:lang w:val="en-US"/>
              </w:rPr>
              <w:t xml:space="preserve">22 October 2026</w:t>
            </w:r>
          </w:p>
        </w:tc>
      </w:tr>
      <w:tr w:rsidR="00F53AA8" w14:paraId="47EAF074" w14:textId="77777777">
        <w:trPr>
          <w:jc w:val="center"/>
        </w:trPr>
        <w:tc>
          <w:tcPr>
            <w:tcW w:w="3149" w:type="dxa"/>
            <w:vAlign w:val="center"/>
          </w:tcPr>
          <w:p w14:paraId="4D3E4204" w14:textId="77777777" w:rsidR="00F53AA8" w:rsidRDefault="00000000">
            <w:pPr>
              <w:spacing w:before="120" w:after="120"/>
              <w:jc w:val="left"/>
              <w:rPr>
                <w:rFonts w:eastAsia="楷体_GB2312"/>
                <w:b/>
                <w:sz w:val="28"/>
                <w:szCs w:val="28"/>
              </w:rPr>
            </w:pPr>
            <w:permStart w:id="968435835" w:edGrp="everyone" w:colFirst="1" w:colLast="1"/>
            <w:permEnd w:id="332333399"/>
            <w:r>
              <w:rPr>
                <w:rFonts w:eastAsia="楷体_GB2312" w:hint="eastAsia"/>
                <w:b/>
                <w:sz w:val="28"/>
                <w:szCs w:val="28"/>
              </w:rPr>
              <w:t>开题</w:t>
            </w:r>
            <w:r>
              <w:rPr>
                <w:rFonts w:eastAsia="楷体_GB2312"/>
                <w:b/>
                <w:sz w:val="28"/>
                <w:szCs w:val="28"/>
              </w:rPr>
              <w:t>地点</w:t>
            </w:r>
            <w:r>
              <w:rPr>
                <w:rFonts w:eastAsia="楷体_GB2312" w:hint="eastAsia"/>
                <w:b/>
                <w:sz w:val="28"/>
                <w:szCs w:val="28"/>
              </w:rPr>
              <w:t xml:space="preserve"> </w:t>
            </w:r>
            <w:r>
              <w:rPr>
                <w:rFonts w:eastAsia="楷体_GB2312" w:hint="eastAsia"/>
                <w:b/>
                <w:sz w:val="24"/>
                <w:szCs w:val="24"/>
              </w:rPr>
              <w:t>Venue</w:t>
            </w:r>
          </w:p>
        </w:tc>
        <w:tc>
          <w:tcPr>
            <w:tcW w:w="5356" w:type="dxa"/>
            <w:tcBorders>
              <w:top w:val="single" w:sz="4" w:space="0" w:color="auto"/>
              <w:bottom w:val="single" w:sz="4" w:space="0" w:color="auto"/>
            </w:tcBorders>
            <w:vAlign w:val="center"/>
          </w:tcPr>
          <w:p w14:paraId="68776858" w14:textId="77777777" w:rsidR="00F53AA8" w:rsidRDefault="00000000">
            <w:pPr>
              <w:rPr>
                <w:rFonts w:eastAsia="华文仿宋"/>
                <w:sz w:val="24"/>
                <w:szCs w:val="24"/>
              </w:rPr>
              <w:spacing w:before="0" w:after="0" w:line="300" w:lineRule="auto"/>
              <w:jc w:val="left"/>
            </w:pPr>
            <w:r>
              <w:rPr>
                <w:rFonts w:ascii="Times New Roman" w:hAnsi="Times New Roman" w:eastAsia="华文楷体"/>
                <w:sz w:val="24"/>
                <w:color w:val="000000"/>
                <w:lang w:val="en-US"/>
              </w:rPr>
              <w:t xml:space="preserve"/>
            </w:r>
          </w:p>
        </w:tc>
      </w:tr>
      <w:permEnd w:id="968435835"/>
    </w:tbl>
    <w:p w14:paraId="1B176EFB" w14:textId="77777777" w:rsidR="00F53AA8" w:rsidRDefault="00000000">
      <w:pPr>
        <w:jc w:val="center"/>
        <w:rPr>
          <w:rFonts w:eastAsia="黑体"/>
          <w:sz w:val="30"/>
        </w:rPr>
      </w:pPr>
      <w:r>
        <w:rPr>
          <w:rFonts w:eastAsia="黑体"/>
          <w:sz w:val="30"/>
        </w:rPr>
        <w:br w:type="page"/>
      </w:r>
      <w:r>
        <w:rPr>
          <w:rFonts w:eastAsia="黑体" w:hint="eastAsia"/>
          <w:sz w:val="30"/>
        </w:rPr>
        <w:lastRenderedPageBreak/>
        <w:t>填</w:t>
      </w:r>
      <w:r>
        <w:rPr>
          <w:rFonts w:eastAsia="黑体"/>
          <w:sz w:val="30"/>
        </w:rPr>
        <w:t xml:space="preserve"> </w:t>
      </w:r>
      <w:r>
        <w:rPr>
          <w:rFonts w:eastAsia="黑体" w:hint="eastAsia"/>
          <w:sz w:val="30"/>
        </w:rPr>
        <w:t xml:space="preserve"> </w:t>
      </w:r>
      <w:r>
        <w:rPr>
          <w:rFonts w:eastAsia="黑体" w:hint="eastAsia"/>
          <w:sz w:val="30"/>
        </w:rPr>
        <w:t>报</w:t>
      </w:r>
      <w:r>
        <w:rPr>
          <w:rFonts w:eastAsia="黑体" w:hint="eastAsia"/>
          <w:sz w:val="30"/>
        </w:rPr>
        <w:t xml:space="preserve"> </w:t>
      </w:r>
      <w:r>
        <w:rPr>
          <w:rFonts w:eastAsia="黑体"/>
          <w:sz w:val="30"/>
        </w:rPr>
        <w:t xml:space="preserve"> </w:t>
      </w:r>
      <w:r>
        <w:rPr>
          <w:rFonts w:eastAsia="黑体" w:hint="eastAsia"/>
          <w:sz w:val="30"/>
        </w:rPr>
        <w:t>说</w:t>
      </w:r>
      <w:r>
        <w:rPr>
          <w:rFonts w:eastAsia="黑体" w:hint="eastAsia"/>
          <w:sz w:val="30"/>
        </w:rPr>
        <w:t xml:space="preserve"> </w:t>
      </w:r>
      <w:r>
        <w:rPr>
          <w:rFonts w:eastAsia="黑体"/>
          <w:sz w:val="30"/>
        </w:rPr>
        <w:t xml:space="preserve"> </w:t>
      </w:r>
      <w:r>
        <w:rPr>
          <w:rFonts w:eastAsia="黑体" w:hint="eastAsia"/>
          <w:sz w:val="30"/>
        </w:rPr>
        <w:t>明</w:t>
      </w:r>
    </w:p>
    <w:p w14:paraId="6D0948AE" w14:textId="77777777" w:rsidR="00F53AA8" w:rsidRDefault="00000000">
      <w:pPr>
        <w:jc w:val="center"/>
        <w:rPr>
          <w:rFonts w:eastAsia="黑体"/>
          <w:sz w:val="30"/>
        </w:rPr>
      </w:pPr>
      <w:r>
        <w:rPr>
          <w:rFonts w:eastAsia="黑体"/>
          <w:b/>
          <w:sz w:val="30"/>
        </w:rPr>
        <w:t>Instruction</w:t>
      </w:r>
    </w:p>
    <w:p w14:paraId="18362F94" w14:textId="77777777" w:rsidR="00F53AA8" w:rsidRDefault="00000000">
      <w:pPr>
        <w:pStyle w:val="ListParagraph"/>
        <w:numPr>
          <w:ilvl w:val="0"/>
          <w:numId w:val="1"/>
        </w:numPr>
        <w:spacing w:beforeLines="50" w:before="156" w:line="300" w:lineRule="auto"/>
        <w:ind w:firstLineChars="0"/>
        <w:rPr>
          <w:rFonts w:eastAsia="仿宋_GB2312"/>
          <w:color w:val="000000" w:themeColor="text1"/>
          <w:sz w:val="24"/>
          <w:szCs w:val="24"/>
        </w:rPr>
      </w:pPr>
      <w:r>
        <w:rPr>
          <w:rFonts w:eastAsia="仿宋_GB2312"/>
          <w:color w:val="000000" w:themeColor="text1"/>
          <w:sz w:val="24"/>
          <w:szCs w:val="24"/>
        </w:rPr>
        <w:t>校本部研究生的开题报告应通过</w:t>
      </w:r>
      <w:hyperlink r:id="rId9" w:history="1">
        <w:r w:rsidR="00F53AA8">
          <w:rPr>
            <w:rStyle w:val="Hyperlink"/>
            <w:rFonts w:eastAsia="仿宋_GB2312"/>
            <w:sz w:val="24"/>
            <w:szCs w:val="24"/>
          </w:rPr>
          <w:t>数字交大</w:t>
        </w:r>
      </w:hyperlink>
      <w:r>
        <w:rPr>
          <w:rFonts w:eastAsia="仿宋_GB2312"/>
          <w:color w:val="000000" w:themeColor="text1"/>
          <w:sz w:val="24"/>
          <w:szCs w:val="24"/>
        </w:rPr>
        <w:t>在线提交申请</w:t>
      </w:r>
      <w:r>
        <w:rPr>
          <w:rFonts w:eastAsia="仿宋_GB2312" w:hint="eastAsia"/>
          <w:color w:val="000000" w:themeColor="text1"/>
          <w:sz w:val="24"/>
          <w:szCs w:val="24"/>
        </w:rPr>
        <w:t>，</w:t>
      </w:r>
      <w:r>
        <w:rPr>
          <w:rFonts w:eastAsia="仿宋_GB2312"/>
          <w:color w:val="000000" w:themeColor="text1"/>
          <w:sz w:val="24"/>
          <w:szCs w:val="24"/>
        </w:rPr>
        <w:t>填写本表并上传系统。特殊情况下经研究生院事先同意</w:t>
      </w:r>
      <w:r>
        <w:rPr>
          <w:rFonts w:eastAsia="仿宋_GB2312" w:hint="eastAsia"/>
          <w:color w:val="000000" w:themeColor="text1"/>
          <w:sz w:val="24"/>
          <w:szCs w:val="24"/>
        </w:rPr>
        <w:t>，</w:t>
      </w:r>
      <w:r>
        <w:rPr>
          <w:rFonts w:eastAsia="仿宋_GB2312"/>
          <w:color w:val="000000" w:themeColor="text1"/>
          <w:sz w:val="24"/>
          <w:szCs w:val="24"/>
        </w:rPr>
        <w:t>可不上传系统</w:t>
      </w:r>
      <w:r>
        <w:rPr>
          <w:rFonts w:eastAsia="仿宋_GB2312" w:hint="eastAsia"/>
          <w:color w:val="000000" w:themeColor="text1"/>
          <w:sz w:val="24"/>
          <w:szCs w:val="24"/>
        </w:rPr>
        <w:t>，</w:t>
      </w:r>
      <w:r>
        <w:rPr>
          <w:rFonts w:eastAsia="仿宋_GB2312"/>
          <w:color w:val="000000" w:themeColor="text1"/>
          <w:sz w:val="24"/>
          <w:szCs w:val="24"/>
        </w:rPr>
        <w:t>并使用</w:t>
      </w:r>
      <w:r>
        <w:rPr>
          <w:rFonts w:eastAsia="仿宋_GB2312" w:hint="eastAsia"/>
          <w:color w:val="000000" w:themeColor="text1"/>
          <w:sz w:val="24"/>
          <w:szCs w:val="24"/>
        </w:rPr>
        <w:t>《上海交通大学研究生论文开题评审表》完成</w:t>
      </w:r>
      <w:r>
        <w:rPr>
          <w:rFonts w:eastAsia="仿宋_GB2312"/>
          <w:color w:val="000000" w:themeColor="text1"/>
          <w:sz w:val="24"/>
          <w:szCs w:val="24"/>
        </w:rPr>
        <w:t>评审</w:t>
      </w:r>
      <w:r>
        <w:rPr>
          <w:rFonts w:eastAsia="仿宋_GB2312" w:hint="eastAsia"/>
          <w:color w:val="000000" w:themeColor="text1"/>
          <w:sz w:val="24"/>
          <w:szCs w:val="24"/>
        </w:rPr>
        <w:t>。</w:t>
      </w:r>
    </w:p>
    <w:p w14:paraId="71CBF7AF" w14:textId="77777777" w:rsidR="00F53AA8" w:rsidRDefault="00000000">
      <w:pPr>
        <w:pStyle w:val="ListParagraph"/>
        <w:spacing w:beforeLines="50" w:before="156" w:line="300" w:lineRule="auto"/>
        <w:ind w:left="420" w:firstLineChars="0" w:firstLine="0"/>
        <w:rPr>
          <w:rFonts w:eastAsia="仿宋_GB2312"/>
          <w:color w:val="000000" w:themeColor="text1"/>
          <w:sz w:val="24"/>
          <w:szCs w:val="24"/>
        </w:rPr>
      </w:pPr>
      <w:r>
        <w:rPr>
          <w:rFonts w:eastAsia="仿宋_GB2312"/>
          <w:color w:val="000000" w:themeColor="text1"/>
          <w:sz w:val="24"/>
          <w:szCs w:val="24"/>
        </w:rPr>
        <w:t xml:space="preserve">The application for thesis/dissertation proposal should be submitted online through </w:t>
      </w:r>
      <w:hyperlink r:id="rId10" w:history="1">
        <w:r w:rsidR="00F53AA8">
          <w:rPr>
            <w:rStyle w:val="Hyperlink"/>
            <w:rFonts w:eastAsia="仿宋_GB2312"/>
            <w:sz w:val="24"/>
            <w:szCs w:val="24"/>
          </w:rPr>
          <w:t>My SJTU</w:t>
        </w:r>
      </w:hyperlink>
      <w:r>
        <w:rPr>
          <w:rFonts w:eastAsia="仿宋_GB2312"/>
          <w:color w:val="000000" w:themeColor="text1"/>
          <w:sz w:val="24"/>
          <w:szCs w:val="24"/>
        </w:rPr>
        <w:t>. The student shall fill this form and upload it in the system. Under special circumstance, this form does not need to be uploaded and the review can be proceeded with the review form with prior consent from the graduate school.</w:t>
      </w:r>
    </w:p>
    <w:p w14:paraId="38E9FA3F" w14:textId="77777777" w:rsidR="00F53AA8" w:rsidRDefault="00000000">
      <w:pPr>
        <w:pStyle w:val="ListParagraph"/>
        <w:numPr>
          <w:ilvl w:val="0"/>
          <w:numId w:val="1"/>
        </w:numPr>
        <w:spacing w:beforeLines="50" w:before="156" w:line="300" w:lineRule="auto"/>
        <w:ind w:firstLineChars="0"/>
        <w:rPr>
          <w:rFonts w:eastAsia="仿宋_GB2312"/>
          <w:color w:val="000000" w:themeColor="text1"/>
          <w:sz w:val="24"/>
          <w:szCs w:val="24"/>
        </w:rPr>
      </w:pPr>
      <w:r>
        <w:rPr>
          <w:rFonts w:ascii="仿宋_GB2312" w:eastAsia="仿宋_GB2312" w:hint="eastAsia"/>
          <w:sz w:val="24"/>
          <w:szCs w:val="24"/>
        </w:rPr>
        <w:t>开题报告为</w:t>
      </w:r>
      <w:r>
        <w:rPr>
          <w:rFonts w:ascii="仿宋_GB2312" w:eastAsia="仿宋_GB2312"/>
          <w:sz w:val="24"/>
          <w:szCs w:val="24"/>
        </w:rPr>
        <w:t>A4</w:t>
      </w:r>
      <w:r>
        <w:rPr>
          <w:rFonts w:ascii="仿宋_GB2312" w:eastAsia="仿宋_GB2312" w:hint="eastAsia"/>
          <w:sz w:val="24"/>
          <w:szCs w:val="24"/>
        </w:rPr>
        <w:t>大小，</w:t>
      </w:r>
      <w:bookmarkStart w:id="0" w:name="OLE_LINK2"/>
      <w:bookmarkStart w:id="1" w:name="OLE_LINK1"/>
      <w:r>
        <w:rPr>
          <w:rFonts w:ascii="仿宋_GB2312" w:eastAsia="仿宋_GB2312" w:hint="eastAsia"/>
          <w:sz w:val="24"/>
          <w:szCs w:val="24"/>
        </w:rPr>
        <w:t>于左侧装订成册</w:t>
      </w:r>
      <w:bookmarkEnd w:id="0"/>
      <w:bookmarkEnd w:id="1"/>
      <w:r>
        <w:rPr>
          <w:rFonts w:ascii="仿宋_GB2312" w:eastAsia="仿宋_GB2312" w:hint="eastAsia"/>
          <w:sz w:val="24"/>
          <w:szCs w:val="24"/>
        </w:rPr>
        <w:t>。各栏空格不够时，请自行加页。考核前提前一周送交导师、评审专家审阅。</w:t>
      </w:r>
    </w:p>
    <w:p w14:paraId="03321E87" w14:textId="77777777" w:rsidR="00F53AA8" w:rsidRDefault="00000000">
      <w:pPr>
        <w:spacing w:beforeLines="50" w:before="156" w:line="300" w:lineRule="auto"/>
        <w:ind w:left="480"/>
        <w:rPr>
          <w:rFonts w:eastAsia="仿宋_GB2312"/>
          <w:sz w:val="24"/>
          <w:szCs w:val="24"/>
        </w:rPr>
      </w:pPr>
      <w:r>
        <w:rPr>
          <w:rFonts w:eastAsia="仿宋_GB2312"/>
          <w:sz w:val="24"/>
          <w:szCs w:val="24"/>
        </w:rPr>
        <w:t>This form should be printed with A4 paper</w:t>
      </w:r>
      <w:r>
        <w:rPr>
          <w:rFonts w:eastAsia="仿宋_GB2312" w:hint="eastAsia"/>
          <w:sz w:val="24"/>
          <w:szCs w:val="24"/>
        </w:rPr>
        <w:t>s</w:t>
      </w:r>
      <w:r>
        <w:rPr>
          <w:rFonts w:eastAsia="仿宋_GB2312"/>
          <w:sz w:val="24"/>
          <w:szCs w:val="24"/>
        </w:rPr>
        <w:t xml:space="preserve"> and bound </w:t>
      </w:r>
      <w:r>
        <w:rPr>
          <w:rFonts w:eastAsia="仿宋_GB2312" w:hint="eastAsia"/>
          <w:sz w:val="24"/>
          <w:szCs w:val="24"/>
        </w:rPr>
        <w:t xml:space="preserve">together </w:t>
      </w:r>
      <w:r>
        <w:rPr>
          <w:rFonts w:eastAsia="仿宋_GB2312"/>
          <w:sz w:val="24"/>
          <w:szCs w:val="24"/>
        </w:rPr>
        <w:t>on the left. If the space left is not enough, please feel free to add extra pages. The print version shall be sent to the supervisor, and the review committee members for review at least one week before the oral presentation.</w:t>
      </w:r>
    </w:p>
    <w:p w14:paraId="34C9DA24" w14:textId="77777777" w:rsidR="00F53AA8" w:rsidRDefault="00000000">
      <w:pPr>
        <w:numPr>
          <w:ilvl w:val="0"/>
          <w:numId w:val="1"/>
        </w:numPr>
        <w:spacing w:beforeLines="50" w:before="156" w:line="300" w:lineRule="auto"/>
        <w:rPr>
          <w:rFonts w:ascii="仿宋_GB2312" w:eastAsia="仿宋_GB2312"/>
          <w:sz w:val="24"/>
          <w:szCs w:val="24"/>
        </w:rPr>
      </w:pPr>
      <w:r>
        <w:rPr>
          <w:rFonts w:ascii="仿宋_GB2312" w:eastAsia="仿宋_GB2312" w:hint="eastAsia"/>
          <w:sz w:val="24"/>
          <w:szCs w:val="24"/>
        </w:rPr>
        <w:t>博士生导师可以根据博士生学位论文选题情况自行确定是否</w:t>
      </w:r>
      <w:r>
        <w:rPr>
          <w:rFonts w:ascii="仿宋_GB2312" w:eastAsia="仿宋_GB2312"/>
          <w:sz w:val="24"/>
          <w:szCs w:val="24"/>
        </w:rPr>
        <w:t>进行开题查新，</w:t>
      </w:r>
      <w:r>
        <w:rPr>
          <w:rFonts w:ascii="仿宋_GB2312" w:eastAsia="仿宋_GB2312" w:hint="eastAsia"/>
          <w:sz w:val="24"/>
          <w:szCs w:val="24"/>
        </w:rPr>
        <w:t>博士学位论文开题查新报告应由查新工作站提供。</w:t>
      </w:r>
    </w:p>
    <w:p w14:paraId="3EC25A4B" w14:textId="77777777" w:rsidR="00F53AA8" w:rsidRDefault="00000000">
      <w:pPr>
        <w:spacing w:beforeLines="50" w:before="156" w:line="300" w:lineRule="auto"/>
        <w:ind w:left="480"/>
        <w:rPr>
          <w:rFonts w:eastAsia="仿宋_GB2312"/>
          <w:sz w:val="24"/>
          <w:szCs w:val="24"/>
        </w:rPr>
      </w:pPr>
      <w:r>
        <w:rPr>
          <w:rFonts w:eastAsia="仿宋_GB2312" w:hint="eastAsia"/>
          <w:sz w:val="24"/>
          <w:szCs w:val="24"/>
        </w:rPr>
        <w:t>T</w:t>
      </w:r>
      <w:r>
        <w:rPr>
          <w:rFonts w:eastAsia="仿宋_GB2312"/>
          <w:sz w:val="24"/>
          <w:szCs w:val="24"/>
        </w:rPr>
        <w:t>he supervisor should decide, based on the proposed topics, whether a novelty assessment report is needed or not, which should be conducted by an authorized novelty assessment department.</w:t>
      </w:r>
    </w:p>
    <w:p w14:paraId="410EB71A" w14:textId="77777777" w:rsidR="00F53AA8" w:rsidRDefault="00000000">
      <w:pPr>
        <w:numPr>
          <w:ilvl w:val="0"/>
          <w:numId w:val="1"/>
        </w:numPr>
        <w:spacing w:beforeLines="50" w:before="156" w:line="300" w:lineRule="auto"/>
        <w:ind w:left="480" w:hangingChars="200" w:hanging="480"/>
        <w:rPr>
          <w:rFonts w:eastAsia="仿宋_GB2312"/>
          <w:sz w:val="24"/>
          <w:szCs w:val="24"/>
        </w:rPr>
      </w:pPr>
      <w:r>
        <w:rPr>
          <w:rFonts w:ascii="仿宋_GB2312" w:eastAsia="仿宋_GB2312" w:hint="eastAsia"/>
          <w:sz w:val="24"/>
          <w:szCs w:val="24"/>
        </w:rPr>
        <w:t>开题报告通过后，定稿版开题报告由研究生、导师各存档一份，无需上传系统。</w:t>
      </w:r>
    </w:p>
    <w:p w14:paraId="6C9341B3" w14:textId="77777777" w:rsidR="00F53AA8" w:rsidRDefault="00000000">
      <w:pPr>
        <w:spacing w:beforeLines="50" w:before="156" w:line="300" w:lineRule="auto"/>
        <w:ind w:left="480"/>
        <w:rPr>
          <w:rFonts w:eastAsia="仿宋_GB2312"/>
          <w:sz w:val="24"/>
          <w:szCs w:val="24"/>
        </w:rPr>
      </w:pPr>
      <w:r>
        <w:rPr>
          <w:rFonts w:eastAsia="仿宋_GB2312" w:hint="eastAsia"/>
          <w:sz w:val="24"/>
          <w:szCs w:val="24"/>
        </w:rPr>
        <w:t>U</w:t>
      </w:r>
      <w:r>
        <w:rPr>
          <w:rFonts w:eastAsia="仿宋_GB2312"/>
          <w:sz w:val="24"/>
          <w:szCs w:val="24"/>
        </w:rPr>
        <w:t>pon passing the proposal, the final version of this report shall be archived by the graduate student and his/her supervisors for future reference.</w:t>
      </w:r>
    </w:p>
    <w:p w14:paraId="684C6763" w14:textId="77777777" w:rsidR="00F53AA8" w:rsidRDefault="00000000">
      <w:pPr>
        <w:numPr>
          <w:ilvl w:val="0"/>
          <w:numId w:val="1"/>
        </w:numPr>
        <w:spacing w:beforeLines="50" w:before="156" w:line="300" w:lineRule="auto"/>
        <w:ind w:left="480" w:hangingChars="200" w:hanging="480"/>
        <w:rPr>
          <w:rFonts w:ascii="仿宋_GB2312" w:eastAsia="仿宋_GB2312"/>
          <w:sz w:val="24"/>
          <w:szCs w:val="24"/>
        </w:rPr>
      </w:pPr>
      <w:r>
        <w:rPr>
          <w:rFonts w:ascii="仿宋_GB2312" w:eastAsia="仿宋_GB2312" w:hint="eastAsia"/>
          <w:sz w:val="24"/>
          <w:szCs w:val="24"/>
        </w:rPr>
        <w:t>同等学力研究生开题答辩采用会议形式，硕士邀请至少3名相关学科/专业领域具有硕士研究生指导资格的专家。博士邀请5名相关学科/专业领域具有博士研究生指导资格的专家。</w:t>
      </w:r>
    </w:p>
    <w:p w14:paraId="56272871" w14:textId="77777777" w:rsidR="00F53AA8" w:rsidRDefault="00000000">
      <w:pPr>
        <w:spacing w:beforeLines="50" w:before="156" w:line="300" w:lineRule="auto"/>
        <w:ind w:left="480"/>
        <w:rPr>
          <w:rFonts w:eastAsia="仿宋_GB2312"/>
          <w:sz w:val="24"/>
          <w:szCs w:val="24"/>
        </w:rPr>
      </w:pPr>
      <w:r>
        <w:rPr>
          <w:rFonts w:eastAsia="仿宋_GB2312" w:hint="eastAsia"/>
          <w:sz w:val="24"/>
          <w:szCs w:val="24"/>
        </w:rPr>
        <w:t xml:space="preserve">The capstone presentation adopts a conference format, and at least three experts with master's degree guidance qualifications in relevant disciplines and professional fields are invited for the master's degree. </w:t>
      </w:r>
      <w:r>
        <w:rPr>
          <w:rFonts w:eastAsia="仿宋_GB2312"/>
          <w:sz w:val="24"/>
          <w:szCs w:val="24"/>
        </w:rPr>
        <w:t>A</w:t>
      </w:r>
      <w:r>
        <w:rPr>
          <w:rFonts w:eastAsia="仿宋_GB2312" w:hint="eastAsia"/>
          <w:sz w:val="24"/>
          <w:szCs w:val="24"/>
        </w:rPr>
        <w:t>nd</w:t>
      </w:r>
      <w:r>
        <w:rPr>
          <w:rFonts w:eastAsia="仿宋_GB2312"/>
          <w:sz w:val="24"/>
          <w:szCs w:val="24"/>
        </w:rPr>
        <w:t xml:space="preserve"> five</w:t>
      </w:r>
      <w:r>
        <w:rPr>
          <w:rFonts w:eastAsia="仿宋_GB2312" w:hint="eastAsia"/>
          <w:sz w:val="24"/>
          <w:szCs w:val="24"/>
        </w:rPr>
        <w:t xml:space="preserve"> experts with doctoral guidance qualifications in relevant disciplines/professional fields are invited for doctoral </w:t>
      </w:r>
      <w:r>
        <w:rPr>
          <w:rFonts w:eastAsia="仿宋_GB2312" w:hint="eastAsia"/>
          <w:sz w:val="24"/>
          <w:szCs w:val="24"/>
        </w:rPr>
        <w:lastRenderedPageBreak/>
        <w:t>guidance.</w:t>
      </w:r>
    </w:p>
    <w:p w14:paraId="37474AF9" w14:textId="77777777" w:rsidR="00F53AA8" w:rsidRDefault="00F53AA8">
      <w:pPr>
        <w:spacing w:beforeLines="50" w:before="156" w:line="300" w:lineRule="auto"/>
        <w:ind w:left="480"/>
        <w:rPr>
          <w:rFonts w:eastAsia="仿宋_GB2312"/>
          <w:sz w:val="24"/>
          <w:szCs w:val="24"/>
        </w:rPr>
        <w:sectPr w:rsidR="00F53AA8">
          <w:footerReference w:type="even" r:id="rId11"/>
          <w:footerReference w:type="default" r:id="rId12"/>
          <w:footerReference w:type="first" r:id="rId13"/>
          <w:pgSz w:w="11906" w:h="16838"/>
          <w:pgMar w:top="1418" w:right="1588" w:bottom="1418" w:left="1588" w:header="851" w:footer="851" w:gutter="0"/>
          <w:cols w:space="425"/>
          <w:docGrid w:type="lines" w:linePitch="312"/>
        </w:sect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7"/>
        <w:gridCol w:w="6520"/>
      </w:tblGrid>
      <w:tr w:rsidR="00F53AA8" w14:paraId="55F69EB0" w14:textId="77777777">
        <w:trPr>
          <w:jc w:val="center"/>
        </w:trPr>
        <w:tc>
          <w:tcPr>
            <w:tcW w:w="2127" w:type="dxa"/>
            <w:vAlign w:val="center"/>
          </w:tcPr>
          <w:p w14:paraId="4513F6B7" w14:textId="77777777" w:rsidR="00F53AA8" w:rsidRDefault="00000000">
            <w:pPr>
              <w:spacing w:line="360" w:lineRule="auto"/>
              <w:rPr>
                <w:rFonts w:eastAsia="仿宋_GB2312"/>
                <w:sz w:val="24"/>
              </w:rPr>
            </w:pPr>
            <w:permStart w:id="906650174" w:edGrp="everyone" w:colFirst="1" w:colLast="1"/>
            <w:r>
              <w:rPr>
                <w:rFonts w:eastAsia="仿宋_GB2312"/>
                <w:sz w:val="24"/>
              </w:rPr>
              <w:lastRenderedPageBreak/>
              <w:t>论文题目</w:t>
            </w:r>
          </w:p>
          <w:p w14:paraId="29ECB687" w14:textId="77777777" w:rsidR="00F53AA8" w:rsidRDefault="00000000">
            <w:pPr>
              <w:spacing w:line="360" w:lineRule="auto"/>
              <w:rPr>
                <w:rFonts w:eastAsia="仿宋_GB2312"/>
                <w:sz w:val="24"/>
              </w:rPr>
            </w:pPr>
            <w:r>
              <w:rPr>
                <w:rFonts w:eastAsia="仿宋_GB2312"/>
                <w:sz w:val="24"/>
              </w:rPr>
              <w:t>Proposed Title</w:t>
            </w:r>
          </w:p>
        </w:tc>
        <w:tc>
          <w:tcPr>
            <w:tcW w:w="6520" w:type="dxa"/>
            <w:vAlign w:val="center"/>
          </w:tcPr>
          <w:p w14:paraId="79233008" w14:textId="77777777" w:rsidR="00F53AA8" w:rsidRDefault="00F53AA8">
            <w:pPr>
              <w:rPr>
                <w:rFonts w:eastAsia="华文仿宋"/>
                <w:b/>
                <w:sz w:val="24"/>
              </w:rPr>
              <w:spacing w:before="0" w:after="0" w:line="300" w:lineRule="auto"/>
              <w:jc w:val="left"/>
            </w:pPr>
            <w:r>
              <w:rPr>
                <w:rFonts w:ascii="Times New Roman" w:hAnsi="Times New Roman" w:eastAsia="华文楷体"/>
                <w:sz w:val="24"/>
                <w:color w:val="000000"/>
                <w:lang w:val="en-US"/>
              </w:rPr>
              <w:t xml:space="preserve">Improving Evidence Use and Semantic Verification in Multi-Agent Business Analytics: A Failure-Guided Controlled Study</w:t>
            </w:r>
          </w:p>
        </w:tc>
      </w:tr>
      <w:permEnd w:id="906650174"/>
      <w:tr w:rsidR="00F53AA8" w14:paraId="2B2B0847" w14:textId="77777777">
        <w:trPr>
          <w:jc w:val="center"/>
        </w:trPr>
        <w:tc>
          <w:tcPr>
            <w:tcW w:w="2127" w:type="dxa"/>
            <w:vAlign w:val="center"/>
          </w:tcPr>
          <w:p w14:paraId="7132A279" w14:textId="77777777" w:rsidR="00F53AA8" w:rsidRDefault="00000000">
            <w:pPr>
              <w:spacing w:line="360" w:lineRule="auto"/>
              <w:rPr>
                <w:rFonts w:eastAsia="仿宋_GB2312"/>
                <w:sz w:val="24"/>
              </w:rPr>
            </w:pPr>
            <w:r>
              <w:rPr>
                <w:rFonts w:eastAsia="仿宋_GB2312"/>
                <w:sz w:val="24"/>
              </w:rPr>
              <w:t>研究课题来源</w:t>
            </w:r>
          </w:p>
          <w:p w14:paraId="3E8FE24F" w14:textId="77777777" w:rsidR="00F53AA8" w:rsidRDefault="00000000">
            <w:pPr>
              <w:spacing w:line="360" w:lineRule="auto"/>
              <w:rPr>
                <w:rFonts w:eastAsia="仿宋_GB2312"/>
                <w:sz w:val="24"/>
              </w:rPr>
            </w:pPr>
            <w:r>
              <w:rPr>
                <w:rFonts w:eastAsia="仿宋_GB2312"/>
                <w:sz w:val="24"/>
              </w:rPr>
              <w:t>Source of Research Project</w:t>
            </w:r>
          </w:p>
        </w:tc>
        <w:tc>
          <w:tcPr>
            <w:tcW w:w="6520" w:type="dxa"/>
          </w:tcPr>
          <w:p w14:paraId="30E9CF56" w14:textId="77777777" w:rsidR="00F53AA8" w:rsidRDefault="00000000">
            <w:pPr>
              <w:spacing w:line="300" w:lineRule="auto"/>
              <w:jc w:val="left"/>
              <w:rPr>
                <w:rFonts w:ascii="华文仿宋" w:eastAsia="华文仿宋" w:hAnsi="华文仿宋"/>
                <w:sz w:val="24"/>
              </w:rPr>
            </w:pPr>
            <w:r>
              <w:rPr>
                <w:rFonts w:ascii="华文仿宋" w:eastAsia="华文仿宋" w:hAnsi="华文仿宋"/>
                <w:sz w:val="24"/>
              </w:rPr>
              <w:t>请在合适选项前画</w:t>
            </w:r>
            <w:r>
              <w:rPr>
                <w:rFonts w:ascii="华文仿宋" w:eastAsia="华文仿宋" w:hAnsi="华文仿宋" w:hint="eastAsia"/>
                <w:sz w:val="24"/>
              </w:rPr>
              <w:t>√</w:t>
            </w:r>
            <w:r>
              <w:rPr>
                <w:rFonts w:eastAsia="华文仿宋"/>
                <w:sz w:val="24"/>
              </w:rPr>
              <w:t xml:space="preserve"> Please select proper options by </w:t>
            </w:r>
            <w:r>
              <w:rPr>
                <w:rFonts w:ascii="华文仿宋" w:eastAsia="华文仿宋" w:hAnsi="华文仿宋"/>
                <w:sz w:val="24"/>
              </w:rPr>
              <w:t>“</w:t>
            </w:r>
            <w:r>
              <w:rPr>
                <w:rFonts w:ascii="华文仿宋" w:eastAsia="华文仿宋" w:hAnsi="华文仿宋" w:hint="eastAsia"/>
                <w:sz w:val="24"/>
              </w:rPr>
              <w:t>√</w:t>
            </w:r>
            <w:r>
              <w:rPr>
                <w:rFonts w:ascii="华文仿宋" w:eastAsia="华文仿宋" w:hAnsi="华文仿宋"/>
                <w:sz w:val="24"/>
              </w:rPr>
              <w:t>”</w:t>
            </w:r>
            <w:r>
              <w:rPr>
                <w:rFonts w:ascii="华文仿宋" w:eastAsia="华文仿宋" w:hAnsi="华文仿宋" w:hint="eastAsia"/>
                <w:sz w:val="24"/>
              </w:rPr>
              <w:t>.</w:t>
            </w:r>
          </w:p>
          <w:p w14:paraId="14C3D988" w14:textId="77777777" w:rsidR="00F53AA8" w:rsidRDefault="00000000">
            <w:pPr>
              <w:spacing w:line="300" w:lineRule="auto"/>
              <w:jc w:val="left"/>
              <w:rPr>
                <w:rFonts w:eastAsia="仿宋_GB2312"/>
                <w:sz w:val="24"/>
              </w:rPr>
            </w:pPr>
            <w:sdt>
              <w:sdtPr>
                <w:rPr>
                  <w:rFonts w:ascii="华文仿宋" w:eastAsia="华文仿宋" w:hAnsi="华文仿宋"/>
                  <w:sz w:val="24"/>
                </w:rPr>
                <w:alias w:val="source"/>
                <w:tag w:val="source"/>
                <w:id w:val="1349448350"/>
                <w:lock w:val="sdtLocked"/>
                <w14:checkbox>
                  <w14:checked w14:val="0"/>
                  <w14:checkedState w14:val="221A" w14:font="宋体"/>
                  <w14:uncheckedState w14:val="2610" w14:font="MS Gothic"/>
                </w14:checkbox>
              </w:sdtPr>
              <w:sdtContent>
                <w:permStart w:id="1089826878" w:edGrp="everyone"/>
                <w:r>
                  <w:rPr>
                    <w:rFonts w:ascii="MS Gothic" w:eastAsia="MS Gothic" w:hAnsi="MS Gothic" w:hint="eastAsia"/>
                    <w:sz w:val="24"/>
                  </w:rPr>
                  <w:t>☐</w:t>
                </w:r>
                <w:permEnd w:id="1089826878"/>
              </w:sdtContent>
            </w:sdt>
            <w:r>
              <w:rPr>
                <w:rFonts w:ascii="华文仿宋" w:eastAsia="华文仿宋" w:hAnsi="华文仿宋"/>
                <w:sz w:val="24"/>
              </w:rPr>
              <w:t xml:space="preserve"> 国家自然科学基金课题</w:t>
            </w:r>
            <w:r>
              <w:rPr>
                <w:rFonts w:eastAsia="仿宋_GB2312"/>
                <w:sz w:val="24"/>
              </w:rPr>
              <w:t xml:space="preserve"> NSFC Research Grants</w:t>
            </w:r>
          </w:p>
          <w:p w14:paraId="387CEE3B" w14:textId="77777777" w:rsidR="00F53AA8" w:rsidRDefault="00000000">
            <w:pPr>
              <w:spacing w:line="300" w:lineRule="auto"/>
              <w:jc w:val="left"/>
              <w:rPr>
                <w:rFonts w:eastAsia="仿宋_GB2312"/>
                <w:sz w:val="24"/>
              </w:rPr>
            </w:pPr>
            <w:sdt>
              <w:sdtPr>
                <w:rPr>
                  <w:rFonts w:ascii="华文仿宋" w:eastAsia="华文仿宋" w:hAnsi="华文仿宋"/>
                  <w:sz w:val="24"/>
                </w:rPr>
                <w:alias w:val="source"/>
                <w:tag w:val="source"/>
                <w:id w:val="-944311502"/>
                <w14:checkbox>
                  <w14:checked w14:val="0"/>
                  <w14:checkedState w14:val="221A" w14:font="宋体"/>
                  <w14:uncheckedState w14:val="2610" w14:font="MS Gothic"/>
                </w14:checkbox>
              </w:sdtPr>
              <w:sdtContent>
                <w:permStart w:id="1143024904" w:edGrp="everyone"/>
                <w:r>
                  <w:rPr>
                    <w:rFonts w:ascii="MS Gothic" w:eastAsia="MS Gothic" w:hAnsi="MS Gothic" w:hint="eastAsia"/>
                    <w:sz w:val="24"/>
                  </w:rPr>
                  <w:t>☐</w:t>
                </w:r>
                <w:permEnd w:id="1143024904"/>
              </w:sdtContent>
            </w:sdt>
            <w:r>
              <w:rPr>
                <w:rFonts w:ascii="华文仿宋" w:eastAsia="华文仿宋" w:hAnsi="华文仿宋"/>
                <w:sz w:val="24"/>
              </w:rPr>
              <w:t xml:space="preserve"> </w:t>
            </w:r>
            <w:r>
              <w:rPr>
                <w:rFonts w:ascii="华文仿宋" w:eastAsia="华文仿宋" w:hAnsi="华文仿宋" w:hint="eastAsia"/>
                <w:sz w:val="24"/>
              </w:rPr>
              <w:t xml:space="preserve">国家社会科学基金 </w:t>
            </w:r>
            <w:r>
              <w:rPr>
                <w:rFonts w:eastAsia="仿宋_GB2312" w:hint="eastAsia"/>
                <w:sz w:val="24"/>
              </w:rPr>
              <w:t>National Social Science Fund of China</w:t>
            </w:r>
          </w:p>
          <w:p w14:paraId="2BCC0D46" w14:textId="77777777" w:rsidR="00F53AA8" w:rsidRDefault="00000000">
            <w:pPr>
              <w:spacing w:line="300" w:lineRule="auto"/>
              <w:jc w:val="left"/>
              <w:rPr>
                <w:rFonts w:ascii="华文仿宋" w:eastAsia="华文仿宋" w:hAnsi="华文仿宋"/>
                <w:sz w:val="24"/>
              </w:rPr>
            </w:pPr>
            <w:sdt>
              <w:sdtPr>
                <w:rPr>
                  <w:rFonts w:ascii="华文仿宋" w:eastAsia="华文仿宋" w:hAnsi="华文仿宋"/>
                  <w:sz w:val="24"/>
                </w:rPr>
                <w:alias w:val="source"/>
                <w:tag w:val="source"/>
                <w:id w:val="226734177"/>
                <w14:checkbox>
                  <w14:checked w14:val="0"/>
                  <w14:checkedState w14:val="221A" w14:font="宋体"/>
                  <w14:uncheckedState w14:val="2610" w14:font="MS Gothic"/>
                </w14:checkbox>
              </w:sdtPr>
              <w:sdtContent>
                <w:permStart w:id="392510107" w:edGrp="everyone"/>
                <w:r>
                  <w:rPr>
                    <w:rFonts w:ascii="MS Gothic" w:eastAsia="MS Gothic" w:hAnsi="MS Gothic" w:hint="eastAsia"/>
                    <w:sz w:val="24"/>
                  </w:rPr>
                  <w:t>☐</w:t>
                </w:r>
                <w:permEnd w:id="392510107"/>
              </w:sdtContent>
            </w:sdt>
            <w:r>
              <w:rPr>
                <w:rFonts w:ascii="华文仿宋" w:eastAsia="华文仿宋" w:hAnsi="华文仿宋"/>
                <w:sz w:val="24"/>
              </w:rPr>
              <w:t xml:space="preserve"> 国家重大科研专项 </w:t>
            </w:r>
            <w:r>
              <w:rPr>
                <w:rFonts w:eastAsia="仿宋_GB2312"/>
                <w:sz w:val="24"/>
              </w:rPr>
              <w:t>National Key Research Project</w:t>
            </w:r>
            <w:r>
              <w:rPr>
                <w:rFonts w:eastAsia="仿宋_GB2312" w:hint="eastAsia"/>
                <w:sz w:val="24"/>
              </w:rPr>
              <w:t>s</w:t>
            </w:r>
          </w:p>
          <w:p w14:paraId="4E2606FA" w14:textId="77777777" w:rsidR="00F53AA8" w:rsidRDefault="00000000">
            <w:pPr>
              <w:spacing w:line="300" w:lineRule="auto"/>
              <w:jc w:val="left"/>
              <w:rPr>
                <w:rFonts w:ascii="华文仿宋" w:eastAsia="华文仿宋" w:hAnsi="华文仿宋"/>
                <w:sz w:val="24"/>
              </w:rPr>
            </w:pPr>
            <w:sdt>
              <w:sdtPr>
                <w:rPr>
                  <w:rFonts w:ascii="华文仿宋" w:eastAsia="华文仿宋" w:hAnsi="华文仿宋"/>
                  <w:sz w:val="24"/>
                </w:rPr>
                <w:alias w:val="source"/>
                <w:tag w:val="source"/>
                <w:id w:val="-1716879390"/>
                <w14:checkbox>
                  <w14:checked w14:val="0"/>
                  <w14:checkedState w14:val="221A" w14:font="宋体"/>
                  <w14:uncheckedState w14:val="2610" w14:font="MS Gothic"/>
                </w14:checkbox>
              </w:sdtPr>
              <w:sdtContent>
                <w:permStart w:id="950751011" w:edGrp="everyone"/>
                <w:r>
                  <w:rPr>
                    <w:rFonts w:ascii="MS Gothic" w:eastAsia="MS Gothic" w:hAnsi="MS Gothic" w:hint="eastAsia"/>
                    <w:sz w:val="24"/>
                  </w:rPr>
                  <w:t>☐</w:t>
                </w:r>
                <w:permEnd w:id="950751011"/>
              </w:sdtContent>
            </w:sdt>
            <w:r>
              <w:rPr>
                <w:rFonts w:ascii="华文仿宋" w:eastAsia="华文仿宋" w:hAnsi="华文仿宋"/>
                <w:sz w:val="24"/>
              </w:rPr>
              <w:t xml:space="preserve"> 其它纵向科研课题 </w:t>
            </w:r>
            <w:r>
              <w:rPr>
                <w:rFonts w:eastAsia="仿宋_GB2312"/>
                <w:sz w:val="24"/>
              </w:rPr>
              <w:t>Other Governmental Research Grants</w:t>
            </w:r>
          </w:p>
          <w:p w14:paraId="23E688C7" w14:textId="77777777" w:rsidR="00F53AA8" w:rsidRDefault="00000000">
            <w:pPr>
              <w:spacing w:line="300" w:lineRule="auto"/>
              <w:jc w:val="left"/>
              <w:rPr>
                <w:rFonts w:ascii="华文仿宋" w:eastAsia="华文仿宋" w:hAnsi="华文仿宋"/>
                <w:sz w:val="24"/>
              </w:rPr>
            </w:pPr>
            <w:sdt>
              <w:sdtPr>
                <w:rPr>
                  <w:rFonts w:ascii="华文仿宋" w:eastAsia="华文仿宋" w:hAnsi="华文仿宋"/>
                  <w:sz w:val="24"/>
                </w:rPr>
                <w:alias w:val="source"/>
                <w:tag w:val="source"/>
                <w:id w:val="723414340"/>
                <w14:checkbox>
                  <w14:checked w14:val="0"/>
                  <w14:checkedState w14:val="221A" w14:font="宋体"/>
                  <w14:uncheckedState w14:val="2610" w14:font="MS Gothic"/>
                </w14:checkbox>
              </w:sdtPr>
              <w:sdtContent>
                <w:permStart w:id="1075857210" w:edGrp="everyone"/>
                <w:r>
                  <w:rPr>
                    <w:rFonts w:ascii="MS Gothic" w:eastAsia="MS Gothic" w:hAnsi="MS Gothic" w:hint="eastAsia"/>
                    <w:sz w:val="24"/>
                  </w:rPr>
                  <w:t>☐</w:t>
                </w:r>
                <w:permEnd w:id="1075857210"/>
              </w:sdtContent>
            </w:sdt>
            <w:r>
              <w:rPr>
                <w:rFonts w:ascii="华文仿宋" w:eastAsia="华文仿宋" w:hAnsi="华文仿宋"/>
                <w:sz w:val="24"/>
              </w:rPr>
              <w:t xml:space="preserve"> </w:t>
            </w:r>
            <w:r>
              <w:rPr>
                <w:rFonts w:ascii="华文仿宋" w:eastAsia="华文仿宋" w:hAnsi="华文仿宋" w:hint="eastAsia"/>
                <w:sz w:val="24"/>
              </w:rPr>
              <w:t>企</w:t>
            </w:r>
            <w:r>
              <w:rPr>
                <w:rFonts w:ascii="华文仿宋" w:eastAsia="华文仿宋" w:hAnsi="华文仿宋"/>
                <w:sz w:val="24"/>
              </w:rPr>
              <w:t>业横向课题</w:t>
            </w:r>
            <w:r>
              <w:rPr>
                <w:rFonts w:eastAsia="仿宋_GB2312"/>
                <w:sz w:val="24"/>
              </w:rPr>
              <w:t xml:space="preserve"> R&amp;D Projects from Industry</w:t>
            </w:r>
          </w:p>
          <w:p w14:paraId="5E19F99B" w14:textId="77777777" w:rsidR="00F53AA8" w:rsidRDefault="00000000">
            <w:pPr>
              <w:spacing w:line="300" w:lineRule="auto"/>
              <w:jc w:val="left"/>
              <w:rPr>
                <w:rFonts w:eastAsia="仿宋_GB2312"/>
                <w:sz w:val="24"/>
              </w:rPr>
            </w:pPr>
            <w:sdt>
              <w:sdtPr>
                <w:rPr>
                  <w:rFonts w:ascii="华文仿宋" w:eastAsia="华文仿宋" w:hAnsi="华文仿宋"/>
                  <w:sz w:val="24"/>
                </w:rPr>
                <w:alias w:val="source"/>
                <w:tag w:val="source"/>
                <w:id w:val="990681279"/>
                <w14:checkbox>
                  <w14:checked w14:val="1"/>
                  <w14:checkedState w14:val="221A" w14:font="宋体"/>
                  <w14:uncheckedState w14:val="2610" w14:font="MS Gothic"/>
                </w14:checkbox>
              </w:sdtPr>
              <w:sdtContent>
                <w:permStart w:id="456815036" w:edGrp="everyone"/>
                <w:r>
                  <w:rPr>
                    <w:rFonts w:ascii="MS Gothic" w:eastAsia="MS Gothic" w:hAnsi="MS Gothic" w:hint="eastAsia"/>
                    <w:sz w:val="24"/>
                  </w:rPr>
                  <w:t>☒</w:t>
                </w:r>
                <w:permEnd w:id="456815036"/>
              </w:sdtContent>
            </w:sdt>
            <w:r>
              <w:rPr>
                <w:rFonts w:ascii="华文仿宋" w:eastAsia="华文仿宋" w:hAnsi="华文仿宋"/>
                <w:sz w:val="24"/>
              </w:rPr>
              <w:t xml:space="preserve"> 自拟课题 </w:t>
            </w:r>
            <w:r>
              <w:rPr>
                <w:rFonts w:eastAsia="仿宋_GB2312"/>
                <w:sz w:val="24"/>
              </w:rPr>
              <w:t>Self-proposed Project</w:t>
            </w:r>
          </w:p>
          <w:p w14:paraId="25899BCF" w14:textId="77777777" w:rsidR="00F53AA8" w:rsidRDefault="00000000">
            <w:pPr>
              <w:spacing w:line="300" w:lineRule="auto"/>
              <w:jc w:val="left"/>
              <w:rPr>
                <w:rFonts w:eastAsia="仿宋_GB2312"/>
                <w:sz w:val="24"/>
              </w:rPr>
            </w:pPr>
            <w:sdt>
              <w:sdtPr>
                <w:rPr>
                  <w:rFonts w:ascii="华文仿宋" w:eastAsia="华文仿宋" w:hAnsi="华文仿宋"/>
                  <w:sz w:val="24"/>
                </w:rPr>
                <w:alias w:val="source"/>
                <w:tag w:val="source"/>
                <w:id w:val="-705103836"/>
                <w14:checkbox>
                  <w14:checked w14:val="0"/>
                  <w14:checkedState w14:val="221A" w14:font="宋体"/>
                  <w14:uncheckedState w14:val="2610" w14:font="MS Gothic"/>
                </w14:checkbox>
              </w:sdtPr>
              <w:sdtContent>
                <w:permStart w:id="1625191440" w:edGrp="everyone"/>
                <w:r>
                  <w:rPr>
                    <w:rFonts w:ascii="MS Gothic" w:eastAsia="MS Gothic" w:hAnsi="MS Gothic" w:hint="eastAsia"/>
                    <w:sz w:val="24"/>
                  </w:rPr>
                  <w:t>☐</w:t>
                </w:r>
                <w:permEnd w:id="1625191440"/>
              </w:sdtContent>
            </w:sdt>
            <w:r>
              <w:rPr>
                <w:rFonts w:ascii="华文仿宋" w:eastAsia="华文仿宋" w:hAnsi="华文仿宋"/>
                <w:sz w:val="24"/>
              </w:rPr>
              <w:t xml:space="preserve"> </w:t>
            </w:r>
            <w:r>
              <w:rPr>
                <w:rFonts w:ascii="华文仿宋" w:eastAsia="华文仿宋" w:hAnsi="华文仿宋" w:hint="eastAsia"/>
                <w:sz w:val="24"/>
              </w:rPr>
              <w:t xml:space="preserve">其它 </w:t>
            </w:r>
            <w:r>
              <w:rPr>
                <w:rFonts w:eastAsia="仿宋_GB2312" w:hint="eastAsia"/>
                <w:sz w:val="24"/>
              </w:rPr>
              <w:t xml:space="preserve">Other </w:t>
            </w:r>
            <w:permStart w:id="2130859079" w:edGrp="everyone"/>
            <w:r>
              <w:rPr>
                <w:rFonts w:ascii="华文仿宋" w:eastAsia="华文仿宋" w:hAnsi="华文仿宋" w:hint="eastAsia"/>
                <w:sz w:val="24"/>
                <w:u w:val="single"/>
              </w:rPr>
              <w:t xml:space="preserve">                                    </w:t>
            </w:r>
            <w:permEnd w:id="2130859079"/>
          </w:p>
        </w:tc>
      </w:tr>
    </w:tbl>
    <w:p w14:paraId="2CE9487D" w14:textId="4F5819F4" w:rsidR="00F53AA8" w:rsidRDefault="00000000">
      <w:pPr>
        <w:numPr>
          <w:ilvl w:val="0"/>
          <w:numId w:val="2"/>
        </w:numPr>
        <w:spacing w:before="240" w:after="240"/>
        <w:rPr>
          <w:rFonts w:eastAsia="仿宋_GB2312"/>
          <w:b/>
          <w:sz w:val="24"/>
        </w:rPr>
        <w:keepNext/>
        <w:keepLines/>
        <w:widowControl/>
      </w:pPr>
      <w:r>
        <w:rPr>
          <w:rFonts w:eastAsia="仿宋_GB2312"/>
          <w:b/>
          <w:sz w:val="24"/>
        </w:rPr>
        <w:t>请综述课题</w:t>
      </w:r>
      <w:bookmarkStart w:id="2" w:name="OLE_LINK5"/>
      <w:bookmarkStart w:id="3" w:name="OLE_LINK6"/>
      <w:r>
        <w:rPr>
          <w:rFonts w:eastAsia="仿宋_GB2312"/>
          <w:b/>
          <w:sz w:val="24"/>
        </w:rPr>
        <w:t>国内外研究进展、现状</w:t>
      </w:r>
      <w:bookmarkEnd w:id="2"/>
      <w:bookmarkEnd w:id="3"/>
      <w:r>
        <w:rPr>
          <w:rFonts w:eastAsia="仿宋_GB2312"/>
          <w:b/>
          <w:sz w:val="24"/>
        </w:rPr>
        <w:t>、挑战与意义，可分节描述</w:t>
      </w:r>
      <w:r>
        <w:rPr>
          <w:rFonts w:eastAsia="仿宋_GB2312" w:hint="eastAsia"/>
          <w:b/>
          <w:sz w:val="24"/>
        </w:rPr>
        <w:t>。</w:t>
      </w:r>
      <w:r>
        <w:rPr>
          <w:rFonts w:eastAsia="仿宋_GB2312"/>
          <w:b/>
          <w:sz w:val="24"/>
        </w:rPr>
        <w:t>博士生不少于</w:t>
      </w:r>
      <w:r>
        <w:rPr>
          <w:rFonts w:eastAsia="仿宋_GB2312"/>
          <w:b/>
          <w:sz w:val="24"/>
        </w:rPr>
        <w:t>10,000</w:t>
      </w:r>
      <w:r>
        <w:rPr>
          <w:rFonts w:eastAsia="仿宋_GB2312"/>
          <w:b/>
          <w:sz w:val="24"/>
        </w:rPr>
        <w:t>汉字</w:t>
      </w:r>
      <w:r>
        <w:rPr>
          <w:rFonts w:eastAsia="仿宋_GB2312" w:hint="eastAsia"/>
          <w:b/>
          <w:sz w:val="24"/>
        </w:rPr>
        <w:t>，</w:t>
      </w:r>
      <w:r>
        <w:rPr>
          <w:rFonts w:eastAsia="仿宋_GB2312"/>
          <w:b/>
          <w:sz w:val="24"/>
        </w:rPr>
        <w:t>硕士生不少于</w:t>
      </w:r>
      <w:r>
        <w:rPr>
          <w:rFonts w:eastAsia="仿宋_GB2312" w:hint="eastAsia"/>
          <w:b/>
          <w:sz w:val="24"/>
        </w:rPr>
        <w:t>5</w:t>
      </w:r>
      <w:r>
        <w:rPr>
          <w:rFonts w:eastAsia="仿宋_GB2312"/>
          <w:b/>
          <w:sz w:val="24"/>
        </w:rPr>
        <w:t>,</w:t>
      </w:r>
      <w:r>
        <w:rPr>
          <w:rFonts w:eastAsia="仿宋_GB2312" w:hint="eastAsia"/>
          <w:b/>
          <w:sz w:val="24"/>
        </w:rPr>
        <w:t>000</w:t>
      </w:r>
      <w:r>
        <w:rPr>
          <w:rFonts w:eastAsia="仿宋_GB2312" w:hint="eastAsia"/>
          <w:b/>
          <w:sz w:val="24"/>
        </w:rPr>
        <w:t>汉字。</w:t>
      </w:r>
      <w:r>
        <w:rPr>
          <w:rFonts w:eastAsia="仿宋_GB2312"/>
          <w:b/>
          <w:sz w:val="24"/>
        </w:rPr>
        <w:t>请在文中标注参考文献。</w:t>
      </w:r>
      <w:r>
        <w:rPr>
          <w:rFonts w:eastAsia="仿宋_GB2312"/>
          <w:b/>
          <w:sz w:val="24"/>
        </w:rPr>
        <w:t xml:space="preserve"> Please review the frontier, current status, challenges and significance of the research topic. The citations should be marked in the context and listed in order at the end of this section. No less </w:t>
      </w:r>
      <w:r w:rsidR="00784D93">
        <w:rPr>
          <w:rFonts w:eastAsia="仿宋_GB2312" w:hint="eastAsia"/>
          <w:b/>
          <w:sz w:val="24"/>
        </w:rPr>
        <w:t>1</w:t>
      </w:r>
      <w:r>
        <w:rPr>
          <w:rFonts w:eastAsia="仿宋_GB2312"/>
          <w:b/>
          <w:sz w:val="24"/>
        </w:rPr>
        <w:t>,000 words for master students if written in English.</w:t>
      </w:r>
    </w:p>
    <w:p>
      <w:pPr>
        <w:jc w:val="left"/>
        <w:snapToGrid w:val="0"/>
        <w:widowControl/>
        <w:keepNext/>
        <w:keepLines/>
        <w:spacing w:before="180" w:after="80" w:line="300" w:lineRule="auto"/>
        <w:outlineLvl w:val="1"/>
      </w:pPr>
      <w:permStart w:id="108286397" w:edGrp="everyone"/>
      <w:r>
        <w:rPr>
          <w:rFonts w:ascii="Times New Roman" w:hAnsi="Times New Roman" w:eastAsia="华文楷体"/>
          <w:sz w:val="24"/>
          <w:color w:val="000000"/>
          <w:b/>
          <w:lang w:val="en-US"/>
        </w:rPr>
        <w:t xml:space="preserve">1.1 Why business-correct analytics requires knowledge</w:t>
      </w:r>
    </w:p>
    <w:p>
      <w:pPr>
        <w:jc w:val="left"/>
        <w:snapToGrid w:val="0"/>
        <w:widowControl/>
        <w:spacing w:before="100" w:after="0" w:line="300" w:lineRule="auto"/>
        <w:ind w:firstLine="480"/>
      </w:pPr>
      <w:r>
        <w:rPr>
          <w:rFonts w:ascii="Times New Roman" w:hAnsi="Times New Roman" w:eastAsia="华文楷体"/>
          <w:sz w:val="24"/>
          <w:color w:val="000000"/>
          <w:lang w:val="en-US"/>
        </w:rPr>
        <w:t xml:space="preserve">An analytics agent is a program that uses a language model to read sources, write and execute analysis code, and revise its work. It can produce code that runs successfully and still answer the wrong business question. Consider a request for average sales per customer. Before calculating anything, the agent must establish which customers count, which reporting period applies, and how returns or cancelled orders should be treated. Different choices can produce different, plausible answers from the same tables. Business-correct analytics therefore requires both an accurate calculation and the correct use of the knowledge defining the requested measure.</w:t>
      </w:r>
    </w:p>
    <w:p>
      <w:pPr>
        <w:jc w:val="left"/>
        <w:snapToGrid w:val="0"/>
        <w:widowControl/>
        <w:spacing w:before="100" w:after="0" w:line="300" w:lineRule="auto"/>
        <w:ind w:firstLine="480"/>
      </w:pPr>
      <w:r>
        <w:rPr>
          <w:rFonts w:ascii="Times New Roman" w:hAnsi="Times New Roman" w:eastAsia="华文楷体"/>
          <w:sz w:val="24"/>
          <w:color w:val="000000"/>
          <w:lang w:val="en-US"/>
        </w:rPr>
        <w:t xml:space="preserve">My professional experience in banking analytics motivates this problem. Tables can have clear schemas and column descriptions while the rules needed to interpret them remain in separate documents. Providing those documents makes the knowledge available, but the agent must still identify the applicable rule and implement it correctly.</w:t>
      </w:r>
    </w:p>
    <w:p>
      <w:pPr>
        <w:jc w:val="left"/>
        <w:snapToGrid w:val="0"/>
        <w:widowControl/>
        <w:spacing w:before="100" w:after="0" w:line="300" w:lineRule="auto"/>
        <w:ind w:firstLine="480"/>
      </w:pPr>
      <w:r>
        <w:rPr>
          <w:rFonts w:ascii="Times New Roman" w:hAnsi="Times New Roman" w:eastAsia="华文楷体"/>
          <w:sz w:val="24"/>
          <w:color w:val="000000"/>
          <w:lang w:val="en-US"/>
        </w:rPr>
        <w:t xml:space="preserve">This distinction also makes accuracy difficult to assess. A technical check can establish that code runs; matching an expected number can establish success on a particular task; examining the governing rules can establish whether the calculation answers the intended question. These checks address different aspects of quality. Comparing systems requires shared tasks, rules and evaluation criteria, as well as an understanding of how each system reaches its answer. This leads to existing analytics benchmarks and the systems evaluated on them.</w:t>
      </w:r>
    </w:p>
    <w:p>
      <w:pPr>
        <w:jc w:val="left"/>
        <w:snapToGrid w:val="0"/>
        <w:widowControl/>
        <w:keepNext/>
        <w:keepLines/>
        <w:spacing w:before="180" w:after="80" w:line="300" w:lineRule="auto"/>
        <w:outlineLvl w:val="1"/>
      </w:pPr>
      <w:r>
        <w:rPr>
          <w:rFonts w:ascii="Times New Roman" w:hAnsi="Times New Roman" w:eastAsia="华文楷体"/>
          <w:sz w:val="24"/>
          <w:color w:val="000000"/>
          <w:b/>
          <w:lang w:val="en-US"/>
        </w:rPr>
        <w:t xml:space="preserve">1.2 What leading analytics systems show</w:t>
      </w:r>
    </w:p>
    <w:p>
      <w:pPr>
        <w:jc w:val="left"/>
        <w:snapToGrid w:val="0"/>
        <w:widowControl/>
        <w:spacing w:before="100" w:after="0" w:line="300" w:lineRule="auto"/>
        <w:ind w:firstLine="480"/>
      </w:pPr>
      <w:r>
        <w:rPr>
          <w:rFonts w:ascii="Times New Roman" w:hAnsi="Times New Roman" w:eastAsia="华文楷体"/>
          <w:sz w:val="24"/>
          <w:color w:val="000000"/>
          <w:lang w:val="en-US"/>
        </w:rPr>
        <w:t xml:space="preserve">DABstep provides a common benchmark for multi-step data analysis using tables and supporting documentation [1]. It allows different systems to be evaluated on the same questions. Final-answer accuracy is an important starting point, but does not explain why an answer is wrong or which system component needs improvement.</w:t>
      </w:r>
    </w:p>
    <w:p>
      <w:pPr>
        <w:jc w:val="left"/>
        <w:snapToGrid w:val="0"/>
        <w:widowControl/>
        <w:spacing w:before="100" w:after="0" w:line="300" w:lineRule="auto"/>
        <w:ind w:firstLine="480"/>
      </w:pPr>
      <w:r>
        <w:rPr>
          <w:rFonts w:ascii="Times New Roman" w:hAnsi="Times New Roman" w:eastAsia="华文楷体"/>
          <w:sz w:val="24"/>
          <w:color w:val="000000"/>
          <w:lang w:val="en-US"/>
        </w:rPr>
        <w:t xml:space="preserve">This study focuses on DataPilot, DS-STAR and NVIDIA Data Explorer because they are among the leading validated DABstep entries and publish technical descriptions relevant to knowledge use and checking. On 14 October 2026, NVIDIA ranked first on hard-task accuracy at 89.95%, DataPilot second at 87.57%, and DS-STAR fifth at 45.24% [2]. These are rankings on the hard subset, not a claim that these are the top three systems. Their descriptions also provide complementary starting points for this research.</w:t>
      </w:r>
    </w:p>
    <w:p>
      <w:pPr>
        <w:jc w:val="left"/>
        <w:snapToGrid w:val="0"/>
        <w:widowControl/>
        <w:spacing w:before="100" w:after="0" w:line="300" w:lineRule="auto"/>
        <w:ind w:firstLine="480"/>
      </w:pPr>
      <w:r>
        <w:rPr>
          <w:rFonts w:ascii="Times New Roman" w:hAnsi="Times New Roman" w:eastAsia="华文楷体"/>
          <w:sz w:val="24"/>
          <w:color w:val="000000"/>
          <w:lang w:val="en-US"/>
        </w:rPr>
        <w:t xml:space="preserve">DataPilot emphasises reusable knowledge: it stores versioned procedures, metric definitions and executable assets, then brings relevant assets into the current task. Its main agent can delegate competing interpretations to subagents [3]. It is an important reference for studying how previously acquired knowledge informs a new calculation.</w:t>
      </w:r>
    </w:p>
    <w:p>
      <w:pPr>
        <w:jc w:val="left"/>
        <w:snapToGrid w:val="0"/>
        <w:widowControl/>
        <w:spacing w:before="100" w:after="0" w:line="300" w:lineRule="auto"/>
        <w:ind w:firstLine="480"/>
      </w:pPr>
      <w:r>
        <w:rPr>
          <w:rFonts w:ascii="Times New Roman" w:hAnsi="Times New Roman" w:eastAsia="华文楷体"/>
          <w:sz w:val="24"/>
          <w:color w:val="000000"/>
          <w:lang w:val="en-US"/>
        </w:rPr>
        <w:t xml:space="preserve">DS-STAR divides analysis into activities including understanding files, planning, coding and verification. Its reviewer assesses whether a proposed solution is sufficient and can trigger refinement [4]. It is an important reference for studying how an analytical result is checked before delivery.</w:t>
      </w:r>
    </w:p>
    <w:p>
      <w:pPr>
        <w:jc w:val="left"/>
        <w:snapToGrid w:val="0"/>
        <w:widowControl/>
        <w:spacing w:before="100" w:after="0" w:line="300" w:lineRule="auto"/>
        <w:ind w:firstLine="480"/>
      </w:pPr>
      <w:r>
        <w:rPr>
          <w:rFonts w:ascii="Times New Roman" w:hAnsi="Times New Roman" w:eastAsia="华文楷体"/>
          <w:sz w:val="24"/>
          <w:color w:val="000000"/>
          <w:lang w:val="en-US"/>
        </w:rPr>
        <w:t xml:space="preserve">NVIDIA combines substantial preparation of reusable functions and examples with a single tool-calling agent during inference and separate offline reflection [5]. Its leading result makes it a necessary counterpoint: high accuracy does not require a large team during each query. It also shows why prepared knowledge and the cost of creating it must be considered alongside runtime behaviour.</w:t>
      </w:r>
    </w:p>
    <w:p>
      <w:pPr>
        <w:jc w:val="left"/>
        <w:snapToGrid w:val="0"/>
        <w:widowControl/>
        <w:spacing w:before="100" w:after="0" w:line="300" w:lineRule="auto"/>
        <w:ind w:firstLine="480"/>
      </w:pPr>
      <w:r>
        <w:rPr>
          <w:rFonts w:ascii="Times New Roman" w:hAnsi="Times New Roman" w:eastAsia="华文楷体"/>
          <w:sz w:val="24"/>
          <w:color w:val="000000"/>
          <w:lang w:val="en-US"/>
        </w:rPr>
        <w:t xml:space="preserve">These systems motivate the study; their leaderboard scores do not isolate the effect of agent count, memory or review. Models, tools and preparation differ. DataPilot and DS-STAR will therefore guide the research design, while controlled experiments will use one reproducible adaptation with clearly stated differences from the original systems.</w:t>
      </w:r>
    </w:p>
    <w:p>
      <w:pPr>
        <w:jc w:val="left"/>
        <w:snapToGrid w:val="0"/>
        <w:widowControl/>
        <w:keepNext/>
        <w:keepLines/>
        <w:spacing w:before="180" w:after="80" w:line="300" w:lineRule="auto"/>
        <w:outlineLvl w:val="1"/>
      </w:pPr>
      <w:r>
        <w:rPr>
          <w:rFonts w:ascii="Times New Roman" w:hAnsi="Times New Roman" w:eastAsia="华文楷体"/>
          <w:sz w:val="24"/>
          <w:color w:val="000000"/>
          <w:b/>
          <w:lang w:val="en-US"/>
        </w:rPr>
        <w:t xml:space="preserve">1.3 Why study a multi-agent system?</w:t>
      </w:r>
    </w:p>
    <w:p>
      <w:pPr>
        <w:jc w:val="left"/>
        <w:snapToGrid w:val="0"/>
        <w:widowControl/>
        <w:spacing w:before="100" w:after="0" w:line="300" w:lineRule="auto"/>
        <w:ind w:firstLine="480"/>
      </w:pPr>
      <w:r>
        <w:rPr>
          <w:rFonts w:ascii="Times New Roman" w:hAnsi="Times New Roman" w:eastAsia="华文楷体"/>
          <w:sz w:val="24"/>
          <w:color w:val="000000"/>
          <w:lang w:val="en-US"/>
        </w:rPr>
        <w:t xml:space="preserve">A multi-agent system (MAS) consists of agents that coordinate their work. This study uses a hierarchy: a main agent delegates tasks to subagents with separate working conversations, or contexts. Although NVIDIA leads DABstep with a single agent during inference, a hierarchy offers two relevant opportunities.</w:t>
      </w:r>
    </w:p>
    <w:p>
      <w:pPr>
        <w:jc w:val="left"/>
        <w:snapToGrid w:val="0"/>
        <w:widowControl/>
        <w:spacing w:before="100" w:after="0" w:line="300" w:lineRule="auto"/>
        <w:ind w:firstLine="480"/>
      </w:pPr>
      <w:r>
        <w:rPr>
          <w:rFonts w:ascii="Times New Roman" w:hAnsi="Times New Roman" w:eastAsia="华文楷体"/>
          <w:sz w:val="24"/>
          <w:color w:val="000000"/>
          <w:lang w:val="en-US"/>
        </w:rPr>
        <w:t xml:space="preserve">First, an evidence worker can assess a retrieved procedure before passing it to a computational agent, keeping inapplicable instructions out of the calculation context. Second, a reviewer can read the question and sources before seeing the proposed answer, then challenge the solver's interpretation. These boundaries motivate studying knowledge use and review in MAS.</w:t>
      </w:r>
    </w:p>
    <w:p>
      <w:pPr>
        <w:jc w:val="left"/>
        <w:snapToGrid w:val="0"/>
        <w:widowControl/>
        <w:spacing w:before="100" w:after="0" w:line="300" w:lineRule="auto"/>
        <w:ind w:firstLine="480"/>
      </w:pPr>
      <w:r>
        <w:rPr>
          <w:rFonts w:ascii="Times New Roman" w:hAnsi="Times New Roman" w:eastAsia="华文楷体"/>
          <w:sz w:val="24"/>
          <w:color w:val="000000"/>
          <w:lang w:val="en-US"/>
        </w:rPr>
        <w:t xml:space="preserve">Their value must be tested: collaboration can add overhead [6], and a single agent can perform comparable procedures [7]. The experiment will therefore compare the hierarchy with similarly equipped single agents, measuring whether reliability gains justify the additional cost.</w:t>
      </w:r>
    </w:p>
    <w:p>
      <w:pPr>
        <w:jc w:val="left"/>
        <w:snapToGrid w:val="0"/>
        <w:widowControl/>
        <w:keepNext/>
        <w:keepLines/>
        <w:spacing w:before="180" w:after="80" w:line="300" w:lineRule="auto"/>
        <w:outlineLvl w:val="1"/>
      </w:pPr>
      <w:r>
        <w:rPr>
          <w:rFonts w:ascii="Times New Roman" w:hAnsi="Times New Roman" w:eastAsia="华文楷体"/>
          <w:sz w:val="24"/>
          <w:color w:val="000000"/>
          <w:b/>
          <w:lang w:val="en-US"/>
        </w:rPr>
        <w:t xml:space="preserve">1.4 Using MAST to identify two research problems</w:t>
      </w:r>
    </w:p>
    <w:p>
      <w:pPr>
        <w:jc w:val="left"/>
        <w:snapToGrid w:val="0"/>
        <w:widowControl/>
        <w:spacing w:before="100" w:after="0" w:line="300" w:lineRule="auto"/>
        <w:ind w:firstLine="480"/>
      </w:pPr>
      <w:r>
        <w:rPr>
          <w:rFonts w:ascii="Times New Roman" w:hAnsi="Times New Roman" w:eastAsia="华文楷体"/>
          <w:sz w:val="24"/>
          <w:color w:val="000000"/>
          <w:lang w:val="en-US"/>
        </w:rPr>
        <w:t xml:space="preserve">To investigate a multi-agent workflow, it is necessary to describe where it fails. The Multi-Agent System Failure Taxonomy, or MAST, groups failures into system design, inter-agent misalignment and task verification [8]. It provides a vocabulary for examining execution traces rather than treating every wrong final answer as the same error. This study will use it to organise diagnosis, then focus on two problems relevant to business analytics.</w:t>
      </w:r>
    </w:p>
    <w:p>
      <w:pPr>
        <w:jc w:val="left"/>
        <w:snapToGrid w:val="0"/>
        <w:widowControl/>
        <w:spacing w:before="100" w:after="0" w:line="300" w:lineRule="auto"/>
        <w:ind w:firstLine="480"/>
      </w:pPr>
      <w:r>
        <w:rPr>
          <w:rFonts w:ascii="Times New Roman" w:hAnsi="Times New Roman" w:eastAsia="华文楷体"/>
          <w:sz w:val="24"/>
          <w:color w:val="000000"/>
          <w:b/>
          <w:lang w:val="en-US"/>
        </w:rPr>
        <w:t xml:space="preserve">Problem one: available knowledge or experience is not used appropriately.</w:t>
      </w:r>
      <w:r>
        <w:rPr>
          <w:rFonts w:ascii="Times New Roman" w:hAnsi="Times New Roman" w:eastAsia="华文楷体"/>
          <w:sz w:val="24"/>
          <w:color w:val="000000"/>
          <w:lang w:val="en-US"/>
        </w:rPr>
        <w:t xml:space="preserve"> A worker may find a relevant rule but fail to pass it on; another agent may receive it but disregard it. A remembered procedure may also be applied outside its valid business scope. For example, a previous sales calculation may exclude cancelled orders, while the current measure requires a different treatment. The research will examine the wider information-use problem but intervene specifically when retrieved experience is admitted for use. ReasoningBank provides a precedent for retrieving past experience to support new tasks [9]; our question is whether its applicability should be checked explicitly against current sources.</w:t>
      </w:r>
    </w:p>
    <w:p>
      <w:pPr>
        <w:jc w:val="left"/>
        <w:snapToGrid w:val="0"/>
        <w:widowControl/>
        <w:spacing w:before="100" w:after="0" w:line="300" w:lineRule="auto"/>
        <w:ind w:firstLine="480"/>
      </w:pPr>
      <w:r>
        <w:rPr>
          <w:rFonts w:ascii="Times New Roman" w:hAnsi="Times New Roman" w:eastAsia="华文楷体"/>
          <w:sz w:val="24"/>
          <w:color w:val="000000"/>
          <w:b/>
          <w:lang w:val="en-US"/>
        </w:rPr>
        <w:t xml:space="preserve">Problem two: review accepts an incorrect business interpretation.</w:t>
      </w:r>
      <w:r>
        <w:rPr>
          <w:rFonts w:ascii="Times New Roman" w:hAnsi="Times New Roman" w:eastAsia="华文楷体"/>
          <w:sz w:val="24"/>
          <w:color w:val="000000"/>
          <w:lang w:val="en-US"/>
        </w:rPr>
        <w:t xml:space="preserve"> There are two important cases. The reviewer may check arithmetic while omitting a required eligibility or denominator check, corresponding to incomplete verification. Alternatively, it may examine the disputed rule and wrongly approve its use, corresponding to incorrect verification. These are different targets: performing more checks does not necessarily improve the judgement made by each check.</w:t>
      </w:r>
    </w:p>
    <w:p>
      <w:pPr>
        <w:jc w:val="left"/>
        <w:snapToGrid w:val="0"/>
        <w:widowControl/>
        <w:spacing w:before="100" w:after="0" w:line="300" w:lineRule="auto"/>
        <w:ind w:firstLine="480"/>
      </w:pPr>
      <w:r>
        <w:rPr>
          <w:rFonts w:ascii="Times New Roman" w:hAnsi="Times New Roman" w:eastAsia="华文楷体"/>
          <w:sz w:val="24"/>
          <w:color w:val="000000"/>
          <w:lang w:val="en-US"/>
        </w:rPr>
        <w:t xml:space="preserve">MAST will provide the starting classification. Where its categories do not adequately distinguish recurring analytics failures, the study will propose domain-specific refinements or additional subtypes, supported by definitions and trace examples. Their contribution will be assessed through coding consistency and usefulness in identifying targets for improvement.</w:t>
      </w:r>
    </w:p>
    <w:p>
      <w:pPr>
        <w:jc w:val="left"/>
        <w:snapToGrid w:val="0"/>
        <w:widowControl/>
        <w:keepNext/>
        <w:keepLines/>
        <w:spacing w:before="180" w:after="80" w:line="300" w:lineRule="auto"/>
        <w:outlineLvl w:val="1"/>
      </w:pPr>
      <w:r>
        <w:rPr>
          <w:rFonts w:ascii="Times New Roman" w:hAnsi="Times New Roman" w:eastAsia="华文楷体"/>
          <w:sz w:val="24"/>
          <w:color w:val="000000"/>
          <w:b/>
          <w:lang w:val="en-US"/>
        </w:rPr>
        <w:t xml:space="preserve">1.5 Building on existing solutions</w:t>
      </w:r>
    </w:p>
    <w:p>
      <w:pPr>
        <w:jc w:val="left"/>
        <w:snapToGrid w:val="0"/>
        <w:widowControl/>
        <w:spacing w:before="100" w:after="0" w:line="300" w:lineRule="auto"/>
        <w:ind w:firstLine="480"/>
      </w:pPr>
      <w:r>
        <w:rPr>
          <w:rFonts w:ascii="Times New Roman" w:hAnsi="Times New Roman" w:eastAsia="华文楷体"/>
          <w:sz w:val="24"/>
          <w:color w:val="000000"/>
          <w:lang w:val="en-US"/>
        </w:rPr>
        <w:t xml:space="preserve">The two proposed changes address different stages of the workflow. First, </w:t>
      </w:r>
      <w:r>
        <w:rPr>
          <w:rFonts w:ascii="Times New Roman" w:hAnsi="Times New Roman" w:eastAsia="华文楷体"/>
          <w:sz w:val="24"/>
          <w:color w:val="000000"/>
          <w:b/>
          <w:lang w:val="en-US"/>
        </w:rPr>
        <w:t xml:space="preserve">evidence-checked experience reuse</w:t>
      </w:r>
      <w:r>
        <w:rPr>
          <w:rFonts w:ascii="Times New Roman" w:hAnsi="Times New Roman" w:eastAsia="华文楷体"/>
          <w:sz w:val="24"/>
          <w:color w:val="000000"/>
          <w:lang w:val="en-US"/>
        </w:rPr>
        <w:t xml:space="preserve"> will assess whether a retrieved procedure's conditions are supported by current documents before passing it to the computational agent. Useful compatible procedures should remain available. The question is whether this additional check improves ordinary retrieval and source use, not whether memory is beneficial in every task.</w:t>
      </w:r>
    </w:p>
    <w:p>
      <w:pPr>
        <w:jc w:val="left"/>
        <w:snapToGrid w:val="0"/>
        <w:widowControl/>
        <w:spacing w:before="100" w:after="0" w:line="300" w:lineRule="auto"/>
        <w:ind w:firstLine="480"/>
      </w:pPr>
      <w:r>
        <w:rPr>
          <w:rFonts w:ascii="Times New Roman" w:hAnsi="Times New Roman" w:eastAsia="华文楷体"/>
          <w:sz w:val="24"/>
          <w:color w:val="000000"/>
          <w:lang w:val="en-US"/>
        </w:rPr>
        <w:t xml:space="preserve">Second, </w:t>
      </w:r>
      <w:r>
        <w:rPr>
          <w:rFonts w:ascii="Times New Roman" w:hAnsi="Times New Roman" w:eastAsia="华文楷体"/>
          <w:sz w:val="24"/>
          <w:color w:val="000000"/>
          <w:b/>
          <w:lang w:val="en-US"/>
        </w:rPr>
        <w:t xml:space="preserve">source-grounded counterexample review</w:t>
      </w:r>
      <w:r>
        <w:rPr>
          <w:rFonts w:ascii="Times New Roman" w:hAnsi="Times New Roman" w:eastAsia="华文楷体"/>
          <w:sz w:val="24"/>
          <w:color w:val="000000"/>
          <w:lang w:val="en-US"/>
        </w:rPr>
        <w:t xml:space="preserve"> will challenge a candidate interpretation with a small executable example. For instance, if two calculations treat cancelled orders differently, test data containing such an order can expose the difference. The documents determine which interpretation is correct; disagreement between calculations alone cannot do so.</w:t>
      </w:r>
    </w:p>
    <w:p>
      <w:pPr>
        <w:jc w:val="left"/>
        <w:snapToGrid w:val="0"/>
        <w:widowControl/>
        <w:spacing w:before="100" w:after="0" w:line="300" w:lineRule="auto"/>
        <w:ind w:firstLine="480"/>
      </w:pPr>
      <w:r>
        <w:rPr>
          <w:rFonts w:ascii="Times New Roman" w:hAnsi="Times New Roman" w:eastAsia="华文楷体"/>
          <w:sz w:val="24"/>
          <w:color w:val="000000"/>
          <w:lang w:val="en-US"/>
        </w:rPr>
        <w:t xml:space="preserve">SQLDriller provides a methodological precedent for using small databases to distinguish alternative SQL interpretations [10]. TS-SQL studies executable tests for refinement [11]. QueryProof connects business rules, verification and reliability-aware analytics evaluation [12]. These works establish that memory, rule checks and executable tests are existing ideas. Our contribution must come from their carefully specified adaptation and controlled evaluation.</w:t>
      </w:r>
    </w:p>
    <w:p>
      <w:pPr>
        <w:jc w:val="left"/>
        <w:snapToGrid w:val="0"/>
        <w:widowControl/>
        <w:spacing w:before="100" w:after="0" w:line="300" w:lineRule="auto"/>
        <w:ind w:firstLine="480"/>
      </w:pPr>
      <w:r>
        <w:rPr>
          <w:rFonts w:ascii="Times New Roman" w:hAnsi="Times New Roman" w:eastAsia="华文楷体"/>
          <w:sz w:val="24"/>
          <w:color w:val="000000"/>
          <w:lang w:val="en-US"/>
        </w:rPr>
        <w:t xml:space="preserve">Additional checking also needs an economic justification. FinHelm's author reports a small development comparison in which verification added cost without improving mean accuracy [13]. This does not settle the value of checking, but makes its benefit an empirical question. Detailed protocols, implementation controls and measurements are presented in Section 3.</w:t>
      </w:r>
    </w:p>
    <w:p>
      <w:pPr>
        <w:jc w:val="left"/>
        <w:snapToGrid w:val="0"/>
        <w:widowControl/>
        <w:keepNext/>
        <w:keepLines/>
        <w:spacing w:before="180" w:after="80" w:line="300" w:lineRule="auto"/>
        <w:outlineLvl w:val="1"/>
      </w:pPr>
      <w:r>
        <w:rPr>
          <w:rFonts w:ascii="Times New Roman" w:hAnsi="Times New Roman" w:eastAsia="华文楷体"/>
          <w:sz w:val="24"/>
          <w:color w:val="000000"/>
          <w:b/>
          <w:lang w:val="en-US"/>
        </w:rPr>
        <w:t xml:space="preserve">1.6 Research contribution and practical significance</w:t>
      </w:r>
    </w:p>
    <w:p>
      <w:pPr>
        <w:jc w:val="left"/>
        <w:snapToGrid w:val="0"/>
        <w:widowControl/>
        <w:spacing w:before="100" w:after="0" w:line="300" w:lineRule="auto"/>
        <w:ind w:firstLine="480"/>
      </w:pPr>
      <w:r>
        <w:rPr>
          <w:rFonts w:ascii="Times New Roman" w:hAnsi="Times New Roman" w:eastAsia="华文楷体"/>
          <w:sz w:val="24"/>
          <w:color w:val="000000"/>
          <w:lang w:val="en-US"/>
        </w:rPr>
        <w:t xml:space="preserve">This thesis will investigate evidence-checked experience reuse and source-grounded counterexample review separately and together in one hierarchical analytics system. It will connect changes in final-answer quality with evidence about inappropriate reuse, omitted checks and incorrect review decisions. Strong single-agent comparisons will test whether the hierarchy adds value beyond the procedures themselves.</w:t>
      </w:r>
    </w:p>
    <w:p>
      <w:pPr>
        <w:jc w:val="left"/>
        <w:snapToGrid w:val="0"/>
        <w:widowControl/>
        <w:spacing w:before="100" w:after="0" w:line="300" w:lineRule="auto"/>
        <w:ind w:firstLine="480"/>
      </w:pPr>
      <w:r>
        <w:rPr>
          <w:rFonts w:ascii="Times New Roman" w:hAnsi="Times New Roman" w:eastAsia="华文楷体"/>
          <w:sz w:val="24"/>
          <w:color w:val="000000"/>
          <w:lang w:val="en-US"/>
        </w:rPr>
        <w:t xml:space="preserve">The practical significance is guidance for choosing how much effort to invest in knowledge preparation, reuse and checking. Better handling of documented rules could make analytical systems more useful and reduce adaptation work, but deployment across arbitrary businesses is not an objective of this study. Accuracy, coverage, preparation effort and operating cost will be reported together. The research will not claim realised productivity savings or return on investment without workplace evidence.</w:t>
      </w:r>
    </w:p>
    <w:permEnd w:id="108286397"/>
    <w:p w14:paraId="0ACA5961" w14:textId="77777777" w:rsidR="00F53AA8" w:rsidRDefault="00000000">
      <w:pPr>
        <w:snapToGrid w:val="0"/>
        <w:ind w:firstLineChars="200" w:firstLine="480"/>
        <w:jc w:val="left"/>
        <w:rPr>
          <w:rFonts w:eastAsia="华文楷体"/>
          <w:sz w:val="24"/>
        </w:rPr>
        <w:keepNext/>
        <w:keepLines/>
        <w:widowControl/>
      </w:pPr>
      <w:r>
        <w:rPr>
          <w:rFonts w:eastAsia="华文楷体"/>
          <w:sz w:val="24"/>
        </w:rPr>
        <w:t>参考文献</w:t>
      </w:r>
      <w:r>
        <w:rPr>
          <w:rFonts w:eastAsia="华文楷体" w:hint="eastAsia"/>
          <w:sz w:val="24"/>
        </w:rPr>
        <w:t xml:space="preserve"> Reference</w:t>
      </w:r>
      <w:r>
        <w:rPr>
          <w:rFonts w:eastAsia="华文楷体" w:hint="eastAsia"/>
          <w:sz w:val="24"/>
        </w:rPr>
        <w:t>：</w:t>
      </w:r>
    </w:p>
    <w:p>
      <w:pPr>
        <w:jc w:val="left"/>
        <w:snapToGrid w:val="0"/>
        <w:widowControl/>
        <w:keepLines/>
        <w:spacing w:before="0" w:after="100" w:line="300" w:lineRule="auto"/>
        <w:ind w:left="420" w:hanging="420"/>
      </w:pPr>
      <w:permStart w:id="1035810870" w:edGrp="everyone"/>
      <w:r>
        <w:rPr>
          <w:rFonts w:ascii="Times New Roman" w:hAnsi="Times New Roman" w:eastAsia="华文楷体"/>
          <w:sz w:val="24"/>
          <w:color w:val="000000"/>
          <w:lang w:val="en-US"/>
        </w:rPr>
        <w:t xml:space="preserve">[1] Egg, Alex, Martin Iglesias Goyanes, Friso Kingma, Andreu Mora, Leandro von Werra, and Thomas Wolf. 2025. “DABstep: Data Agent Benchmark for Multi-step Reasoning.” arXiv:2506.23719v1. </w:t>
      </w:r>
      <w:hyperlink r:id="rId100">
        <w:r>
          <w:rPr>
            <w:rFonts w:ascii="Times New Roman" w:hAnsi="Times New Roman" w:eastAsia="华文楷体"/>
            <w:sz w:val="24"/>
            <w:color w:val="000000"/>
            <w:u w:val="single"/>
            <w:lang w:val="en-US"/>
          </w:rPr>
          <w:t xml:space="preserve">Paper</w:t>
        </w:r>
      </w:hyperlink>
      <w:r>
        <w:rPr>
          <w:rFonts w:ascii="Times New Roman" w:hAnsi="Times New Roman" w:eastAsia="华文楷体"/>
          <w:sz w:val="24"/>
          <w:color w:val="000000"/>
          <w:lang w:val="en-US"/>
        </w:rPr>
        <w:t xml:space="preserve">.</w:t>
      </w:r>
    </w:p>
    <w:p>
      <w:pPr>
        <w:jc w:val="left"/>
        <w:snapToGrid w:val="0"/>
        <w:widowControl/>
        <w:keepLines/>
        <w:spacing w:before="0" w:after="100" w:line="300" w:lineRule="auto"/>
        <w:ind w:left="420" w:hanging="420"/>
      </w:pPr>
      <w:r>
        <w:rPr>
          <w:rFonts w:ascii="Times New Roman" w:hAnsi="Times New Roman" w:eastAsia="华文楷体"/>
          <w:sz w:val="24"/>
          <w:color w:val="000000"/>
          <w:lang w:val="en-US"/>
        </w:rPr>
        <w:t xml:space="preserve">[2] Adyen and Hugging Face. “DABstep Leaderboard.” Validated submissions, hard-task accuracy ranking. Accessed October 14, 2026. </w:t>
      </w:r>
      <w:hyperlink r:id="rId101">
        <w:r>
          <w:rPr>
            <w:rFonts w:ascii="Times New Roman" w:hAnsi="Times New Roman" w:eastAsia="华文楷体"/>
            <w:sz w:val="24"/>
            <w:color w:val="000000"/>
            <w:u w:val="single"/>
            <w:lang w:val="en-US"/>
          </w:rPr>
          <w:t xml:space="preserve">Leaderboard</w:t>
        </w:r>
      </w:hyperlink>
      <w:r>
        <w:rPr>
          <w:rFonts w:ascii="Times New Roman" w:hAnsi="Times New Roman" w:eastAsia="华文楷体"/>
          <w:sz w:val="24"/>
          <w:color w:val="000000"/>
          <w:lang w:val="en-US"/>
        </w:rPr>
        <w:t xml:space="preserve">.</w:t>
      </w:r>
    </w:p>
    <w:p>
      <w:pPr>
        <w:jc w:val="left"/>
        <w:snapToGrid w:val="0"/>
        <w:widowControl/>
        <w:keepLines/>
        <w:spacing w:before="0" w:after="100" w:line="300" w:lineRule="auto"/>
        <w:ind w:left="420" w:hanging="420"/>
      </w:pPr>
      <w:r>
        <w:rPr>
          <w:rFonts w:ascii="Times New Roman" w:hAnsi="Times New Roman" w:eastAsia="华文楷体"/>
          <w:sz w:val="24"/>
          <w:color w:val="000000"/>
          <w:lang w:val="en-US"/>
        </w:rPr>
        <w:t xml:space="preserve">[3] Gao, Zion. 2026. “Beyond Fine-tuning: Solving DABstep's Hard Mode with Versioned Assets.” OceanBase technical article, January 9, updated October 10. </w:t>
      </w:r>
      <w:hyperlink r:id="rId102">
        <w:r>
          <w:rPr>
            <w:rFonts w:ascii="Times New Roman" w:hAnsi="Times New Roman" w:eastAsia="华文楷体"/>
            <w:sz w:val="24"/>
            <w:color w:val="000000"/>
            <w:u w:val="single"/>
            <w:lang w:val="en-US"/>
          </w:rPr>
          <w:t xml:space="preserve">Article</w:t>
        </w:r>
      </w:hyperlink>
      <w:r>
        <w:rPr>
          <w:rFonts w:ascii="Times New Roman" w:hAnsi="Times New Roman" w:eastAsia="华文楷体"/>
          <w:sz w:val="24"/>
          <w:color w:val="000000"/>
          <w:lang w:val="en-US"/>
        </w:rPr>
        <w:t xml:space="preserve">.</w:t>
      </w:r>
    </w:p>
    <w:p>
      <w:pPr>
        <w:jc w:val="left"/>
        <w:snapToGrid w:val="0"/>
        <w:widowControl/>
        <w:keepLines/>
        <w:spacing w:before="0" w:after="100" w:line="300" w:lineRule="auto"/>
        <w:ind w:left="420" w:hanging="420"/>
      </w:pPr>
      <w:r>
        <w:rPr>
          <w:rFonts w:ascii="Times New Roman" w:hAnsi="Times New Roman" w:eastAsia="华文楷体"/>
          <w:sz w:val="24"/>
          <w:color w:val="000000"/>
          <w:lang w:val="en-US"/>
        </w:rPr>
        <w:t xml:space="preserve">[4] Nam, Jaehyun, Jinsung Yoon, Jiefeng Chen, Raj Sinha, Jinwoo Shin, and Tomas Pfister. 2025, revised 2026. “DS-STAR: Data Science Agent for Solving Diverse Tasks across Heterogeneous Formats and Open-Ended Queries.” arXiv:2509.21825v4. </w:t>
      </w:r>
      <w:hyperlink r:id="rId103">
        <w:r>
          <w:rPr>
            <w:rFonts w:ascii="Times New Roman" w:hAnsi="Times New Roman" w:eastAsia="华文楷体"/>
            <w:sz w:val="24"/>
            <w:color w:val="000000"/>
            <w:u w:val="single"/>
            <w:lang w:val="en-US"/>
          </w:rPr>
          <w:t xml:space="preserve">Paper</w:t>
        </w:r>
      </w:hyperlink>
      <w:r>
        <w:rPr>
          <w:rFonts w:ascii="Times New Roman" w:hAnsi="Times New Roman" w:eastAsia="华文楷体"/>
          <w:sz w:val="24"/>
          <w:color w:val="000000"/>
          <w:lang w:val="en-US"/>
        </w:rPr>
        <w:t xml:space="preserve">.</w:t>
      </w:r>
    </w:p>
    <w:p>
      <w:pPr>
        <w:jc w:val="left"/>
        <w:snapToGrid w:val="0"/>
        <w:widowControl/>
        <w:keepLines/>
        <w:spacing w:before="0" w:after="100" w:line="300" w:lineRule="auto"/>
        <w:ind w:left="420" w:hanging="420"/>
      </w:pPr>
      <w:r>
        <w:rPr>
          <w:rFonts w:ascii="Times New Roman" w:hAnsi="Times New Roman" w:eastAsia="华文楷体"/>
          <w:sz w:val="24"/>
          <w:color w:val="000000"/>
          <w:lang w:val="en-US"/>
        </w:rPr>
        <w:t xml:space="preserve">[5] Liu, Jiwei, Maximilian Jeblick, and Jack Yu. 2026. “Build an Agent That Thinks Like a Data Scientist: How We Hit #1 on DABStep with Reusable Tool Generation.” NVIDIA community technical article, March 13. </w:t>
      </w:r>
      <w:hyperlink r:id="rId104">
        <w:r>
          <w:rPr>
            <w:rFonts w:ascii="Times New Roman" w:hAnsi="Times New Roman" w:eastAsia="华文楷体"/>
            <w:sz w:val="24"/>
            <w:color w:val="000000"/>
            <w:u w:val="single"/>
            <w:lang w:val="en-US"/>
          </w:rPr>
          <w:t xml:space="preserve">Article</w:t>
        </w:r>
      </w:hyperlink>
      <w:r>
        <w:rPr>
          <w:rFonts w:ascii="Times New Roman" w:hAnsi="Times New Roman" w:eastAsia="华文楷体"/>
          <w:sz w:val="24"/>
          <w:color w:val="000000"/>
          <w:lang w:val="en-US"/>
        </w:rPr>
        <w:t xml:space="preserve">.</w:t>
      </w:r>
    </w:p>
    <w:p>
      <w:pPr>
        <w:jc w:val="left"/>
        <w:snapToGrid w:val="0"/>
        <w:widowControl/>
        <w:keepLines/>
        <w:spacing w:before="0" w:after="100" w:line="300" w:lineRule="auto"/>
        <w:ind w:left="420" w:hanging="420"/>
      </w:pPr>
      <w:r>
        <w:rPr>
          <w:rFonts w:ascii="Times New Roman" w:hAnsi="Times New Roman" w:eastAsia="华文楷体"/>
          <w:sz w:val="24"/>
          <w:color w:val="000000"/>
          <w:lang w:val="en-US"/>
        </w:rPr>
        <w:t xml:space="preserve">[6] Kim, Yubin, Ken Gu, Chanwoo Park, Chunjong Park, Samuel Schmidgall, A. Ali Heydari, Yao Yan, Zhihan Zhang, Yuchen Zhuang, Yun Liu, Mark Malhotra, Paul Pu Liang, Hae Won Park, Yuzhe Yang, Xuhai Xu, Yilun Du, Shwetak Patel, Tim Althoff, Daniel McDuff, and Xin Liu. 2025, revised 2026. “Towards a Science of Scaling Agent Systems.” arXiv:2512.08296v3. </w:t>
      </w:r>
      <w:hyperlink r:id="rId105">
        <w:r>
          <w:rPr>
            <w:rFonts w:ascii="Times New Roman" w:hAnsi="Times New Roman" w:eastAsia="华文楷体"/>
            <w:sz w:val="24"/>
            <w:color w:val="000000"/>
            <w:u w:val="single"/>
            <w:lang w:val="en-US"/>
          </w:rPr>
          <w:t xml:space="preserve">Paper</w:t>
        </w:r>
      </w:hyperlink>
      <w:r>
        <w:rPr>
          <w:rFonts w:ascii="Times New Roman" w:hAnsi="Times New Roman" w:eastAsia="华文楷体"/>
          <w:sz w:val="24"/>
          <w:color w:val="000000"/>
          <w:lang w:val="en-US"/>
        </w:rPr>
        <w:t xml:space="preserve">.</w:t>
      </w:r>
    </w:p>
    <w:p>
      <w:pPr>
        <w:jc w:val="left"/>
        <w:snapToGrid w:val="0"/>
        <w:widowControl/>
        <w:keepLines/>
        <w:spacing w:before="0" w:after="100" w:line="300" w:lineRule="auto"/>
        <w:ind w:left="420" w:hanging="420"/>
      </w:pPr>
      <w:r>
        <w:rPr>
          <w:rFonts w:ascii="Times New Roman" w:hAnsi="Times New Roman" w:eastAsia="华文楷体"/>
          <w:sz w:val="24"/>
          <w:color w:val="000000"/>
          <w:lang w:val="en-US"/>
        </w:rPr>
        <w:t xml:space="preserve">[7] Xu, Jiawei, Arief Koesdwiady, Sisong Bei, Yan Han, Baixiang Huang, Dakuo Wang, Yutong Chen, Zheshen Wang, Peihao Wang, Pan Li, and Ying Ding. 2026. “Rethinking the Value of Multi-Agent Workflow: A Strong Single Agent Baseline.” arXiv:2601.12307v1. </w:t>
      </w:r>
      <w:hyperlink r:id="rId106">
        <w:r>
          <w:rPr>
            <w:rFonts w:ascii="Times New Roman" w:hAnsi="Times New Roman" w:eastAsia="华文楷体"/>
            <w:sz w:val="24"/>
            <w:color w:val="000000"/>
            <w:u w:val="single"/>
            <w:lang w:val="en-US"/>
          </w:rPr>
          <w:t xml:space="preserve">Paper</w:t>
        </w:r>
      </w:hyperlink>
      <w:r>
        <w:rPr>
          <w:rFonts w:ascii="Times New Roman" w:hAnsi="Times New Roman" w:eastAsia="华文楷体"/>
          <w:sz w:val="24"/>
          <w:color w:val="000000"/>
          <w:lang w:val="en-US"/>
        </w:rPr>
        <w:t xml:space="preserve">.</w:t>
      </w:r>
    </w:p>
    <w:p>
      <w:pPr>
        <w:jc w:val="left"/>
        <w:snapToGrid w:val="0"/>
        <w:widowControl/>
        <w:keepLines/>
        <w:spacing w:before="0" w:after="100" w:line="300" w:lineRule="auto"/>
        <w:ind w:left="420" w:hanging="420"/>
      </w:pPr>
      <w:r>
        <w:rPr>
          <w:rFonts w:ascii="Times New Roman" w:hAnsi="Times New Roman" w:eastAsia="华文楷体"/>
          <w:sz w:val="24"/>
          <w:color w:val="000000"/>
          <w:lang w:val="en-US"/>
        </w:rPr>
        <w:t xml:space="preserve">[8] Cemri, Mert, Melissa Z. Pan, Shuyi Yang, Lakshya A. Agrawal, Bhavya Chopra, Rishabh Tiwari, Kurt Keutzer, Aditya Parameswaran, Dan Klein, Kannan Ramchandran, Matei Zaharia, Joseph E. Gonzalez, and Ion Stoica. 2025. “Why Do Multi-Agent LLM Systems Fail?” arXiv:2503.13657v3. </w:t>
      </w:r>
      <w:hyperlink r:id="rId107">
        <w:r>
          <w:rPr>
            <w:rFonts w:ascii="Times New Roman" w:hAnsi="Times New Roman" w:eastAsia="华文楷体"/>
            <w:sz w:val="24"/>
            <w:color w:val="000000"/>
            <w:u w:val="single"/>
            <w:lang w:val="en-US"/>
          </w:rPr>
          <w:t xml:space="preserve">Paper</w:t>
        </w:r>
      </w:hyperlink>
      <w:r>
        <w:rPr>
          <w:rFonts w:ascii="Times New Roman" w:hAnsi="Times New Roman" w:eastAsia="华文楷体"/>
          <w:sz w:val="24"/>
          <w:color w:val="000000"/>
          <w:lang w:val="en-US"/>
        </w:rPr>
        <w:t xml:space="preserve">.</w:t>
      </w:r>
    </w:p>
    <w:p>
      <w:pPr>
        <w:jc w:val="left"/>
        <w:snapToGrid w:val="0"/>
        <w:widowControl/>
        <w:keepLines/>
        <w:spacing w:before="0" w:after="100" w:line="300" w:lineRule="auto"/>
        <w:ind w:left="420" w:hanging="420"/>
      </w:pPr>
      <w:r>
        <w:rPr>
          <w:rFonts w:ascii="Times New Roman" w:hAnsi="Times New Roman" w:eastAsia="华文楷体"/>
          <w:sz w:val="24"/>
          <w:color w:val="000000"/>
          <w:lang w:val="en-US"/>
        </w:rPr>
        <w:t xml:space="preserve">[9] Ouyang, Siru, Jun Yan, I-Hung Hsu, Yanfei Chen, Ke Jiang, Zifeng Wang, Rujun Han, Long T. Le, Samira Daruki, Xiangru Tang, Vishy Tirumalashetty, George Lee, Mahsan Rofouei, Hangfei Lin, Jiawei Han, Chen-Yu Lee, and Tomas Pfister. 2025, revised 2026. “ReasoningBank: Scaling Agent Self-Evolving with Reasoning Memory.” arXiv:2509.25140v2. </w:t>
      </w:r>
      <w:hyperlink r:id="rId108">
        <w:r>
          <w:rPr>
            <w:rFonts w:ascii="Times New Roman" w:hAnsi="Times New Roman" w:eastAsia="华文楷体"/>
            <w:sz w:val="24"/>
            <w:color w:val="000000"/>
            <w:u w:val="single"/>
            <w:lang w:val="en-US"/>
          </w:rPr>
          <w:t xml:space="preserve">Paper</w:t>
        </w:r>
      </w:hyperlink>
      <w:r>
        <w:rPr>
          <w:rFonts w:ascii="Times New Roman" w:hAnsi="Times New Roman" w:eastAsia="华文楷体"/>
          <w:sz w:val="24"/>
          <w:color w:val="000000"/>
          <w:lang w:val="en-US"/>
        </w:rPr>
        <w:t xml:space="preserve">.</w:t>
      </w:r>
    </w:p>
    <w:p>
      <w:pPr>
        <w:jc w:val="left"/>
        <w:snapToGrid w:val="0"/>
        <w:widowControl/>
        <w:keepLines/>
        <w:spacing w:before="0" w:after="100" w:line="300" w:lineRule="auto"/>
        <w:ind w:left="420" w:hanging="420"/>
      </w:pPr>
      <w:r>
        <w:rPr>
          <w:rFonts w:ascii="Times New Roman" w:hAnsi="Times New Roman" w:eastAsia="华文楷体"/>
          <w:sz w:val="24"/>
          <w:color w:val="000000"/>
          <w:lang w:val="en-US"/>
        </w:rPr>
        <w:t xml:space="preserve">[10] Yang, Yicun, Zhaoguo Wang, Yu Xia, Zhuoran Wei, Haoran Ding, Ruzica Piskac, Haibo Chen, and Jinyang Li. 2025. “Automated Validating and Fixing of Text-to-SQL Translation with Execution Consistency.” Proceedings of the ACM on Management of Data 3(3), Article 134, 28 pages. DOI: 10.1145/3725271. </w:t>
      </w:r>
      <w:hyperlink r:id="rId109">
        <w:r>
          <w:rPr>
            <w:rFonts w:ascii="Times New Roman" w:hAnsi="Times New Roman" w:eastAsia="华文楷体"/>
            <w:sz w:val="24"/>
            <w:color w:val="000000"/>
            <w:u w:val="single"/>
            <w:lang w:val="en-US"/>
          </w:rPr>
          <w:t xml:space="preserve">Author-hosted paper</w:t>
        </w:r>
      </w:hyperlink>
      <w:r>
        <w:rPr>
          <w:rFonts w:ascii="Times New Roman" w:hAnsi="Times New Roman" w:eastAsia="华文楷体"/>
          <w:sz w:val="24"/>
          <w:color w:val="000000"/>
          <w:lang w:val="en-US"/>
        </w:rPr>
        <w:t xml:space="preserve">.</w:t>
      </w:r>
    </w:p>
    <w:p>
      <w:pPr>
        <w:jc w:val="left"/>
        <w:snapToGrid w:val="0"/>
        <w:widowControl/>
        <w:keepLines/>
        <w:spacing w:before="0" w:after="100" w:line="300" w:lineRule="auto"/>
        <w:ind w:left="420" w:hanging="420"/>
      </w:pPr>
      <w:r>
        <w:rPr>
          <w:rFonts w:ascii="Times New Roman" w:hAnsi="Times New Roman" w:eastAsia="华文楷体"/>
          <w:sz w:val="24"/>
          <w:color w:val="000000"/>
          <w:lang w:val="en-US"/>
        </w:rPr>
        <w:t xml:space="preserve">[11] Xu, Wenbo, Haifeng Zhu, Liang Yan, Chuanyi Liu, Peiyi Han, Shaoming Duan, and Jeff Z. Pan. 2025. “TS-SQL: Test-driven Self-refinement for Text-to-SQL.” Findings of the Association for Computational Linguistics: EMNLP 2025, 2864–2889. DOI: 10.18653/v1/2025.findings-emnlp.156. </w:t>
      </w:r>
      <w:hyperlink r:id="rId110">
        <w:r>
          <w:rPr>
            <w:rFonts w:ascii="Times New Roman" w:hAnsi="Times New Roman" w:eastAsia="华文楷体"/>
            <w:sz w:val="24"/>
            <w:color w:val="000000"/>
            <w:u w:val="single"/>
            <w:lang w:val="en-US"/>
          </w:rPr>
          <w:t xml:space="preserve">Proceedings record</w:t>
        </w:r>
      </w:hyperlink>
      <w:r>
        <w:rPr>
          <w:rFonts w:ascii="Times New Roman" w:hAnsi="Times New Roman" w:eastAsia="华文楷体"/>
          <w:sz w:val="24"/>
          <w:color w:val="000000"/>
          <w:lang w:val="en-US"/>
        </w:rPr>
        <w:t xml:space="preserve">.</w:t>
      </w:r>
    </w:p>
    <w:p>
      <w:pPr>
        <w:jc w:val="left"/>
        <w:snapToGrid w:val="0"/>
        <w:widowControl/>
        <w:keepLines/>
        <w:spacing w:before="0" w:after="100" w:line="300" w:lineRule="auto"/>
        <w:ind w:left="420" w:hanging="420"/>
      </w:pPr>
      <w:r>
        <w:rPr>
          <w:rFonts w:ascii="Times New Roman" w:hAnsi="Times New Roman" w:eastAsia="华文楷体"/>
          <w:sz w:val="24"/>
          <w:color w:val="000000"/>
          <w:lang w:val="en-US"/>
        </w:rPr>
        <w:t xml:space="preserve">[12] Lee, Morris. 2026. “Business Truth, not SQL Accuracy: A Rule-Gated 7B Analytics Agent Outperforms a Direct-Prompted 32B Baseline.” arXiv:2608.09254v1. </w:t>
      </w:r>
      <w:hyperlink r:id="rId111">
        <w:r>
          <w:rPr>
            <w:rFonts w:ascii="Times New Roman" w:hAnsi="Times New Roman" w:eastAsia="华文楷体"/>
            <w:sz w:val="24"/>
            <w:color w:val="000000"/>
            <w:u w:val="single"/>
            <w:lang w:val="en-US"/>
          </w:rPr>
          <w:t xml:space="preserve">Paper</w:t>
        </w:r>
      </w:hyperlink>
      <w:r>
        <w:rPr>
          <w:rFonts w:ascii="Times New Roman" w:hAnsi="Times New Roman" w:eastAsia="华文楷体"/>
          <w:sz w:val="24"/>
          <w:color w:val="000000"/>
          <w:lang w:val="en-US"/>
        </w:rPr>
        <w:t xml:space="preserve">.</w:t>
      </w:r>
    </w:p>
    <w:p>
      <w:pPr>
        <w:jc w:val="left"/>
        <w:snapToGrid w:val="0"/>
        <w:widowControl/>
        <w:keepLines/>
        <w:spacing w:before="0" w:after="100" w:line="300" w:lineRule="auto"/>
        <w:ind w:left="420" w:hanging="420"/>
      </w:pPr>
      <w:r>
        <w:rPr>
          <w:rFonts w:ascii="Times New Roman" w:hAnsi="Times New Roman" w:eastAsia="华文楷体"/>
          <w:sz w:val="24"/>
          <w:color w:val="000000"/>
          <w:lang w:val="en-US"/>
        </w:rPr>
        <w:t xml:space="preserve">[13] ZhouJiaJun2333. 2026. “FinHelm.” Software repository and evaluation log, revision 89e1546cab8fdfd9e996e8f6a6efeec933bc1be5. GitHub account attribution; no personal-name identity is inferred. </w:t>
      </w:r>
      <w:hyperlink r:id="rId112">
        <w:r>
          <w:rPr>
            <w:rFonts w:ascii="Times New Roman" w:hAnsi="Times New Roman" w:eastAsia="华文楷体"/>
            <w:sz w:val="24"/>
            <w:color w:val="000000"/>
            <w:u w:val="single"/>
            <w:lang w:val="en-US"/>
          </w:rPr>
          <w:t xml:space="preserve">Repository</w:t>
        </w:r>
      </w:hyperlink>
      <w:r>
        <w:rPr>
          <w:rFonts w:ascii="Times New Roman" w:hAnsi="Times New Roman" w:eastAsia="华文楷体"/>
          <w:sz w:val="24"/>
          <w:color w:val="000000"/>
          <w:lang w:val="en-US"/>
        </w:rPr>
        <w:t xml:space="preserve">, </w:t>
      </w:r>
      <w:hyperlink r:id="rId113">
        <w:r>
          <w:rPr>
            <w:rFonts w:ascii="Times New Roman" w:hAnsi="Times New Roman" w:eastAsia="华文楷体"/>
            <w:sz w:val="24"/>
            <w:color w:val="000000"/>
            <w:u w:val="single"/>
            <w:lang w:val="en-US"/>
          </w:rPr>
          <w:t xml:space="preserve">evaluation log</w:t>
        </w:r>
      </w:hyperlink>
      <w:r>
        <w:rPr>
          <w:rFonts w:ascii="Times New Roman" w:hAnsi="Times New Roman" w:eastAsia="华文楷体"/>
          <w:sz w:val="24"/>
          <w:color w:val="000000"/>
          <w:lang w:val="en-US"/>
        </w:rPr>
        <w:t xml:space="preserve">.</w:t>
      </w:r>
    </w:p>
    <w:permEnd w:id="1035810870"/>
    <w:p w14:paraId="5CE56FD7" w14:textId="77777777" w:rsidR="00F53AA8" w:rsidRDefault="00000000">
      <w:pPr>
        <w:numPr>
          <w:ilvl w:val="0"/>
          <w:numId w:val="2"/>
        </w:numPr>
        <w:spacing w:before="240" w:after="240"/>
        <w:jc w:val="left"/>
        <w:rPr>
          <w:rFonts w:eastAsia="仿宋_GB2312"/>
          <w:b/>
          <w:sz w:val="24"/>
        </w:rPr>
        <w:keepNext/>
        <w:keepLines/>
        <w:widowControl/>
      </w:pPr>
      <w:r>
        <w:rPr>
          <w:rFonts w:ascii="仿宋_GB2312" w:eastAsia="仿宋_GB2312" w:hint="eastAsia"/>
          <w:b/>
          <w:sz w:val="24"/>
        </w:rPr>
        <w:t>课题研究目标、主要研究内容和拟解决的关键问题。</w:t>
      </w:r>
      <w:r>
        <w:rPr>
          <w:rFonts w:eastAsia="仿宋_GB2312"/>
          <w:b/>
          <w:sz w:val="24"/>
        </w:rPr>
        <w:t xml:space="preserve"> Research objectives, main contents and key issues to be solved.</w:t>
      </w:r>
    </w:p>
    <w:p>
      <w:pPr>
        <w:jc w:val="left"/>
        <w:snapToGrid w:val="0"/>
        <w:widowControl/>
        <w:keepNext/>
        <w:keepLines/>
        <w:spacing w:before="180" w:after="80" w:line="300" w:lineRule="auto"/>
        <w:outlineLvl w:val="1"/>
      </w:pPr>
      <w:permStart w:id="1845511335" w:edGrp="everyone"/>
      <w:r>
        <w:rPr>
          <w:rFonts w:ascii="Times New Roman" w:hAnsi="Times New Roman" w:eastAsia="华文楷体"/>
          <w:sz w:val="24"/>
          <w:color w:val="000000"/>
          <w:b/>
          <w:lang w:val="en-US"/>
        </w:rPr>
        <w:t xml:space="preserve">2.1 Research objectives</w:t>
      </w:r>
    </w:p>
    <w:p>
      <w:pPr>
        <w:jc w:val="left"/>
        <w:snapToGrid w:val="0"/>
        <w:widowControl/>
        <w:spacing w:before="100" w:after="0" w:line="300" w:lineRule="auto"/>
        <w:ind w:firstLine="480"/>
      </w:pPr>
      <w:r>
        <w:rPr>
          <w:rFonts w:ascii="Times New Roman" w:hAnsi="Times New Roman" w:eastAsia="华文楷体"/>
          <w:sz w:val="24"/>
          <w:color w:val="000000"/>
          <w:lang w:val="en-US"/>
        </w:rPr>
        <w:t xml:space="preserve">The overall objective is to improve the reliability and cost-effectiveness of hierarchical multi-agent business analytics through evidence-checked experience reuse and source-grounded counterexample review.</w:t>
      </w:r>
    </w:p>
    <w:p>
      <w:pPr>
        <w:jc w:val="left"/>
        <w:snapToGrid w:val="0"/>
        <w:widowControl/>
        <w:spacing w:before="100" w:after="0" w:line="300" w:lineRule="auto"/>
        <w:ind w:firstLine="480"/>
        <w:keepNext/>
      </w:pPr>
      <w:r>
        <w:rPr>
          <w:rFonts w:ascii="Times New Roman" w:hAnsi="Times New Roman" w:eastAsia="华文楷体"/>
          <w:sz w:val="24"/>
          <w:color w:val="000000"/>
          <w:lang w:val="en-US"/>
        </w:rPr>
        <w:t xml:space="preserve">The specific objectives are to:</w:t>
      </w:r>
    </w:p>
    <w:p>
      <w:pPr>
        <w:jc w:val="left"/>
        <w:snapToGrid w:val="0"/>
        <w:widowControl/>
        <w:spacing w:before="100" w:after="0" w:line="300" w:lineRule="auto"/>
        <w:numPr>
          <w:ilvl w:val="0"/>
          <w:numId w:val="100"/>
        </w:numPr>
        <w:ind w:left="360" w:hanging="360"/>
      </w:pPr>
      <w:r>
        <w:rPr>
          <w:rFonts w:ascii="Times New Roman" w:hAnsi="Times New Roman" w:eastAsia="华文楷体"/>
          <w:sz w:val="24"/>
          <w:color w:val="000000"/>
          <w:lang w:val="en-US"/>
        </w:rPr>
        <w:t xml:space="preserve">Classify evidence-use and verification failures using MAST, proposing analytics-specific refinements where recurring errors warrant them.</w:t>
      </w:r>
    </w:p>
    <w:p>
      <w:pPr>
        <w:jc w:val="left"/>
        <w:snapToGrid w:val="0"/>
        <w:widowControl/>
        <w:spacing w:before="100" w:after="0" w:line="300" w:lineRule="auto"/>
        <w:numPr>
          <w:ilvl w:val="0"/>
          <w:numId w:val="100"/>
        </w:numPr>
        <w:ind w:left="360" w:hanging="360"/>
      </w:pPr>
      <w:r>
        <w:rPr>
          <w:rFonts w:ascii="Times New Roman" w:hAnsi="Times New Roman" w:eastAsia="华文楷体"/>
          <w:sz w:val="24"/>
          <w:color w:val="000000"/>
          <w:lang w:val="en-US"/>
        </w:rPr>
        <w:t xml:space="preserve">Establish the separate and joint effects of the two mechanisms on inappropriate reuse, review errors and final-answer quality.</w:t>
      </w:r>
    </w:p>
    <w:p>
      <w:pPr>
        <w:jc w:val="left"/>
        <w:snapToGrid w:val="0"/>
        <w:widowControl/>
        <w:spacing w:before="100" w:after="0" w:line="300" w:lineRule="auto"/>
        <w:numPr>
          <w:ilvl w:val="0"/>
          <w:numId w:val="100"/>
        </w:numPr>
        <w:ind w:left="360" w:hanging="360"/>
      </w:pPr>
      <w:r>
        <w:rPr>
          <w:rFonts w:ascii="Times New Roman" w:hAnsi="Times New Roman" w:eastAsia="华文楷体"/>
          <w:sz w:val="24"/>
          <w:color w:val="000000"/>
          <w:lang w:val="en-US"/>
        </w:rPr>
        <w:t xml:space="preserve">Determine whether the improvements justify preparation and operating costs relative to the baseline MAS and strong single-agent controls.</w:t>
      </w:r>
    </w:p>
    <w:p>
      <w:pPr>
        <w:jc w:val="left"/>
        <w:snapToGrid w:val="0"/>
        <w:widowControl/>
        <w:keepNext/>
        <w:keepLines/>
        <w:spacing w:before="180" w:after="80" w:line="300" w:lineRule="auto"/>
        <w:outlineLvl w:val="1"/>
      </w:pPr>
      <w:r>
        <w:rPr>
          <w:rFonts w:ascii="Times New Roman" w:hAnsi="Times New Roman" w:eastAsia="华文楷体"/>
          <w:sz w:val="24"/>
          <w:color w:val="000000"/>
          <w:b/>
          <w:lang w:val="en-US"/>
        </w:rPr>
        <w:t xml:space="preserve">2.2 Main contents</w:t>
      </w:r>
    </w:p>
    <w:p>
      <w:pPr>
        <w:jc w:val="left"/>
        <w:snapToGrid w:val="0"/>
        <w:widowControl/>
        <w:spacing w:before="100" w:after="0" w:line="300" w:lineRule="auto"/>
        <w:numPr>
          <w:ilvl w:val="0"/>
          <w:numId w:val="101"/>
        </w:numPr>
        <w:ind w:left="360" w:hanging="360"/>
      </w:pPr>
      <w:r>
        <w:rPr>
          <w:rFonts w:ascii="Times New Roman" w:hAnsi="Times New Roman" w:eastAsia="华文楷体"/>
          <w:sz w:val="24"/>
          <w:color w:val="000000"/>
          <w:b/>
          <w:lang w:val="en-US"/>
        </w:rPr>
        <w:t xml:space="preserve">Failure analysis and existing solutions.</w:t>
      </w:r>
      <w:r>
        <w:rPr>
          <w:rFonts w:ascii="Times New Roman" w:hAnsi="Times New Roman" w:eastAsia="华文楷体"/>
          <w:sz w:val="24"/>
          <w:color w:val="000000"/>
          <w:lang w:val="en-US"/>
        </w:rPr>
        <w:t xml:space="preserve"> Examine DataPilot, DS-STAR and relevant methods; diagnose baseline traces using a MAST-based coding guide.</w:t>
      </w:r>
    </w:p>
    <w:p>
      <w:pPr>
        <w:jc w:val="left"/>
        <w:snapToGrid w:val="0"/>
        <w:widowControl/>
        <w:spacing w:before="100" w:after="0" w:line="300" w:lineRule="auto"/>
        <w:numPr>
          <w:ilvl w:val="0"/>
          <w:numId w:val="101"/>
        </w:numPr>
        <w:ind w:left="360" w:hanging="360"/>
      </w:pPr>
      <w:r>
        <w:rPr>
          <w:rFonts w:ascii="Times New Roman" w:hAnsi="Times New Roman" w:eastAsia="华文楷体"/>
          <w:sz w:val="24"/>
          <w:color w:val="000000"/>
          <w:b/>
          <w:lang w:val="en-US"/>
        </w:rPr>
        <w:t xml:space="preserve">System implementation.</w:t>
      </w:r>
      <w:r>
        <w:rPr>
          <w:rFonts w:ascii="Times New Roman" w:hAnsi="Times New Roman" w:eastAsia="华文楷体"/>
          <w:sz w:val="24"/>
          <w:color w:val="000000"/>
          <w:lang w:val="en-US"/>
        </w:rPr>
        <w:t xml:space="preserve"> Adapt the FinHelm engine into a fixed hierarchy and implement the two mechanisms with controlled source and memory access.</w:t>
      </w:r>
    </w:p>
    <w:p>
      <w:pPr>
        <w:jc w:val="left"/>
        <w:snapToGrid w:val="0"/>
        <w:widowControl/>
        <w:spacing w:before="100" w:after="0" w:line="300" w:lineRule="auto"/>
        <w:numPr>
          <w:ilvl w:val="0"/>
          <w:numId w:val="101"/>
        </w:numPr>
        <w:ind w:left="360" w:hanging="360"/>
      </w:pPr>
      <w:r>
        <w:rPr>
          <w:rFonts w:ascii="Times New Roman" w:hAnsi="Times New Roman" w:eastAsia="华文楷体"/>
          <w:sz w:val="24"/>
          <w:color w:val="000000"/>
          <w:b/>
          <w:lang w:val="en-US"/>
        </w:rPr>
        <w:t xml:space="preserve">Comparative evaluation.</w:t>
      </w:r>
      <w:r>
        <w:rPr>
          <w:rFonts w:ascii="Times New Roman" w:hAnsi="Times New Roman" w:eastAsia="华文楷体"/>
          <w:sz w:val="24"/>
          <w:color w:val="000000"/>
          <w:lang w:val="en-US"/>
        </w:rPr>
        <w:t xml:space="preserve"> Compare the baseline, evidence-checked experience reuse, source-grounded counterexample review and both improvements on the same tasks, alongside strong single-agent controls. Use DABstep for native benchmark comparison and separate diagnostic cases to examine the mechanisms.</w:t>
      </w:r>
    </w:p>
    <w:p>
      <w:pPr>
        <w:jc w:val="left"/>
        <w:snapToGrid w:val="0"/>
        <w:widowControl/>
        <w:spacing w:before="100" w:after="0" w:line="300" w:lineRule="auto"/>
        <w:numPr>
          <w:ilvl w:val="0"/>
          <w:numId w:val="101"/>
        </w:numPr>
        <w:ind w:left="360" w:hanging="360"/>
      </w:pPr>
      <w:r>
        <w:rPr>
          <w:rFonts w:ascii="Times New Roman" w:hAnsi="Times New Roman" w:eastAsia="华文楷体"/>
          <w:sz w:val="24"/>
          <w:color w:val="000000"/>
          <w:b/>
          <w:lang w:val="en-US"/>
        </w:rPr>
        <w:t xml:space="preserve">Error and business analysis.</w:t>
      </w:r>
      <w:r>
        <w:rPr>
          <w:rFonts w:ascii="Times New Roman" w:hAnsi="Times New Roman" w:eastAsia="华文楷体"/>
          <w:sz w:val="24"/>
          <w:color w:val="000000"/>
          <w:lang w:val="en-US"/>
        </w:rPr>
        <w:t xml:space="preserve"> Measure reuse decisions, reviewer acceptance and rejection, final correctness, coverage, preparation effort and runtime cost; identify when the mechanisms help, fail or add unnecessary expense.</w:t>
      </w:r>
    </w:p>
    <w:p>
      <w:pPr>
        <w:jc w:val="left"/>
        <w:snapToGrid w:val="0"/>
        <w:widowControl/>
        <w:keepNext/>
        <w:keepLines/>
        <w:spacing w:before="180" w:after="80" w:line="300" w:lineRule="auto"/>
        <w:outlineLvl w:val="1"/>
      </w:pPr>
      <w:r>
        <w:rPr>
          <w:rFonts w:ascii="Times New Roman" w:hAnsi="Times New Roman" w:eastAsia="华文楷体"/>
          <w:sz w:val="24"/>
          <w:color w:val="000000"/>
          <w:b/>
          <w:lang w:val="en-US"/>
        </w:rPr>
        <w:t xml:space="preserve">2.3 Key issues to be solved</w:t>
      </w:r>
    </w:p>
    <w:p>
      <w:pPr>
        <w:jc w:val="left"/>
        <w:snapToGrid w:val="0"/>
        <w:widowControl/>
        <w:spacing w:before="100" w:after="0" w:line="300" w:lineRule="auto"/>
        <w:numPr>
          <w:ilvl w:val="0"/>
          <w:numId w:val="102"/>
        </w:numPr>
        <w:ind w:left="360" w:hanging="360"/>
      </w:pPr>
      <w:r>
        <w:rPr>
          <w:rFonts w:ascii="Times New Roman" w:hAnsi="Times New Roman" w:eastAsia="华文楷体"/>
          <w:sz w:val="24"/>
          <w:color w:val="000000"/>
          <w:b/>
          <w:lang w:val="en-US"/>
        </w:rPr>
        <w:t xml:space="preserve">Applicable knowledge:</w:t>
      </w:r>
      <w:r>
        <w:rPr>
          <w:rFonts w:ascii="Times New Roman" w:hAnsi="Times New Roman" w:eastAsia="华文楷体"/>
          <w:sz w:val="24"/>
          <w:color w:val="000000"/>
          <w:lang w:val="en-US"/>
        </w:rPr>
        <w:t xml:space="preserve"> determine whether a retrieved procedure is supported by current documents while retaining useful experience.</w:t>
      </w:r>
    </w:p>
    <w:p>
      <w:pPr>
        <w:jc w:val="left"/>
        <w:snapToGrid w:val="0"/>
        <w:widowControl/>
        <w:spacing w:before="100" w:after="0" w:line="300" w:lineRule="auto"/>
        <w:numPr>
          <w:ilvl w:val="0"/>
          <w:numId w:val="102"/>
        </w:numPr>
        <w:ind w:left="360" w:hanging="360"/>
      </w:pPr>
      <w:r>
        <w:rPr>
          <w:rFonts w:ascii="Times New Roman" w:hAnsi="Times New Roman" w:eastAsia="华文楷体"/>
          <w:sz w:val="24"/>
          <w:color w:val="000000"/>
          <w:b/>
          <w:lang w:val="en-US"/>
        </w:rPr>
        <w:t xml:space="preserve">Meaningful verification:</w:t>
      </w:r>
      <w:r>
        <w:rPr>
          <w:rFonts w:ascii="Times New Roman" w:hAnsi="Times New Roman" w:eastAsia="华文楷体"/>
          <w:sz w:val="24"/>
          <w:color w:val="000000"/>
          <w:lang w:val="en-US"/>
        </w:rPr>
        <w:t xml:space="preserve"> construct valid test data that distinguishes business interpretations and derive expected behaviour without reference answers.</w:t>
      </w:r>
    </w:p>
    <w:p>
      <w:pPr>
        <w:jc w:val="left"/>
        <w:snapToGrid w:val="0"/>
        <w:widowControl/>
        <w:spacing w:before="100" w:after="0" w:line="300" w:lineRule="auto"/>
        <w:numPr>
          <w:ilvl w:val="0"/>
          <w:numId w:val="102"/>
        </w:numPr>
        <w:ind w:left="360" w:hanging="360"/>
      </w:pPr>
      <w:r>
        <w:rPr>
          <w:rFonts w:ascii="Times New Roman" w:hAnsi="Times New Roman" w:eastAsia="华文楷体"/>
          <w:sz w:val="24"/>
          <w:color w:val="000000"/>
          <w:b/>
          <w:lang w:val="en-US"/>
        </w:rPr>
        <w:t xml:space="preserve">Credible comparison:</w:t>
      </w:r>
      <w:r>
        <w:rPr>
          <w:rFonts w:ascii="Times New Roman" w:hAnsi="Times New Roman" w:eastAsia="华文楷体"/>
          <w:sz w:val="24"/>
          <w:color w:val="000000"/>
          <w:lang w:val="en-US"/>
        </w:rPr>
        <w:t xml:space="preserve"> keep source access and prepared knowledge equivalent, measure total resource use, and assess reviewers on common candidates.</w:t>
      </w:r>
    </w:p>
    <w:p>
      <w:pPr>
        <w:jc w:val="left"/>
        <w:snapToGrid w:val="0"/>
        <w:widowControl/>
        <w:spacing w:before="100" w:after="0" w:line="300" w:lineRule="auto"/>
        <w:numPr>
          <w:ilvl w:val="0"/>
          <w:numId w:val="102"/>
        </w:numPr>
        <w:ind w:left="360" w:hanging="360"/>
      </w:pPr>
      <w:r>
        <w:rPr>
          <w:rFonts w:ascii="Times New Roman" w:hAnsi="Times New Roman" w:eastAsia="华文楷体"/>
          <w:sz w:val="24"/>
          <w:color w:val="000000"/>
          <w:b/>
          <w:lang w:val="en-US"/>
        </w:rPr>
        <w:t xml:space="preserve">Useful diagnosis:</w:t>
      </w:r>
      <w:r>
        <w:rPr>
          <w:rFonts w:ascii="Times New Roman" w:hAnsi="Times New Roman" w:eastAsia="华文楷体"/>
          <w:sz w:val="24"/>
          <w:color w:val="000000"/>
          <w:lang w:val="en-US"/>
        </w:rPr>
        <w:t xml:space="preserve"> distinguish failures consistently and establish whether any proposed MAST refinement helps identify a concrete improvement target.</w:t>
      </w:r>
    </w:p>
    <w:permEnd w:id="1845511335"/>
    <w:p w14:paraId="0BB31FF6" w14:textId="77777777" w:rsidR="00F53AA8" w:rsidRDefault="00000000">
      <w:pPr>
        <w:numPr>
          <w:ilvl w:val="0"/>
          <w:numId w:val="2"/>
        </w:numPr>
        <w:spacing w:before="240" w:after="240"/>
        <w:rPr>
          <w:rFonts w:eastAsia="仿宋_GB2312"/>
          <w:b/>
          <w:sz w:val="24"/>
        </w:rPr>
        <w:keepNext/>
        <w:keepLines/>
        <w:widowControl/>
      </w:pPr>
      <w:r>
        <w:rPr>
          <w:rFonts w:eastAsia="仿宋_GB2312"/>
          <w:b/>
          <w:sz w:val="24"/>
        </w:rPr>
        <w:lastRenderedPageBreak/>
        <w:t>拟采取的研究方法、</w:t>
      </w:r>
      <w:bookmarkStart w:id="4" w:name="OLE_LINK8"/>
      <w:bookmarkStart w:id="5" w:name="OLE_LINK7"/>
      <w:r>
        <w:rPr>
          <w:rFonts w:eastAsia="仿宋_GB2312" w:hint="eastAsia"/>
          <w:b/>
          <w:sz w:val="24"/>
        </w:rPr>
        <w:t>研究</w:t>
      </w:r>
      <w:r>
        <w:rPr>
          <w:rFonts w:eastAsia="仿宋_GB2312"/>
          <w:b/>
          <w:sz w:val="24"/>
        </w:rPr>
        <w:t>方案</w:t>
      </w:r>
      <w:bookmarkEnd w:id="4"/>
      <w:bookmarkEnd w:id="5"/>
      <w:r>
        <w:rPr>
          <w:rFonts w:eastAsia="仿宋_GB2312"/>
          <w:b/>
          <w:sz w:val="24"/>
        </w:rPr>
        <w:t>及其可行性分析</w:t>
      </w:r>
      <w:r>
        <w:rPr>
          <w:rFonts w:eastAsia="仿宋_GB2312" w:hint="eastAsia"/>
          <w:b/>
          <w:sz w:val="24"/>
        </w:rPr>
        <w:t>。</w:t>
      </w:r>
      <w:r>
        <w:rPr>
          <w:rFonts w:eastAsia="仿宋_GB2312"/>
          <w:b/>
          <w:sz w:val="24"/>
        </w:rPr>
        <w:t>Research methods and research scheme to be adopted and feasibility analysis.</w:t>
      </w:r>
    </w:p>
    <w:p>
      <w:pPr>
        <w:jc w:val="left"/>
        <w:snapToGrid w:val="0"/>
        <w:widowControl/>
        <w:keepNext/>
        <w:keepLines/>
        <w:spacing w:before="180" w:after="80" w:line="300" w:lineRule="auto"/>
        <w:outlineLvl w:val="1"/>
      </w:pPr>
      <w:permStart w:id="1231309113" w:edGrp="everyone"/>
      <w:r>
        <w:rPr>
          <w:rFonts w:ascii="Times New Roman" w:hAnsi="Times New Roman" w:eastAsia="华文楷体"/>
          <w:sz w:val="24"/>
          <w:color w:val="000000"/>
          <w:b/>
          <w:lang w:val="en-US"/>
        </w:rPr>
        <w:t xml:space="preserve">3.1 Controlled experimental design</w:t>
      </w:r>
    </w:p>
    <w:p>
      <w:pPr>
        <w:jc w:val="left"/>
        <w:snapToGrid w:val="0"/>
        <w:widowControl/>
        <w:spacing w:before="100" w:after="0" w:line="300" w:lineRule="auto"/>
        <w:ind w:firstLine="480"/>
      </w:pPr>
      <w:r>
        <w:rPr>
          <w:rFonts w:ascii="Times New Roman" w:hAnsi="Times New Roman" w:eastAsia="华文楷体"/>
          <w:sz w:val="24"/>
          <w:color w:val="000000"/>
          <w:lang w:val="en-US"/>
        </w:rPr>
        <w:t xml:space="preserve">The study will use a </w:t>
      </w:r>
      <w:r>
        <w:rPr>
          <w:rFonts w:ascii="Times New Roman" w:hAnsi="Times New Roman" w:eastAsia="华文楷体"/>
          <w:sz w:val="24"/>
          <w:color w:val="000000"/>
          <w:b/>
          <w:lang w:val="en-US"/>
        </w:rPr>
        <w:t xml:space="preserve">controlled experiment with a 2 × 2 factorial design</w:t>
      </w:r>
      <w:r>
        <w:rPr>
          <w:rFonts w:ascii="Times New Roman" w:hAnsi="Times New Roman" w:eastAsia="华文楷体"/>
          <w:sz w:val="24"/>
          <w:color w:val="000000"/>
          <w:lang w:val="en-US"/>
        </w:rPr>
        <w:t xml:space="preserve">, supported by analysis of recorded agent actions and messages. The two improvements, evidence-checked experience reuse and source-grounded counterexample review, will each be switched on or off. The four combinations will show what each mechanism changes separately and what happens when they are used together.</w:t>
      </w:r>
    </w:p>
    <w:p>
      <w:pPr>
        <w:jc w:val="left"/>
        <w:snapToGrid w:val="0"/>
        <w:widowControl/>
        <w:spacing w:before="100" w:after="0" w:line="300" w:lineRule="auto"/>
        <w:ind w:firstLine="480"/>
      </w:pPr>
      <w:r>
        <w:rPr>
          <w:rFonts w:ascii="Times New Roman" w:hAnsi="Times New Roman" w:eastAsia="华文楷体"/>
          <w:sz w:val="24"/>
          <w:color w:val="000000"/>
          <w:lang w:val="en-US"/>
        </w:rPr>
        <w:t xml:space="preserve">Each version will solve the same tasks using the same underlying model, documents, prepared knowledge and agent roles. Resource limits will be comparable, and actual consumption will be measured. This design tests changes to the analytical workflow rather than comparing unrelated systems with different preparation. Development tasks will be used to test the implementation and set limits; evaluation tasks will be kept separate and will not be used to tune the system.</w:t>
      </w:r>
    </w:p>
    <w:p>
      <w:pPr>
        <w:jc w:val="left"/>
        <w:snapToGrid w:val="0"/>
        <w:widowControl/>
        <w:keepNext/>
        <w:keepLines/>
        <w:spacing w:before="180" w:after="80" w:line="300" w:lineRule="auto"/>
        <w:outlineLvl w:val="1"/>
      </w:pPr>
      <w:r>
        <w:rPr>
          <w:rFonts w:ascii="Times New Roman" w:hAnsi="Times New Roman" w:eastAsia="华文楷体"/>
          <w:sz w:val="24"/>
          <w:color w:val="000000"/>
          <w:b/>
          <w:lang w:val="en-US"/>
        </w:rPr>
        <w:t xml:space="preserve">3.2 System and proposed changes</w:t>
      </w:r>
    </w:p>
    <w:p>
      <w:pPr>
        <w:jc w:val="left"/>
        <w:snapToGrid w:val="0"/>
        <w:widowControl/>
        <w:spacing w:before="100" w:after="0" w:line="300" w:lineRule="auto"/>
        <w:ind w:firstLine="480"/>
      </w:pPr>
      <w:r>
        <w:rPr>
          <w:rFonts w:ascii="Times New Roman" w:hAnsi="Times New Roman" w:eastAsia="华文楷体"/>
          <w:sz w:val="24"/>
          <w:color w:val="000000"/>
          <w:lang w:val="en-US"/>
        </w:rPr>
        <w:t xml:space="preserve">A main agent will coordinate three subagents: an evidence worker, a computational analyst and a reviewer. The evidence worker examines documents and reusable procedures; the analyst performs the calculation; the reviewer assesses the proposed solution. The ordinary system can already consult sources, execute code and correct mistakes.</w:t>
      </w:r>
    </w:p>
    <w:p>
      <w:pPr>
        <w:jc w:val="left"/>
        <w:snapToGrid w:val="0"/>
        <w:widowControl/>
        <w:spacing w:before="100" w:after="0" w:line="300" w:lineRule="auto"/>
        <w:ind w:firstLine="480"/>
        <w:keepNext/>
      </w:pPr>
      <w:r>
        <w:rPr>
          <w:rFonts w:ascii="Times New Roman" w:hAnsi="Times New Roman" w:eastAsia="华文楷体"/>
          <w:sz w:val="24"/>
          <w:color w:val="000000"/>
          <w:lang w:val="en-US"/>
        </w:rPr>
        <w:t xml:space="preserve">The study adds two improvements:</w:t>
      </w:r>
    </w:p>
    <w:p>
      <w:pPr>
        <w:jc w:val="left"/>
        <w:snapToGrid w:val="0"/>
        <w:widowControl/>
        <w:spacing w:before="100" w:after="0" w:line="300" w:lineRule="auto"/>
        <w:numPr>
          <w:ilvl w:val="0"/>
          <w:numId w:val="103"/>
        </w:numPr>
        <w:ind w:left="360" w:hanging="360"/>
      </w:pPr>
      <w:r>
        <w:rPr>
          <w:rFonts w:ascii="Times New Roman" w:hAnsi="Times New Roman" w:eastAsia="华文楷体"/>
          <w:sz w:val="24"/>
          <w:color w:val="000000"/>
          <w:b/>
          <w:lang w:val="en-US"/>
        </w:rPr>
        <w:t xml:space="preserve">Evidence-checked experience reuse.</w:t>
      </w:r>
      <w:r>
        <w:rPr>
          <w:rFonts w:ascii="Times New Roman" w:hAnsi="Times New Roman" w:eastAsia="华文楷体"/>
          <w:sz w:val="24"/>
          <w:color w:val="000000"/>
          <w:lang w:val="en-US"/>
        </w:rPr>
        <w:t xml:space="preserve"> Before a retrieved procedure reaches the analyst, the evidence worker checks whether its conditions match the current documents. Supported procedures are passed on; contradicted or unresolved procedures are withheld, while ordinary document-based analysis remains available. For example, a procedure for handling cancelled orders should be reused only when the current reporting rules support that treatment.</w:t>
      </w:r>
    </w:p>
    <w:p>
      <w:pPr>
        <w:jc w:val="left"/>
        <w:snapToGrid w:val="0"/>
        <w:widowControl/>
        <w:spacing w:before="100" w:after="0" w:line="300" w:lineRule="auto"/>
        <w:numPr>
          <w:ilvl w:val="0"/>
          <w:numId w:val="103"/>
        </w:numPr>
        <w:ind w:left="360" w:hanging="360"/>
      </w:pPr>
      <w:r>
        <w:rPr>
          <w:rFonts w:ascii="Times New Roman" w:hAnsi="Times New Roman" w:eastAsia="华文楷体"/>
          <w:sz w:val="24"/>
          <w:color w:val="000000"/>
          <w:b/>
          <w:lang w:val="en-US"/>
        </w:rPr>
        <w:t xml:space="preserve">Source-grounded counterexample review.</w:t>
      </w:r>
      <w:r>
        <w:rPr>
          <w:rFonts w:ascii="Times New Roman" w:hAnsi="Times New Roman" w:eastAsia="华文楷体"/>
          <w:sz w:val="24"/>
          <w:color w:val="000000"/>
          <w:lang w:val="en-US"/>
        </w:rPr>
        <w:t xml:space="preserve"> The reviewer first reads the question and documents without the proposed answer. After inspecting the solution, it constructs a small test case that distinguishes a disputed interpretation from a source-supported alternative. If two calculations treat cancelled orders differently, a test containing such an order can expose the difference. The documents determine the correct treatment. An invalid or inconclusive test is not counted as a successful check.</w:t>
      </w:r>
    </w:p>
    <w:p>
      <w:pPr>
        <w:jc w:val="left"/>
        <w:snapToGrid w:val="0"/>
        <w:widowControl/>
        <w:spacing w:before="100" w:after="0" w:line="300" w:lineRule="auto"/>
        <w:ind w:firstLine="480"/>
      </w:pPr>
      <w:r>
        <w:rPr>
          <w:rFonts w:ascii="Times New Roman" w:hAnsi="Times New Roman" w:eastAsia="华文楷体"/>
          <w:sz w:val="24"/>
          <w:color w:val="000000"/>
          <w:lang w:val="en-US"/>
        </w:rPr>
        <w:t xml:space="preserve">Reusable knowledge will be prepared from permitted development material and held fixed during evaluation. Correct answers and researcher-written test solutions will remain outside the agents' access. The reviewer will generate its own tests rather than receive the explanatory examples used in this proposal.</w:t>
      </w:r>
    </w:p>
    <w:p>
      <w:pPr>
        <w:jc w:val="left"/>
        <w:snapToGrid w:val="0"/>
        <w:widowControl/>
        <w:keepNext/>
        <w:keepLines/>
        <w:spacing w:before="180" w:after="80" w:line="300" w:lineRule="auto"/>
        <w:outlineLvl w:val="1"/>
      </w:pPr>
      <w:r>
        <w:rPr>
          <w:rFonts w:ascii="Times New Roman" w:hAnsi="Times New Roman" w:eastAsia="华文楷体"/>
          <w:sz w:val="24"/>
          <w:color w:val="000000"/>
          <w:b/>
          <w:lang w:val="en-US"/>
        </w:rPr>
        <w:t xml:space="preserve">3.3 Comparisons</w:t>
      </w:r>
    </w:p>
    <w:p>
      <w:pPr>
        <w:jc w:val="left"/>
        <w:snapToGrid w:val="0"/>
        <w:widowControl/>
        <w:spacing w:before="100" w:after="0" w:line="300" w:lineRule="auto"/>
        <w:ind w:firstLine="480"/>
        <w:keepNext/>
      </w:pPr>
      <w:r>
        <w:rPr>
          <w:rFonts w:ascii="Times New Roman" w:hAnsi="Times New Roman" w:eastAsia="华文楷体"/>
          <w:sz w:val="24"/>
          <w:color w:val="000000"/>
          <w:lang w:val="en-US"/>
        </w:rPr>
        <w:t xml:space="preserve">The experiment will compare four versions of the same MAS:</w:t>
      </w:r>
    </w:p>
    <w:tbl>
      <w:tblPr>
        <w:tblW w:w="873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4500"/>
        <w:gridCol w:w="2115"/>
        <w:gridCol w:w="2115"/>
      </w:tblGrid>
      <w:tr>
        <w:trPr>
          <w:cantSplit/>
          <w:tblHeader/>
        </w:trPr>
        <w:tc>
          <w:tcPr>
            <w:tcW w:w="4500" w:type="dxa"/>
            <w:vAlign w:val="center"/>
            <w:shd w:fill="EFEFEF" w:val="clear"/>
          </w:tcPr>
          <w:p>
            <w:pPr>
              <w:jc w:val="left"/>
              <w:snapToGrid w:val="0"/>
              <w:widowControl/>
              <w:spacing w:before="50" w:after="50" w:line="300" w:lineRule="auto"/>
            </w:pPr>
            <w:r>
              <w:rPr>
                <w:rFonts w:ascii="Times New Roman" w:hAnsi="Times New Roman" w:eastAsia="华文楷体"/>
                <w:sz w:val="24"/>
                <w:color w:val="000000"/>
                <w:lang w:val="en-US"/>
                <w:b/>
              </w:rPr>
              <w:t xml:space="preserve">Version</w:t>
            </w:r>
          </w:p>
        </w:tc>
        <w:tc>
          <w:tcPr>
            <w:tcW w:w="2115" w:type="dxa"/>
            <w:vAlign w:val="center"/>
            <w:shd w:fill="EFEFEF" w:val="clear"/>
          </w:tcPr>
          <w:p>
            <w:pPr>
              <w:jc w:val="left"/>
              <w:snapToGrid w:val="0"/>
              <w:widowControl/>
              <w:spacing w:before="50" w:after="50" w:line="300" w:lineRule="auto"/>
              <w:jc w:val="center"/>
            </w:pPr>
            <w:r>
              <w:rPr>
                <w:rFonts w:ascii="Times New Roman" w:hAnsi="Times New Roman" w:eastAsia="华文楷体"/>
                <w:sz w:val="24"/>
                <w:color w:val="000000"/>
                <w:lang w:val="en-US"/>
                <w:b/>
              </w:rPr>
              <w:t xml:space="preserve">Evidence-checked experience reuse</w:t>
            </w:r>
          </w:p>
        </w:tc>
        <w:tc>
          <w:tcPr>
            <w:tcW w:w="2115" w:type="dxa"/>
            <w:vAlign w:val="center"/>
            <w:shd w:fill="EFEFEF" w:val="clear"/>
          </w:tcPr>
          <w:p>
            <w:pPr>
              <w:jc w:val="left"/>
              <w:snapToGrid w:val="0"/>
              <w:widowControl/>
              <w:spacing w:before="50" w:after="50" w:line="300" w:lineRule="auto"/>
              <w:jc w:val="center"/>
            </w:pPr>
            <w:r>
              <w:rPr>
                <w:rFonts w:ascii="Times New Roman" w:hAnsi="Times New Roman" w:eastAsia="华文楷体"/>
                <w:sz w:val="24"/>
                <w:color w:val="000000"/>
                <w:lang w:val="en-US"/>
                <w:b/>
              </w:rPr>
              <w:t xml:space="preserve">Source-grounded counterexample review</w:t>
            </w:r>
          </w:p>
        </w:tc>
      </w:tr>
      <w:tr>
        <w:trPr>
          <w:cantSplit/>
        </w:trPr>
        <w:tc>
          <w:tcPr>
            <w:tcW w:w="4500" w:type="dxa"/>
            <w:vAlign w:val="center"/>
          </w:tcPr>
          <w:p>
            <w:pPr>
              <w:jc w:val="left"/>
              <w:snapToGrid w:val="0"/>
              <w:widowControl/>
              <w:spacing w:before="50" w:after="50" w:line="300" w:lineRule="auto"/>
            </w:pPr>
            <w:r>
              <w:rPr>
                <w:rFonts w:ascii="Times New Roman" w:hAnsi="Times New Roman" w:eastAsia="华文楷体"/>
                <w:sz w:val="24"/>
                <w:color w:val="000000"/>
                <w:lang w:val="en-US"/>
              </w:rPr>
              <w:t xml:space="preserve">Baseline</w:t>
            </w:r>
          </w:p>
        </w:tc>
        <w:tc>
          <w:tcPr>
            <w:tcW w:w="2115" w:type="dxa"/>
            <w:vAlign w:val="center"/>
          </w:tcPr>
          <w:p>
            <w:pPr>
              <w:jc w:val="left"/>
              <w:snapToGrid w:val="0"/>
              <w:widowControl/>
              <w:spacing w:before="50" w:after="50" w:line="300" w:lineRule="auto"/>
              <w:jc w:val="center"/>
            </w:pPr>
            <w:r>
              <w:rPr>
                <w:rFonts w:ascii="Times New Roman" w:hAnsi="Times New Roman" w:eastAsia="华文楷体"/>
                <w:sz w:val="24"/>
                <w:color w:val="000000"/>
                <w:lang w:val="en-US"/>
              </w:rPr>
              <w:t xml:space="preserve">Off</w:t>
            </w:r>
          </w:p>
        </w:tc>
        <w:tc>
          <w:tcPr>
            <w:tcW w:w="2115" w:type="dxa"/>
            <w:vAlign w:val="center"/>
          </w:tcPr>
          <w:p>
            <w:pPr>
              <w:jc w:val="left"/>
              <w:snapToGrid w:val="0"/>
              <w:widowControl/>
              <w:spacing w:before="50" w:after="50" w:line="300" w:lineRule="auto"/>
              <w:jc w:val="center"/>
            </w:pPr>
            <w:r>
              <w:rPr>
                <w:rFonts w:ascii="Times New Roman" w:hAnsi="Times New Roman" w:eastAsia="华文楷体"/>
                <w:sz w:val="24"/>
                <w:color w:val="000000"/>
                <w:lang w:val="en-US"/>
              </w:rPr>
              <w:t xml:space="preserve">Off</w:t>
            </w:r>
          </w:p>
        </w:tc>
      </w:tr>
      <w:tr>
        <w:trPr>
          <w:cantSplit/>
        </w:trPr>
        <w:tc>
          <w:tcPr>
            <w:tcW w:w="4500" w:type="dxa"/>
            <w:vAlign w:val="center"/>
          </w:tcPr>
          <w:p>
            <w:pPr>
              <w:jc w:val="left"/>
              <w:snapToGrid w:val="0"/>
              <w:widowControl/>
              <w:spacing w:before="50" w:after="50" w:line="300" w:lineRule="auto"/>
            </w:pPr>
            <w:r>
              <w:rPr>
                <w:rFonts w:ascii="Times New Roman" w:hAnsi="Times New Roman" w:eastAsia="华文楷体"/>
                <w:sz w:val="24"/>
                <w:color w:val="000000"/>
                <w:lang w:val="en-US"/>
              </w:rPr>
              <w:t xml:space="preserve">Evidence-checked experience reuse</w:t>
            </w:r>
          </w:p>
        </w:tc>
        <w:tc>
          <w:tcPr>
            <w:tcW w:w="2115" w:type="dxa"/>
            <w:vAlign w:val="center"/>
          </w:tcPr>
          <w:p>
            <w:pPr>
              <w:jc w:val="left"/>
              <w:snapToGrid w:val="0"/>
              <w:widowControl/>
              <w:spacing w:before="50" w:after="50" w:line="300" w:lineRule="auto"/>
              <w:jc w:val="center"/>
            </w:pPr>
            <w:r>
              <w:rPr>
                <w:rFonts w:ascii="Times New Roman" w:hAnsi="Times New Roman" w:eastAsia="华文楷体"/>
                <w:sz w:val="24"/>
                <w:color w:val="000000"/>
                <w:lang w:val="en-US"/>
              </w:rPr>
              <w:t xml:space="preserve">On</w:t>
            </w:r>
          </w:p>
        </w:tc>
        <w:tc>
          <w:tcPr>
            <w:tcW w:w="2115" w:type="dxa"/>
            <w:vAlign w:val="center"/>
          </w:tcPr>
          <w:p>
            <w:pPr>
              <w:jc w:val="left"/>
              <w:snapToGrid w:val="0"/>
              <w:widowControl/>
              <w:spacing w:before="50" w:after="50" w:line="300" w:lineRule="auto"/>
              <w:jc w:val="center"/>
            </w:pPr>
            <w:r>
              <w:rPr>
                <w:rFonts w:ascii="Times New Roman" w:hAnsi="Times New Roman" w:eastAsia="华文楷体"/>
                <w:sz w:val="24"/>
                <w:color w:val="000000"/>
                <w:lang w:val="en-US"/>
              </w:rPr>
              <w:t xml:space="preserve">Off</w:t>
            </w:r>
          </w:p>
        </w:tc>
      </w:tr>
      <w:tr>
        <w:trPr>
          <w:cantSplit/>
        </w:trPr>
        <w:tc>
          <w:tcPr>
            <w:tcW w:w="4500" w:type="dxa"/>
            <w:vAlign w:val="center"/>
          </w:tcPr>
          <w:p>
            <w:pPr>
              <w:jc w:val="left"/>
              <w:snapToGrid w:val="0"/>
              <w:widowControl/>
              <w:spacing w:before="50" w:after="50" w:line="300" w:lineRule="auto"/>
            </w:pPr>
            <w:r>
              <w:rPr>
                <w:rFonts w:ascii="Times New Roman" w:hAnsi="Times New Roman" w:eastAsia="华文楷体"/>
                <w:sz w:val="24"/>
                <w:color w:val="000000"/>
                <w:lang w:val="en-US"/>
              </w:rPr>
              <w:t xml:space="preserve">Source-grounded counterexample review</w:t>
            </w:r>
          </w:p>
        </w:tc>
        <w:tc>
          <w:tcPr>
            <w:tcW w:w="2115" w:type="dxa"/>
            <w:vAlign w:val="center"/>
          </w:tcPr>
          <w:p>
            <w:pPr>
              <w:jc w:val="left"/>
              <w:snapToGrid w:val="0"/>
              <w:widowControl/>
              <w:spacing w:before="50" w:after="50" w:line="300" w:lineRule="auto"/>
              <w:jc w:val="center"/>
            </w:pPr>
            <w:r>
              <w:rPr>
                <w:rFonts w:ascii="Times New Roman" w:hAnsi="Times New Roman" w:eastAsia="华文楷体"/>
                <w:sz w:val="24"/>
                <w:color w:val="000000"/>
                <w:lang w:val="en-US"/>
              </w:rPr>
              <w:t xml:space="preserve">Off</w:t>
            </w:r>
          </w:p>
        </w:tc>
        <w:tc>
          <w:tcPr>
            <w:tcW w:w="2115" w:type="dxa"/>
            <w:vAlign w:val="center"/>
          </w:tcPr>
          <w:p>
            <w:pPr>
              <w:jc w:val="left"/>
              <w:snapToGrid w:val="0"/>
              <w:widowControl/>
              <w:spacing w:before="50" w:after="50" w:line="300" w:lineRule="auto"/>
              <w:jc w:val="center"/>
            </w:pPr>
            <w:r>
              <w:rPr>
                <w:rFonts w:ascii="Times New Roman" w:hAnsi="Times New Roman" w:eastAsia="华文楷体"/>
                <w:sz w:val="24"/>
                <w:color w:val="000000"/>
                <w:lang w:val="en-US"/>
              </w:rPr>
              <w:t xml:space="preserve">On</w:t>
            </w:r>
          </w:p>
        </w:tc>
      </w:tr>
      <w:tr>
        <w:trPr>
          <w:cantSplit/>
        </w:trPr>
        <w:tc>
          <w:tcPr>
            <w:tcW w:w="4500" w:type="dxa"/>
            <w:vAlign w:val="center"/>
          </w:tcPr>
          <w:p>
            <w:pPr>
              <w:jc w:val="left"/>
              <w:snapToGrid w:val="0"/>
              <w:widowControl/>
              <w:spacing w:before="50" w:after="50" w:line="300" w:lineRule="auto"/>
            </w:pPr>
            <w:r>
              <w:rPr>
                <w:rFonts w:ascii="Times New Roman" w:hAnsi="Times New Roman" w:eastAsia="华文楷体"/>
                <w:sz w:val="24"/>
                <w:color w:val="000000"/>
                <w:lang w:val="en-US"/>
              </w:rPr>
              <w:t xml:space="preserve">Both</w:t>
            </w:r>
          </w:p>
        </w:tc>
        <w:tc>
          <w:tcPr>
            <w:tcW w:w="2115" w:type="dxa"/>
            <w:vAlign w:val="center"/>
          </w:tcPr>
          <w:p>
            <w:pPr>
              <w:jc w:val="left"/>
              <w:snapToGrid w:val="0"/>
              <w:widowControl/>
              <w:spacing w:before="50" w:after="50" w:line="300" w:lineRule="auto"/>
              <w:jc w:val="center"/>
            </w:pPr>
            <w:r>
              <w:rPr>
                <w:rFonts w:ascii="Times New Roman" w:hAnsi="Times New Roman" w:eastAsia="华文楷体"/>
                <w:sz w:val="24"/>
                <w:color w:val="000000"/>
                <w:lang w:val="en-US"/>
              </w:rPr>
              <w:t xml:space="preserve">On</w:t>
            </w:r>
          </w:p>
        </w:tc>
        <w:tc>
          <w:tcPr>
            <w:tcW w:w="2115" w:type="dxa"/>
            <w:vAlign w:val="center"/>
          </w:tcPr>
          <w:p>
            <w:pPr>
              <w:jc w:val="left"/>
              <w:snapToGrid w:val="0"/>
              <w:widowControl/>
              <w:spacing w:before="50" w:after="50" w:line="300" w:lineRule="auto"/>
              <w:jc w:val="center"/>
            </w:pPr>
            <w:r>
              <w:rPr>
                <w:rFonts w:ascii="Times New Roman" w:hAnsi="Times New Roman" w:eastAsia="华文楷体"/>
                <w:sz w:val="24"/>
                <w:color w:val="000000"/>
                <w:lang w:val="en-US"/>
              </w:rPr>
              <w:t xml:space="preserve">On</w:t>
            </w:r>
          </w:p>
        </w:tc>
      </w:tr>
    </w:tbl>
    <w:p>
      <w:pPr>
        <w:jc w:val="left"/>
        <w:snapToGrid w:val="0"/>
        <w:widowControl/>
        <w:spacing w:before="100" w:after="0" w:line="300" w:lineRule="auto"/>
        <w:ind w:firstLine="480"/>
      </w:pPr>
      <w:r>
        <w:rPr>
          <w:rFonts w:ascii="Times New Roman" w:hAnsi="Times New Roman" w:eastAsia="华文楷体"/>
          <w:sz w:val="24"/>
          <w:color w:val="000000"/>
          <w:lang w:val="en-US"/>
        </w:rPr>
        <w:t xml:space="preserve">“Off” retains ordinary source use and review; the baseline is not prevented from rejecting an unsuitable procedure or detecting a mistake. All four versions use the same starting knowledge and retrieval rules.</w:t>
      </w:r>
    </w:p>
    <w:p>
      <w:pPr>
        <w:jc w:val="left"/>
        <w:snapToGrid w:val="0"/>
        <w:widowControl/>
        <w:spacing w:before="100" w:after="0" w:line="300" w:lineRule="auto"/>
        <w:ind w:firstLine="480"/>
      </w:pPr>
      <w:r>
        <w:rPr>
          <w:rFonts w:ascii="Times New Roman" w:hAnsi="Times New Roman" w:eastAsia="华文楷体"/>
          <w:sz w:val="24"/>
          <w:color w:val="000000"/>
          <w:lang w:val="en-US"/>
        </w:rPr>
        <w:t xml:space="preserve">Strong single-agent controls will perform ordinary analysis and analysis with both added procedures. They will receive equivalent information, tools and resource allowances. This will show whether an improved hierarchy offers a practical advantage over a similarly equipped single agent. Additional ordinary checking under matched budgets will be examined on a bounded sample where feasible.</w:t>
      </w:r>
    </w:p>
    <w:p>
      <w:pPr>
        <w:jc w:val="left"/>
        <w:snapToGrid w:val="0"/>
        <w:widowControl/>
        <w:keepNext/>
        <w:keepLines/>
        <w:spacing w:before="180" w:after="80" w:line="300" w:lineRule="auto"/>
        <w:outlineLvl w:val="1"/>
      </w:pPr>
      <w:r>
        <w:rPr>
          <w:rFonts w:ascii="Times New Roman" w:hAnsi="Times New Roman" w:eastAsia="华文楷体"/>
          <w:sz w:val="24"/>
          <w:color w:val="000000"/>
          <w:b/>
          <w:lang w:val="en-US"/>
        </w:rPr>
        <w:t xml:space="preserve">3.4 Tasks and diagnostic cases</w:t>
      </w:r>
    </w:p>
    <w:p>
      <w:pPr>
        <w:jc w:val="left"/>
        <w:snapToGrid w:val="0"/>
        <w:widowControl/>
        <w:spacing w:before="100" w:after="0" w:line="300" w:lineRule="auto"/>
        <w:ind w:firstLine="480"/>
      </w:pPr>
      <w:r>
        <w:rPr>
          <w:rFonts w:ascii="Times New Roman" w:hAnsi="Times New Roman" w:eastAsia="华文楷体"/>
          <w:sz w:val="24"/>
          <w:color w:val="000000"/>
          <w:lang w:val="en-US"/>
        </w:rPr>
        <w:t xml:space="preserve">DABstep will provide the primary benchmark comparison using its original tasks and scoring [1]. Separately reported diagnostic cases will examine suitable and unsuitable prior knowledge, changed rule applicability, and correct and incorrect candidate calculations. Deliberately introduced errors will test specific mechanisms; they will not be counted as evidence of how frequently those errors occur naturally.</w:t>
      </w:r>
    </w:p>
    <w:p>
      <w:pPr>
        <w:jc w:val="left"/>
        <w:snapToGrid w:val="0"/>
        <w:widowControl/>
        <w:spacing w:before="100" w:after="0" w:line="300" w:lineRule="auto"/>
        <w:ind w:firstLine="480"/>
      </w:pPr>
      <w:r>
        <w:rPr>
          <w:rFonts w:ascii="Times New Roman" w:hAnsi="Times New Roman" w:eastAsia="华文楷体"/>
          <w:sz w:val="24"/>
          <w:color w:val="000000"/>
          <w:lang w:val="en-US"/>
        </w:rPr>
        <w:t xml:space="preserve">To evaluate review itself, every reviewer version will assess the same fixed set of candidate solutions. This avoids attributing easier solver outputs to a better reviewer. Local references will be audited before testing; numerical disagreement alone will not establish which business interpretation is correct.</w:t>
      </w:r>
    </w:p>
    <w:p>
      <w:pPr>
        <w:jc w:val="left"/>
        <w:snapToGrid w:val="0"/>
        <w:widowControl/>
        <w:spacing w:before="100" w:after="0" w:line="300" w:lineRule="auto"/>
        <w:ind w:firstLine="480"/>
      </w:pPr>
      <w:r>
        <w:rPr>
          <w:rFonts w:ascii="Times New Roman" w:hAnsi="Times New Roman" w:eastAsia="华文楷体"/>
          <w:sz w:val="24"/>
          <w:color w:val="000000"/>
          <w:lang w:val="en-US"/>
        </w:rPr>
        <w:t xml:space="preserve">WarehouseReliabilityBench [12] and the datasets identified in the existing AgenticData comparison audit remain secondary targets, subject to release access and task suitability. Original benchmark results and modified diagnostic cases will stay separate. Task-level comparisons require task-level reference evidence; aggregate-only benchmark scores will be reported as such.</w:t>
      </w:r>
    </w:p>
    <w:p>
      <w:pPr>
        <w:jc w:val="left"/>
        <w:snapToGrid w:val="0"/>
        <w:widowControl/>
        <w:keepNext/>
        <w:keepLines/>
        <w:spacing w:before="180" w:after="80" w:line="300" w:lineRule="auto"/>
        <w:outlineLvl w:val="1"/>
      </w:pPr>
      <w:r>
        <w:rPr>
          <w:rFonts w:ascii="Times New Roman" w:hAnsi="Times New Roman" w:eastAsia="华文楷体"/>
          <w:sz w:val="24"/>
          <w:color w:val="000000"/>
          <w:b/>
          <w:lang w:val="en-US"/>
        </w:rPr>
        <w:t xml:space="preserve">3.5 Quality, failure analysis and business value</w:t>
      </w:r>
    </w:p>
    <w:p>
      <w:pPr>
        <w:jc w:val="left"/>
        <w:snapToGrid w:val="0"/>
        <w:widowControl/>
        <w:spacing w:before="100" w:after="0" w:line="300" w:lineRule="auto"/>
        <w:ind w:firstLine="480"/>
        <w:keepNext/>
      </w:pPr>
      <w:r>
        <w:rPr>
          <w:rFonts w:ascii="Times New Roman" w:hAnsi="Times New Roman" w:eastAsia="华文楷体"/>
          <w:sz w:val="24"/>
          <w:color w:val="000000"/>
          <w:lang w:val="en-US"/>
        </w:rPr>
        <w:t xml:space="preserve">Evaluation will cover three areas:</w:t>
      </w:r>
    </w:p>
    <w:p>
      <w:pPr>
        <w:jc w:val="left"/>
        <w:snapToGrid w:val="0"/>
        <w:widowControl/>
        <w:spacing w:before="100" w:after="0" w:line="300" w:lineRule="auto"/>
        <w:numPr>
          <w:ilvl w:val="0"/>
          <w:numId w:val="104"/>
        </w:numPr>
        <w:ind w:left="360" w:hanging="360"/>
      </w:pPr>
      <w:r>
        <w:rPr>
          <w:rFonts w:ascii="Times New Roman" w:hAnsi="Times New Roman" w:eastAsia="华文楷体"/>
          <w:sz w:val="24"/>
          <w:color w:val="000000"/>
          <w:b/>
          <w:lang w:val="en-US"/>
        </w:rPr>
        <w:t xml:space="preserve">Final-answer quality.</w:t>
      </w:r>
      <w:r>
        <w:rPr>
          <w:rFonts w:ascii="Times New Roman" w:hAnsi="Times New Roman" w:eastAsia="华文楷体"/>
          <w:sz w:val="24"/>
          <w:color w:val="000000"/>
          <w:lang w:val="en-US"/>
        </w:rPr>
        <w:t xml:space="preserve"> Measure final-answer correctness, incorrect answers delivered, the share of tasks answered, and failures or timeouts.</w:t>
      </w:r>
    </w:p>
    <w:p>
      <w:pPr>
        <w:jc w:val="left"/>
        <w:snapToGrid w:val="0"/>
        <w:widowControl/>
        <w:spacing w:before="100" w:after="0" w:line="300" w:lineRule="auto"/>
        <w:numPr>
          <w:ilvl w:val="0"/>
          <w:numId w:val="104"/>
        </w:numPr>
        <w:ind w:left="360" w:hanging="360"/>
      </w:pPr>
      <w:r>
        <w:rPr>
          <w:rFonts w:ascii="Times New Roman" w:hAnsi="Times New Roman" w:eastAsia="华文楷体"/>
          <w:sz w:val="24"/>
          <w:color w:val="000000"/>
          <w:b/>
          <w:lang w:val="en-US"/>
        </w:rPr>
        <w:t xml:space="preserve">Targeted failures.</w:t>
      </w:r>
      <w:r>
        <w:rPr>
          <w:rFonts w:ascii="Times New Roman" w:hAnsi="Times New Roman" w:eastAsia="华文楷体"/>
          <w:sz w:val="24"/>
          <w:color w:val="000000"/>
          <w:lang w:val="en-US"/>
        </w:rPr>
        <w:t xml:space="preserve"> Measure admission of unsuitable experience, retention of useful procedures, omitted checks, incorrect approvals and rejection of correct solutions. Examine recorded actions and messages using MAST [8], proposing analytics-specific refinements where recurring failures warrant them.</w:t>
      </w:r>
    </w:p>
    <w:p>
      <w:pPr>
        <w:jc w:val="left"/>
        <w:snapToGrid w:val="0"/>
        <w:widowControl/>
        <w:spacing w:before="100" w:after="0" w:line="300" w:lineRule="auto"/>
        <w:numPr>
          <w:ilvl w:val="0"/>
          <w:numId w:val="104"/>
        </w:numPr>
        <w:ind w:left="360" w:hanging="360"/>
      </w:pPr>
      <w:r>
        <w:rPr>
          <w:rFonts w:ascii="Times New Roman" w:hAnsi="Times New Roman" w:eastAsia="华文楷体"/>
          <w:sz w:val="24"/>
          <w:color w:val="000000"/>
          <w:b/>
          <w:lang w:val="en-US"/>
        </w:rPr>
        <w:t xml:space="preserve">Cost-effectiveness.</w:t>
      </w:r>
      <w:r>
        <w:rPr>
          <w:rFonts w:ascii="Times New Roman" w:hAnsi="Times New Roman" w:eastAsia="华文楷体"/>
          <w:sz w:val="24"/>
          <w:color w:val="000000"/>
          <w:lang w:val="en-US"/>
        </w:rPr>
        <w:t xml:space="preserve"> Record model/tool expenditure, tokens, completion time, preparation and adaptation effort, including unsuccessful attempts and corrections.</w:t>
      </w:r>
    </w:p>
    <w:p>
      <w:pPr>
        <w:jc w:val="left"/>
        <w:snapToGrid w:val="0"/>
        <w:widowControl/>
        <w:spacing w:before="100" w:after="0" w:line="300" w:lineRule="auto"/>
        <w:ind w:firstLine="480"/>
      </w:pPr>
      <w:r>
        <w:rPr>
          <w:rFonts w:ascii="Times New Roman" w:hAnsi="Times New Roman" w:eastAsia="华文楷体"/>
          <w:sz w:val="24"/>
          <w:color w:val="000000"/>
          <w:lang w:val="en-US"/>
        </w:rPr>
        <w:t xml:space="preserve">Results will be compared task by task, with repeated runs to assess variability. Related task variants will be analysed together rather than treated as independent observations. Effect estimates will include uncertainty. The analysis will assess whether using both mechanisms adds value beyond their individual effects, without assuming that the combination is better.</w:t>
      </w:r>
    </w:p>
    <w:p>
      <w:pPr>
        <w:jc w:val="left"/>
        <w:snapToGrid w:val="0"/>
        <w:widowControl/>
        <w:spacing w:before="100" w:after="0" w:line="300" w:lineRule="auto"/>
        <w:ind w:firstLine="480"/>
      </w:pPr>
      <w:r>
        <w:rPr>
          <w:rFonts w:ascii="Times New Roman" w:hAnsi="Times New Roman" w:eastAsia="华文楷体"/>
          <w:sz w:val="24"/>
          <w:color w:val="000000"/>
          <w:lang w:val="en-US"/>
        </w:rPr>
        <w:t xml:space="preserve">The business analysis will compare quality at similar budgets and cost at similar quality levels. It will report cost per correct answer and preparation-cost scenarios for different query volumes, with human effort recorded separately in hours. These scenarios will inform adoption decisions without claiming measured workplace savings or return on investment.</w:t>
      </w:r>
    </w:p>
    <w:p>
      <w:pPr>
        <w:jc w:val="left"/>
        <w:snapToGrid w:val="0"/>
        <w:widowControl/>
        <w:keepNext/>
        <w:keepLines/>
        <w:spacing w:before="180" w:after="80" w:line="300" w:lineRule="auto"/>
        <w:outlineLvl w:val="1"/>
      </w:pPr>
      <w:r>
        <w:rPr>
          <w:rFonts w:ascii="Times New Roman" w:hAnsi="Times New Roman" w:eastAsia="华文楷体"/>
          <w:sz w:val="24"/>
          <w:color w:val="000000"/>
          <w:b/>
          <w:lang w:val="en-US"/>
        </w:rPr>
        <w:t xml:space="preserve">3.6 Implementation and feasibility</w:t>
      </w:r>
    </w:p>
    <w:p>
      <w:pPr>
        <w:jc w:val="left"/>
        <w:snapToGrid w:val="0"/>
        <w:widowControl/>
        <w:spacing w:before="100" w:after="0" w:line="300" w:lineRule="auto"/>
        <w:ind w:firstLine="480"/>
      </w:pPr>
      <w:r>
        <w:rPr>
          <w:rFonts w:ascii="Times New Roman" w:hAnsi="Times New Roman" w:eastAsia="华文楷体"/>
          <w:sz w:val="24"/>
          <w:color w:val="000000"/>
          <w:lang w:val="en-US"/>
        </w:rPr>
        <w:t xml:space="preserve">The implementation will adapt the FinHelm delegation engine [13], drawing on DataPilot and DS-STAR as conceptual references. It will not be presented as reproduction of their leaderboard systems. Before paid experiments, offline checks will verify that agents remain separated, cannot read evaluation answers, and produce usable execution and cost records. Benchmark scoring access will also be confirmed.</w:t>
      </w:r>
    </w:p>
    <w:p>
      <w:pPr>
        <w:jc w:val="left"/>
        <w:snapToGrid w:val="0"/>
        <w:widowControl/>
        <w:spacing w:before="100" w:after="0" w:line="300" w:lineRule="auto"/>
        <w:ind w:firstLine="480"/>
      </w:pPr>
      <w:r>
        <w:rPr>
          <w:rFonts w:ascii="Times New Roman" w:hAnsi="Times New Roman" w:eastAsia="华文楷体"/>
          <w:sz w:val="24"/>
          <w:color w:val="000000"/>
          <w:lang w:val="en-US"/>
        </w:rPr>
        <w:t xml:space="preserve">A development pilot will establish workable task numbers, repetition counts, checking limits and an affordable model within an agreed budget. These settings will be fixed before evaluation. The initial study will use one hierarchy and one model, reducing optional dataset breadth before weakening the core comparisons. No agent experiments have yet been completed.</w:t>
      </w:r>
    </w:p>
    <w:permEnd w:id="1231309113"/>
    <w:p w14:paraId="2039AD1A" w14:textId="77777777" w:rsidR="00F53AA8" w:rsidRDefault="00000000">
      <w:pPr>
        <w:numPr>
          <w:ilvl w:val="0"/>
          <w:numId w:val="2"/>
        </w:numPr>
        <w:spacing w:before="240" w:after="240"/>
        <w:rPr>
          <w:rFonts w:eastAsia="仿宋_GB2312"/>
          <w:b/>
          <w:sz w:val="24"/>
        </w:rPr>
        <w:keepNext/>
        <w:keepLines/>
        <w:widowControl/>
      </w:pPr>
      <w:r>
        <w:rPr>
          <w:rFonts w:eastAsia="仿宋_GB2312" w:hint="eastAsia"/>
          <w:b/>
          <w:sz w:val="24"/>
        </w:rPr>
        <w:t>课题的创新点</w:t>
      </w:r>
      <w:r>
        <w:rPr>
          <w:rFonts w:eastAsia="仿宋_GB2312" w:hint="eastAsia"/>
          <w:b/>
          <w:sz w:val="24"/>
        </w:rPr>
        <w:t xml:space="preserve"> </w:t>
      </w:r>
      <w:r>
        <w:rPr>
          <w:rFonts w:eastAsia="仿宋_GB2312"/>
          <w:b/>
          <w:sz w:val="24"/>
        </w:rPr>
        <w:t>Novelties of the proposed topic.</w:t>
      </w:r>
    </w:p>
    <w:p>
      <w:pPr>
        <w:jc w:val="left"/>
        <w:snapToGrid w:val="0"/>
        <w:widowControl/>
        <w:spacing w:before="100" w:after="0" w:line="300" w:lineRule="auto"/>
        <w:ind w:firstLine="480"/>
      </w:pPr>
      <w:permStart w:id="588208061" w:edGrp="everyone"/>
      <w:r>
        <w:rPr>
          <w:rFonts w:ascii="Times New Roman" w:hAnsi="Times New Roman" w:eastAsia="华文楷体"/>
          <w:sz w:val="24"/>
          <w:color w:val="000000"/>
          <w:lang w:val="en-US"/>
        </w:rPr>
        <w:t xml:space="preserve">The main contribution will be evidence on how </w:t>
      </w:r>
      <w:r>
        <w:rPr>
          <w:rFonts w:ascii="Times New Roman" w:hAnsi="Times New Roman" w:eastAsia="华文楷体"/>
          <w:sz w:val="24"/>
          <w:color w:val="000000"/>
          <w:b/>
          <w:lang w:val="en-US"/>
        </w:rPr>
        <w:t xml:space="preserve">evidence-checked experience reuse</w:t>
      </w:r>
      <w:r>
        <w:rPr>
          <w:rFonts w:ascii="Times New Roman" w:hAnsi="Times New Roman" w:eastAsia="华文楷体"/>
          <w:sz w:val="24"/>
          <w:color w:val="000000"/>
          <w:lang w:val="en-US"/>
        </w:rPr>
        <w:t xml:space="preserve"> and </w:t>
      </w:r>
      <w:r>
        <w:rPr>
          <w:rFonts w:ascii="Times New Roman" w:hAnsi="Times New Roman" w:eastAsia="华文楷体"/>
          <w:sz w:val="24"/>
          <w:color w:val="000000"/>
          <w:b/>
          <w:lang w:val="en-US"/>
        </w:rPr>
        <w:t xml:space="preserve">source-grounded counterexample review</w:t>
      </w:r>
      <w:r>
        <w:rPr>
          <w:rFonts w:ascii="Times New Roman" w:hAnsi="Times New Roman" w:eastAsia="华文楷体"/>
          <w:sz w:val="24"/>
          <w:color w:val="000000"/>
          <w:lang w:val="en-US"/>
        </w:rPr>
        <w:t xml:space="preserve"> affect the reliability of multi-agent business analytics. The study will examine their separate and joint effects in the same system, using the same tasks and available knowledge. This will help establish which improvement addresses which errors, whether they complement each other, and where neither is sufficient.</w:t>
      </w:r>
    </w:p>
    <w:p>
      <w:pPr>
        <w:jc w:val="left"/>
        <w:snapToGrid w:val="0"/>
        <w:widowControl/>
        <w:spacing w:before="100" w:after="0" w:line="300" w:lineRule="auto"/>
        <w:ind w:firstLine="480"/>
      </w:pPr>
      <w:r>
        <w:rPr>
          <w:rFonts w:ascii="Times New Roman" w:hAnsi="Times New Roman" w:eastAsia="华文楷体"/>
          <w:sz w:val="24"/>
          <w:color w:val="000000"/>
          <w:lang w:val="en-US"/>
        </w:rPr>
        <w:t xml:space="preserve">Both improvements build on existing approaches to memory, business rules and executable testing [3,9,10–12]. The study will connect their effects to specific failures: applying experience that does not fit the current rules, overlooking a required check, or approving a wrong business interpretation. Assessing reviewers on the same candidate solutions will help distinguish better review from better answers produced by the analyst. This provides a more precise explanation of any change in final accuracy.</w:t>
      </w:r>
    </w:p>
    <w:p>
      <w:pPr>
        <w:jc w:val="left"/>
        <w:snapToGrid w:val="0"/>
        <w:widowControl/>
        <w:spacing w:before="100" w:after="0" w:line="300" w:lineRule="auto"/>
        <w:ind w:firstLine="480"/>
      </w:pPr>
      <w:r>
        <w:rPr>
          <w:rFonts w:ascii="Times New Roman" w:hAnsi="Times New Roman" w:eastAsia="华文楷体"/>
          <w:sz w:val="24"/>
          <w:color w:val="000000"/>
          <w:lang w:val="en-US"/>
        </w:rPr>
        <w:t xml:space="preserve">The study may also contribute to MAST by identifying recurring analytics failures that its current categories do not distinguish clearly. Where needed, it will propose refinements or subtypes with definitions and examples from recorded runs. Their value will depend on whether they make errors easier to classify consistently and help identify what needs to be improved.</w:t>
      </w:r>
    </w:p>
    <w:p>
      <w:pPr>
        <w:jc w:val="left"/>
        <w:snapToGrid w:val="0"/>
        <w:widowControl/>
        <w:spacing w:before="100" w:after="0" w:line="300" w:lineRule="auto"/>
        <w:ind w:firstLine="480"/>
      </w:pPr>
      <w:r>
        <w:rPr>
          <w:rFonts w:ascii="Times New Roman" w:hAnsi="Times New Roman" w:eastAsia="华文楷体"/>
          <w:sz w:val="24"/>
          <w:color w:val="000000"/>
          <w:lang w:val="en-US"/>
        </w:rPr>
        <w:t xml:space="preserve">The practical contribution will be guidance on when the two improvements are worth using. Their effect on answer quality will be considered alongside preparation effort, operating cost and results from strong single-agent controls. This will help identify when additional checking is worthwhile, when the improvements work better together, and when a simpler approach provides a better balance of quality and cost.</w:t>
      </w:r>
    </w:p>
    <w:p w14:paraId="1F686CCA" w14:textId="77777777" w:rsidR="00F53AA8" w:rsidRDefault="00000000">
      <w:pPr>
        <w:numPr>
          <w:ilvl w:val="0"/>
          <w:numId w:val="2"/>
        </w:numPr>
        <w:spacing w:before="240" w:after="240"/>
        <w:rPr>
          <w:rFonts w:eastAsia="仿宋_GB2312"/>
          <w:b/>
          <w:sz w:val="24"/>
        </w:rPr>
        <w:keepNext/>
        <w:keepLines/>
        <w:widowControl/>
      </w:pPr>
      <w:bookmarkStart w:id="6" w:name="OLE_LINK9"/>
      <w:bookmarkStart w:id="7" w:name="OLE_LINK10"/>
      <w:permEnd w:id="588208061"/>
      <w:r>
        <w:rPr>
          <w:rFonts w:eastAsia="仿宋_GB2312" w:hint="eastAsia"/>
          <w:b/>
          <w:sz w:val="24"/>
        </w:rPr>
        <w:t>计划进度</w:t>
      </w:r>
      <w:bookmarkEnd w:id="6"/>
      <w:bookmarkEnd w:id="7"/>
      <w:r>
        <w:rPr>
          <w:rFonts w:eastAsia="仿宋_GB2312" w:hint="eastAsia"/>
          <w:b/>
          <w:sz w:val="24"/>
        </w:rPr>
        <w:t>、预期成果</w:t>
      </w:r>
      <w:r>
        <w:rPr>
          <w:rFonts w:eastAsia="仿宋_GB2312"/>
          <w:b/>
          <w:sz w:val="24"/>
        </w:rPr>
        <w:t xml:space="preserve"> Research schedule, and expected outcomes</w:t>
      </w:r>
    </w:p>
    <w:p>
      <w:pPr>
        <w:jc w:val="left"/>
        <w:snapToGrid w:val="0"/>
        <w:widowControl/>
        <w:keepNext/>
        <w:keepLines/>
        <w:spacing w:before="180" w:after="80" w:line="300" w:lineRule="auto"/>
        <w:outlineLvl w:val="1"/>
      </w:pPr>
      <w:permStart w:id="1553936702" w:edGrp="everyone"/>
      <w:r>
        <w:rPr>
          <w:rFonts w:ascii="Times New Roman" w:hAnsi="Times New Roman" w:eastAsia="华文楷体"/>
          <w:sz w:val="24"/>
          <w:color w:val="000000"/>
          <w:b/>
          <w:lang w:val="en-US"/>
        </w:rPr>
        <w:t xml:space="preserve">5.1 Research schedule</w:t>
      </w:r>
    </w:p>
    <w:tbl>
      <w:tblPr>
        <w:tblW w:w="873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400"/>
        <w:gridCol w:w="4200"/>
        <w:gridCol w:w="3130"/>
      </w:tblGrid>
      <w:tr>
        <w:trPr>
          <w:cantSplit/>
          <w:tblHeader/>
        </w:trPr>
        <w:tc>
          <w:tcPr>
            <w:tcW w:w="1400" w:type="dxa"/>
            <w:vAlign w:val="center"/>
            <w:shd w:fill="EFEFEF" w:val="clear"/>
          </w:tcPr>
          <w:p>
            <w:pPr>
              <w:jc w:val="left"/>
              <w:snapToGrid w:val="0"/>
              <w:widowControl/>
              <w:spacing w:before="50" w:after="50" w:line="300" w:lineRule="auto"/>
            </w:pPr>
            <w:r>
              <w:rPr>
                <w:rFonts w:ascii="Times New Roman" w:hAnsi="Times New Roman" w:eastAsia="华文楷体"/>
                <w:sz w:val="24"/>
                <w:color w:val="000000"/>
                <w:lang w:val="en-US"/>
                <w:b/>
              </w:rPr>
              <w:t xml:space="preserve">Period</w:t>
            </w:r>
          </w:p>
        </w:tc>
        <w:tc>
          <w:tcPr>
            <w:tcW w:w="4200" w:type="dxa"/>
            <w:vAlign w:val="center"/>
            <w:shd w:fill="EFEFEF" w:val="clear"/>
          </w:tcPr>
          <w:p>
            <w:pPr>
              <w:jc w:val="left"/>
              <w:snapToGrid w:val="0"/>
              <w:widowControl/>
              <w:spacing w:before="50" w:after="50" w:line="300" w:lineRule="auto"/>
            </w:pPr>
            <w:r>
              <w:rPr>
                <w:rFonts w:ascii="Times New Roman" w:hAnsi="Times New Roman" w:eastAsia="华文楷体"/>
                <w:sz w:val="24"/>
                <w:color w:val="000000"/>
                <w:lang w:val="en-US"/>
                <w:b/>
              </w:rPr>
              <w:t xml:space="preserve">Planned work</w:t>
            </w:r>
          </w:p>
        </w:tc>
        <w:tc>
          <w:tcPr>
            <w:tcW w:w="3130" w:type="dxa"/>
            <w:vAlign w:val="center"/>
            <w:shd w:fill="EFEFEF" w:val="clear"/>
          </w:tcPr>
          <w:p>
            <w:pPr>
              <w:jc w:val="left"/>
              <w:snapToGrid w:val="0"/>
              <w:widowControl/>
              <w:spacing w:before="50" w:after="50" w:line="300" w:lineRule="auto"/>
            </w:pPr>
            <w:r>
              <w:rPr>
                <w:rFonts w:ascii="Times New Roman" w:hAnsi="Times New Roman" w:eastAsia="华文楷体"/>
                <w:sz w:val="24"/>
                <w:color w:val="000000"/>
                <w:lang w:val="en-US"/>
                <w:b/>
              </w:rPr>
              <w:t xml:space="preserve">Expected output</w:t>
            </w:r>
          </w:p>
        </w:tc>
      </w:tr>
      <w:tr>
        <w:trPr>
          <w:cantSplit/>
        </w:trPr>
        <w:tc>
          <w:tcPr>
            <w:tcW w:w="1400" w:type="dxa"/>
            <w:vAlign w:val="center"/>
          </w:tcPr>
          <w:p>
            <w:pPr>
              <w:jc w:val="left"/>
              <w:snapToGrid w:val="0"/>
              <w:widowControl/>
              <w:spacing w:before="50" w:after="50" w:line="300" w:lineRule="auto"/>
            </w:pPr>
            <w:r>
              <w:rPr>
                <w:rFonts w:ascii="Times New Roman" w:hAnsi="Times New Roman" w:eastAsia="华文楷体"/>
                <w:sz w:val="24"/>
                <w:color w:val="000000"/>
                <w:lang w:val="en-US"/>
              </w:rPr>
              <w:t xml:space="preserve">16–22 October 2026</w:t>
            </w:r>
          </w:p>
        </w:tc>
        <w:tc>
          <w:tcPr>
            <w:tcW w:w="4200" w:type="dxa"/>
            <w:vAlign w:val="center"/>
          </w:tcPr>
          <w:p>
            <w:pPr>
              <w:jc w:val="left"/>
              <w:snapToGrid w:val="0"/>
              <w:widowControl/>
              <w:spacing w:before="50" w:after="50" w:line="300" w:lineRule="auto"/>
            </w:pPr>
            <w:r>
              <w:rPr>
                <w:rFonts w:ascii="Times New Roman" w:hAnsi="Times New Roman" w:eastAsia="华文楷体"/>
                <w:sz w:val="24"/>
                <w:color w:val="000000"/>
                <w:lang w:val="en-US"/>
              </w:rPr>
              <w:t xml:space="preserve">Prepare slides explaining the research problem, the two improvements and the experiment. Present the proposal and record the feedback.</w:t>
            </w:r>
          </w:p>
        </w:tc>
        <w:tc>
          <w:tcPr>
            <w:tcW w:w="3130" w:type="dxa"/>
            <w:vAlign w:val="center"/>
          </w:tcPr>
          <w:p>
            <w:pPr>
              <w:jc w:val="left"/>
              <w:snapToGrid w:val="0"/>
              <w:widowControl/>
              <w:spacing w:before="50" w:after="50" w:line="300" w:lineRule="auto"/>
            </w:pPr>
            <w:r>
              <w:rPr>
                <w:rFonts w:ascii="Times New Roman" w:hAnsi="Times New Roman" w:eastAsia="华文楷体"/>
                <w:sz w:val="24"/>
                <w:color w:val="000000"/>
                <w:lang w:val="en-US"/>
              </w:rPr>
              <w:t xml:space="preserve">Defense slides and a clear list of revisions following the defense.</w:t>
            </w:r>
          </w:p>
        </w:tc>
      </w:tr>
      <w:tr>
        <w:trPr>
          <w:cantSplit/>
        </w:trPr>
        <w:tc>
          <w:tcPr>
            <w:tcW w:w="1400" w:type="dxa"/>
            <w:vAlign w:val="center"/>
          </w:tcPr>
          <w:p>
            <w:pPr>
              <w:jc w:val="left"/>
              <w:snapToGrid w:val="0"/>
              <w:widowControl/>
              <w:spacing w:before="50" w:after="50" w:line="300" w:lineRule="auto"/>
            </w:pPr>
            <w:r>
              <w:rPr>
                <w:rFonts w:ascii="Times New Roman" w:hAnsi="Times New Roman" w:eastAsia="华文楷体"/>
                <w:sz w:val="24"/>
                <w:color w:val="000000"/>
                <w:lang w:val="en-US"/>
              </w:rPr>
              <w:t xml:space="preserve">Late October</w:t>
            </w:r>
          </w:p>
        </w:tc>
        <w:tc>
          <w:tcPr>
            <w:tcW w:w="4200" w:type="dxa"/>
            <w:vAlign w:val="center"/>
          </w:tcPr>
          <w:p>
            <w:pPr>
              <w:jc w:val="left"/>
              <w:snapToGrid w:val="0"/>
              <w:widowControl/>
              <w:spacing w:before="50" w:after="50" w:line="300" w:lineRule="auto"/>
            </w:pPr>
            <w:r>
              <w:rPr>
                <w:rFonts w:ascii="Times New Roman" w:hAnsi="Times New Roman" w:eastAsia="华文楷体"/>
                <w:sz w:val="24"/>
                <w:color w:val="000000"/>
                <w:lang w:val="en-US"/>
              </w:rPr>
              <w:t xml:space="preserve">Build the main agent and three subagents. Check that they can read the permitted sources, perform calculations and record their actions and costs. Select an affordable model and agree the spending limit.</w:t>
            </w:r>
          </w:p>
        </w:tc>
        <w:tc>
          <w:tcPr>
            <w:tcW w:w="3130" w:type="dxa"/>
            <w:vAlign w:val="center"/>
          </w:tcPr>
          <w:p>
            <w:pPr>
              <w:jc w:val="left"/>
              <w:snapToGrid w:val="0"/>
              <w:widowControl/>
              <w:spacing w:before="50" w:after="50" w:line="300" w:lineRule="auto"/>
            </w:pPr>
            <w:r>
              <w:rPr>
                <w:rFonts w:ascii="Times New Roman" w:hAnsi="Times New Roman" w:eastAsia="华文楷体"/>
                <w:sz w:val="24"/>
                <w:color w:val="000000"/>
                <w:lang w:val="en-US"/>
              </w:rPr>
              <w:t xml:space="preserve">A working baseline system, basic implementation checks and an agreed pilot budget.</w:t>
            </w:r>
          </w:p>
        </w:tc>
      </w:tr>
      <w:tr>
        <w:trPr>
          <w:cantSplit/>
        </w:trPr>
        <w:tc>
          <w:tcPr>
            <w:tcW w:w="1400" w:type="dxa"/>
            <w:vAlign w:val="center"/>
          </w:tcPr>
          <w:p>
            <w:pPr>
              <w:jc w:val="left"/>
              <w:snapToGrid w:val="0"/>
              <w:widowControl/>
              <w:spacing w:before="50" w:after="50" w:line="300" w:lineRule="auto"/>
            </w:pPr>
            <w:r>
              <w:rPr>
                <w:rFonts w:ascii="Times New Roman" w:hAnsi="Times New Roman" w:eastAsia="华文楷体"/>
                <w:sz w:val="24"/>
                <w:color w:val="000000"/>
                <w:lang w:val="en-US"/>
              </w:rPr>
              <w:t xml:space="preserve">Early November</w:t>
            </w:r>
          </w:p>
        </w:tc>
        <w:tc>
          <w:tcPr>
            <w:tcW w:w="4200" w:type="dxa"/>
            <w:vAlign w:val="center"/>
          </w:tcPr>
          <w:p>
            <w:pPr>
              <w:jc w:val="left"/>
              <w:snapToGrid w:val="0"/>
              <w:widowControl/>
              <w:spacing w:before="50" w:after="50" w:line="300" w:lineRule="auto"/>
            </w:pPr>
            <w:r>
              <w:rPr>
                <w:rFonts w:ascii="Times New Roman" w:hAnsi="Times New Roman" w:eastAsia="华文楷体"/>
                <w:sz w:val="24"/>
                <w:color w:val="000000"/>
                <w:lang w:val="en-US"/>
              </w:rPr>
              <w:t xml:space="preserve">Implement evidence-checked experience reuse and source-grounded counterexample review. Prepare reusable procedures from development material and check the tasks and reference answers.</w:t>
            </w:r>
          </w:p>
        </w:tc>
        <w:tc>
          <w:tcPr>
            <w:tcW w:w="3130" w:type="dxa"/>
            <w:vAlign w:val="center"/>
          </w:tcPr>
          <w:p>
            <w:pPr>
              <w:jc w:val="left"/>
              <w:snapToGrid w:val="0"/>
              <w:widowControl/>
              <w:spacing w:before="50" w:after="50" w:line="300" w:lineRule="auto"/>
            </w:pPr>
            <w:r>
              <w:rPr>
                <w:rFonts w:ascii="Times New Roman" w:hAnsi="Times New Roman" w:eastAsia="华文楷体"/>
                <w:sz w:val="24"/>
                <w:color w:val="000000"/>
                <w:lang w:val="en-US"/>
              </w:rPr>
              <w:t xml:space="preserve">Both improvements implemented, a documented knowledge bank and checked development tasks.</w:t>
            </w:r>
          </w:p>
        </w:tc>
      </w:tr>
      <w:tr>
        <w:trPr>
          <w:cantSplit/>
        </w:trPr>
        <w:tc>
          <w:tcPr>
            <w:tcW w:w="1400" w:type="dxa"/>
            <w:vAlign w:val="center"/>
          </w:tcPr>
          <w:p>
            <w:pPr>
              <w:jc w:val="left"/>
              <w:snapToGrid w:val="0"/>
              <w:widowControl/>
              <w:spacing w:before="50" w:after="50" w:line="300" w:lineRule="auto"/>
            </w:pPr>
            <w:r>
              <w:rPr>
                <w:rFonts w:ascii="Times New Roman" w:hAnsi="Times New Roman" w:eastAsia="华文楷体"/>
                <w:sz w:val="24"/>
                <w:color w:val="000000"/>
                <w:lang w:val="en-US"/>
              </w:rPr>
              <w:t xml:space="preserve">Late November</w:t>
            </w:r>
          </w:p>
        </w:tc>
        <w:tc>
          <w:tcPr>
            <w:tcW w:w="4200" w:type="dxa"/>
            <w:vAlign w:val="center"/>
          </w:tcPr>
          <w:p>
            <w:pPr>
              <w:jc w:val="left"/>
              <w:snapToGrid w:val="0"/>
              <w:widowControl/>
              <w:spacing w:before="50" w:after="50" w:line="300" w:lineRule="auto"/>
            </w:pPr>
            <w:r>
              <w:rPr>
                <w:rFonts w:ascii="Times New Roman" w:hAnsi="Times New Roman" w:eastAsia="华文楷体"/>
                <w:sz w:val="24"/>
                <w:color w:val="000000"/>
                <w:lang w:val="en-US"/>
              </w:rPr>
              <w:t xml:space="preserve">Run a small pilot to check that the procedures, generated tests and scoring work as intended. Fix implementation problems, then set the evaluation tasks, repeat counts and resource limits before the main experiment.</w:t>
            </w:r>
          </w:p>
        </w:tc>
        <w:tc>
          <w:tcPr>
            <w:tcW w:w="3130" w:type="dxa"/>
            <w:vAlign w:val="center"/>
          </w:tcPr>
          <w:p>
            <w:pPr>
              <w:jc w:val="left"/>
              <w:snapToGrid w:val="0"/>
              <w:widowControl/>
              <w:spacing w:before="50" w:after="50" w:line="300" w:lineRule="auto"/>
            </w:pPr>
            <w:r>
              <w:rPr>
                <w:rFonts w:ascii="Times New Roman" w:hAnsi="Times New Roman" w:eastAsia="华文楷体"/>
                <w:sz w:val="24"/>
                <w:color w:val="000000"/>
                <w:lang w:val="en-US"/>
              </w:rPr>
              <w:t xml:space="preserve">A tested experimental setup and a written plan specifying exactly what will be compared and measured.</w:t>
            </w:r>
          </w:p>
        </w:tc>
      </w:tr>
      <w:tr>
        <w:trPr>
          <w:cantSplit/>
        </w:trPr>
        <w:tc>
          <w:tcPr>
            <w:tcW w:w="1400" w:type="dxa"/>
            <w:vAlign w:val="center"/>
          </w:tcPr>
          <w:p>
            <w:pPr>
              <w:jc w:val="left"/>
              <w:snapToGrid w:val="0"/>
              <w:widowControl/>
              <w:spacing w:before="50" w:after="50" w:line="300" w:lineRule="auto"/>
            </w:pPr>
            <w:r>
              <w:rPr>
                <w:rFonts w:ascii="Times New Roman" w:hAnsi="Times New Roman" w:eastAsia="华文楷体"/>
                <w:sz w:val="24"/>
                <w:color w:val="000000"/>
                <w:lang w:val="en-US"/>
              </w:rPr>
              <w:t xml:space="preserve">December</w:t>
            </w:r>
          </w:p>
        </w:tc>
        <w:tc>
          <w:tcPr>
            <w:tcW w:w="4200" w:type="dxa"/>
            <w:vAlign w:val="center"/>
          </w:tcPr>
          <w:p>
            <w:pPr>
              <w:jc w:val="left"/>
              <w:snapToGrid w:val="0"/>
              <w:widowControl/>
              <w:spacing w:before="50" w:after="50" w:line="300" w:lineRule="auto"/>
            </w:pPr>
            <w:r>
              <w:rPr>
                <w:rFonts w:ascii="Times New Roman" w:hAnsi="Times New Roman" w:eastAsia="华文楷体"/>
                <w:sz w:val="24"/>
                <w:color w:val="000000"/>
                <w:lang w:val="en-US"/>
              </w:rPr>
              <w:t xml:space="preserve">Run the four MAS versions and the single-agent controls on the same evaluation tasks. Save answers, review decisions, failures, time and cost. Submit the midterm report by 20 December, describing the work completed by that date.</w:t>
            </w:r>
          </w:p>
        </w:tc>
        <w:tc>
          <w:tcPr>
            <w:tcW w:w="3130" w:type="dxa"/>
            <w:vAlign w:val="center"/>
          </w:tcPr>
          <w:p>
            <w:pPr>
              <w:jc w:val="left"/>
              <w:snapToGrid w:val="0"/>
              <w:widowControl/>
              <w:spacing w:before="50" w:after="50" w:line="300" w:lineRule="auto"/>
            </w:pPr>
            <w:r>
              <w:rPr>
                <w:rFonts w:ascii="Times New Roman" w:hAnsi="Times New Roman" w:eastAsia="华文楷体"/>
                <w:sz w:val="24"/>
                <w:color w:val="000000"/>
                <w:lang w:val="en-US"/>
              </w:rPr>
              <w:t xml:space="preserve">Experiment records and the midterm report, including any work still outstanding.</w:t>
            </w:r>
          </w:p>
        </w:tc>
      </w:tr>
      <w:tr>
        <w:trPr>
          <w:cantSplit/>
        </w:trPr>
        <w:tc>
          <w:tcPr>
            <w:tcW w:w="1400" w:type="dxa"/>
            <w:vAlign w:val="center"/>
          </w:tcPr>
          <w:p>
            <w:pPr>
              <w:jc w:val="left"/>
              <w:snapToGrid w:val="0"/>
              <w:widowControl/>
              <w:spacing w:before="50" w:after="50" w:line="300" w:lineRule="auto"/>
            </w:pPr>
            <w:r>
              <w:rPr>
                <w:rFonts w:ascii="Times New Roman" w:hAnsi="Times New Roman" w:eastAsia="华文楷体"/>
                <w:sz w:val="24"/>
                <w:color w:val="000000"/>
                <w:lang w:val="en-US"/>
              </w:rPr>
              <w:t xml:space="preserve">January 2027</w:t>
            </w:r>
          </w:p>
        </w:tc>
        <w:tc>
          <w:tcPr>
            <w:tcW w:w="4200" w:type="dxa"/>
            <w:vAlign w:val="center"/>
          </w:tcPr>
          <w:p>
            <w:pPr>
              <w:jc w:val="left"/>
              <w:snapToGrid w:val="0"/>
              <w:widowControl/>
              <w:spacing w:before="50" w:after="50" w:line="300" w:lineRule="auto"/>
            </w:pPr>
            <w:r>
              <w:rPr>
                <w:rFonts w:ascii="Times New Roman" w:hAnsi="Times New Roman" w:eastAsia="华文楷体"/>
                <w:sz w:val="24"/>
                <w:color w:val="000000"/>
                <w:lang w:val="en-US"/>
              </w:rPr>
              <w:t xml:space="preserve">Compare answer quality and cost across versions. Examine which errors remain, whether the improvements help separately or together, and how the hierarchy compares with the single-agent controls. Conduct limited follow-up checks where needed to explain the findings.</w:t>
            </w:r>
          </w:p>
        </w:tc>
        <w:tc>
          <w:tcPr>
            <w:tcW w:w="3130" w:type="dxa"/>
            <w:vAlign w:val="center"/>
          </w:tcPr>
          <w:p>
            <w:pPr>
              <w:jc w:val="left"/>
              <w:snapToGrid w:val="0"/>
              <w:widowControl/>
              <w:spacing w:before="50" w:after="50" w:line="300" w:lineRule="auto"/>
            </w:pPr>
            <w:r>
              <w:rPr>
                <w:rFonts w:ascii="Times New Roman" w:hAnsi="Times New Roman" w:eastAsia="华文楷体"/>
                <w:sz w:val="24"/>
                <w:color w:val="000000"/>
                <w:lang w:val="en-US"/>
              </w:rPr>
              <w:t xml:space="preserve">Comparison tables, an analysis of errors and costs, and conclusions supported by the results and their uncertainty.</w:t>
            </w:r>
          </w:p>
        </w:tc>
      </w:tr>
      <w:tr>
        <w:trPr>
          <w:cantSplit/>
        </w:trPr>
        <w:tc>
          <w:tcPr>
            <w:tcW w:w="1400" w:type="dxa"/>
            <w:vAlign w:val="center"/>
          </w:tcPr>
          <w:p>
            <w:pPr>
              <w:jc w:val="left"/>
              <w:snapToGrid w:val="0"/>
              <w:widowControl/>
              <w:spacing w:before="50" w:after="50" w:line="300" w:lineRule="auto"/>
            </w:pPr>
            <w:r>
              <w:rPr>
                <w:rFonts w:ascii="Times New Roman" w:hAnsi="Times New Roman" w:eastAsia="华文楷体"/>
                <w:sz w:val="24"/>
                <w:color w:val="000000"/>
                <w:lang w:val="en-US"/>
              </w:rPr>
              <w:t xml:space="preserve">February</w:t>
            </w:r>
          </w:p>
        </w:tc>
        <w:tc>
          <w:tcPr>
            <w:tcW w:w="4200" w:type="dxa"/>
            <w:vAlign w:val="center"/>
          </w:tcPr>
          <w:p>
            <w:pPr>
              <w:jc w:val="left"/>
              <w:snapToGrid w:val="0"/>
              <w:widowControl/>
              <w:spacing w:before="50" w:after="50" w:line="300" w:lineRule="auto"/>
            </w:pPr>
            <w:r>
              <w:rPr>
                <w:rFonts w:ascii="Times New Roman" w:hAnsi="Times New Roman" w:eastAsia="华文楷体"/>
                <w:sz w:val="24"/>
                <w:color w:val="000000"/>
                <w:lang w:val="en-US"/>
              </w:rPr>
              <w:t xml:space="preserve">Write the full thesis, explaining the literature, system, experiment, findings and limitations.</w:t>
            </w:r>
          </w:p>
        </w:tc>
        <w:tc>
          <w:tcPr>
            <w:tcW w:w="3130" w:type="dxa"/>
            <w:vAlign w:val="center"/>
          </w:tcPr>
          <w:p>
            <w:pPr>
              <w:jc w:val="left"/>
              <w:snapToGrid w:val="0"/>
              <w:widowControl/>
              <w:spacing w:before="50" w:after="50" w:line="300" w:lineRule="auto"/>
            </w:pPr>
            <w:r>
              <w:rPr>
                <w:rFonts w:ascii="Times New Roman" w:hAnsi="Times New Roman" w:eastAsia="华文楷体"/>
                <w:sz w:val="24"/>
                <w:color w:val="000000"/>
                <w:lang w:val="en-US"/>
              </w:rPr>
              <w:t xml:space="preserve">A complete thesis draft for supervisor review.</w:t>
            </w:r>
          </w:p>
        </w:tc>
      </w:tr>
      <w:tr>
        <w:trPr>
          <w:cantSplit/>
        </w:trPr>
        <w:tc>
          <w:tcPr>
            <w:tcW w:w="1400" w:type="dxa"/>
            <w:vAlign w:val="center"/>
          </w:tcPr>
          <w:p>
            <w:pPr>
              <w:jc w:val="left"/>
              <w:snapToGrid w:val="0"/>
              <w:widowControl/>
              <w:spacing w:before="50" w:after="50" w:line="300" w:lineRule="auto"/>
            </w:pPr>
            <w:r>
              <w:rPr>
                <w:rFonts w:ascii="Times New Roman" w:hAnsi="Times New Roman" w:eastAsia="华文楷体"/>
                <w:sz w:val="24"/>
                <w:color w:val="000000"/>
                <w:lang w:val="en-US"/>
              </w:rPr>
              <w:t xml:space="preserve">March</w:t>
            </w:r>
          </w:p>
        </w:tc>
        <w:tc>
          <w:tcPr>
            <w:tcW w:w="4200" w:type="dxa"/>
            <w:vAlign w:val="center"/>
          </w:tcPr>
          <w:p>
            <w:pPr>
              <w:jc w:val="left"/>
              <w:snapToGrid w:val="0"/>
              <w:widowControl/>
              <w:spacing w:before="50" w:after="50" w:line="300" w:lineRule="auto"/>
            </w:pPr>
            <w:r>
              <w:rPr>
                <w:rFonts w:ascii="Times New Roman" w:hAnsi="Times New Roman" w:eastAsia="华文楷体"/>
                <w:sz w:val="24"/>
                <w:color w:val="000000"/>
                <w:lang w:val="en-US"/>
              </w:rPr>
              <w:t xml:space="preserve">Revise the thesis after feedback. Organise the code, task versions and instructions needed to repeat the experiment.</w:t>
            </w:r>
          </w:p>
        </w:tc>
        <w:tc>
          <w:tcPr>
            <w:tcW w:w="3130" w:type="dxa"/>
            <w:vAlign w:val="center"/>
          </w:tcPr>
          <w:p>
            <w:pPr>
              <w:jc w:val="left"/>
              <w:snapToGrid w:val="0"/>
              <w:widowControl/>
              <w:spacing w:before="50" w:after="50" w:line="300" w:lineRule="auto"/>
            </w:pPr>
            <w:r>
              <w:rPr>
                <w:rFonts w:ascii="Times New Roman" w:hAnsi="Times New Roman" w:eastAsia="华文楷体"/>
                <w:sz w:val="24"/>
                <w:color w:val="000000"/>
                <w:lang w:val="en-US"/>
              </w:rPr>
              <w:t xml:space="preserve">A revised thesis and an accompanying set of research materials.</w:t>
            </w:r>
          </w:p>
        </w:tc>
      </w:tr>
      <w:tr>
        <w:trPr>
          <w:cantSplit/>
        </w:trPr>
        <w:tc>
          <w:tcPr>
            <w:tcW w:w="1400" w:type="dxa"/>
            <w:vAlign w:val="center"/>
          </w:tcPr>
          <w:p>
            <w:pPr>
              <w:jc w:val="left"/>
              <w:snapToGrid w:val="0"/>
              <w:widowControl/>
              <w:spacing w:before="50" w:after="50" w:line="300" w:lineRule="auto"/>
            </w:pPr>
            <w:r>
              <w:rPr>
                <w:rFonts w:ascii="Times New Roman" w:hAnsi="Times New Roman" w:eastAsia="华文楷体"/>
                <w:sz w:val="24"/>
                <w:color w:val="000000"/>
                <w:lang w:val="en-US"/>
              </w:rPr>
              <w:t xml:space="preserve">7–14 April</w:t>
            </w:r>
          </w:p>
        </w:tc>
        <w:tc>
          <w:tcPr>
            <w:tcW w:w="4200" w:type="dxa"/>
            <w:vAlign w:val="center"/>
          </w:tcPr>
          <w:p>
            <w:pPr>
              <w:jc w:val="left"/>
              <w:snapToGrid w:val="0"/>
              <w:widowControl/>
              <w:spacing w:before="50" w:after="50" w:line="300" w:lineRule="auto"/>
            </w:pPr>
            <w:r>
              <w:rPr>
                <w:rFonts w:ascii="Times New Roman" w:hAnsi="Times New Roman" w:eastAsia="华文楷体"/>
                <w:sz w:val="24"/>
                <w:color w:val="000000"/>
                <w:lang w:val="en-US"/>
              </w:rPr>
              <w:t xml:space="preserve">Complete the required checks and submit the supervisor-approved thesis and plagiarism-check confirmation files.</w:t>
            </w:r>
          </w:p>
        </w:tc>
        <w:tc>
          <w:tcPr>
            <w:tcW w:w="3130" w:type="dxa"/>
            <w:vAlign w:val="center"/>
          </w:tcPr>
          <w:p>
            <w:pPr>
              <w:jc w:val="left"/>
              <w:snapToGrid w:val="0"/>
              <w:widowControl/>
              <w:spacing w:before="50" w:after="50" w:line="300" w:lineRule="auto"/>
            </w:pPr>
            <w:r>
              <w:rPr>
                <w:rFonts w:ascii="Times New Roman" w:hAnsi="Times New Roman" w:eastAsia="华文楷体"/>
                <w:sz w:val="24"/>
                <w:color w:val="000000"/>
                <w:lang w:val="en-US"/>
              </w:rPr>
              <w:t xml:space="preserve">Final submission and confirmation of receipt.</w:t>
            </w:r>
          </w:p>
        </w:tc>
      </w:tr>
      <w:tr>
        <w:trPr>
          <w:cantSplit/>
        </w:trPr>
        <w:tc>
          <w:tcPr>
            <w:tcW w:w="1400" w:type="dxa"/>
            <w:vAlign w:val="center"/>
          </w:tcPr>
          <w:p>
            <w:pPr>
              <w:jc w:val="left"/>
              <w:snapToGrid w:val="0"/>
              <w:widowControl/>
              <w:spacing w:before="50" w:after="50" w:line="300" w:lineRule="auto"/>
            </w:pPr>
            <w:r>
              <w:rPr>
                <w:rFonts w:ascii="Times New Roman" w:hAnsi="Times New Roman" w:eastAsia="华文楷体"/>
                <w:sz w:val="24"/>
                <w:color w:val="000000"/>
                <w:lang w:val="en-US"/>
              </w:rPr>
              <w:t xml:space="preserve">Mid-to-late May</w:t>
            </w:r>
          </w:p>
        </w:tc>
        <w:tc>
          <w:tcPr>
            <w:tcW w:w="4200" w:type="dxa"/>
            <w:vAlign w:val="center"/>
          </w:tcPr>
          <w:p>
            <w:pPr>
              <w:jc w:val="left"/>
              <w:snapToGrid w:val="0"/>
              <w:widowControl/>
              <w:spacing w:before="50" w:after="50" w:line="300" w:lineRule="auto"/>
            </w:pPr>
            <w:r>
              <w:rPr>
                <w:rFonts w:ascii="Times New Roman" w:hAnsi="Times New Roman" w:eastAsia="华文楷体"/>
                <w:sz w:val="24"/>
                <w:color w:val="000000"/>
                <w:lang w:val="en-US"/>
              </w:rPr>
              <w:t xml:space="preserve">Prepare the final presentation and defend the thesis on the confirmed institutional date.</w:t>
            </w:r>
          </w:p>
        </w:tc>
        <w:tc>
          <w:tcPr>
            <w:tcW w:w="3130" w:type="dxa"/>
            <w:vAlign w:val="center"/>
          </w:tcPr>
          <w:p>
            <w:pPr>
              <w:jc w:val="left"/>
              <w:snapToGrid w:val="0"/>
              <w:widowControl/>
              <w:spacing w:before="50" w:after="50" w:line="300" w:lineRule="auto"/>
            </w:pPr>
            <w:r>
              <w:rPr>
                <w:rFonts w:ascii="Times New Roman" w:hAnsi="Times New Roman" w:eastAsia="华文楷体"/>
                <w:sz w:val="24"/>
                <w:color w:val="000000"/>
                <w:lang w:val="en-US"/>
              </w:rPr>
              <w:t xml:space="preserve">Thesis defense and any required final revisions.</w:t>
            </w:r>
          </w:p>
        </w:tc>
      </w:tr>
    </w:tbl>
    <w:p>
      <w:pPr>
        <w:jc w:val="left"/>
        <w:snapToGrid w:val="0"/>
        <w:widowControl/>
        <w:keepNext/>
        <w:keepLines/>
        <w:spacing w:before="180" w:after="80" w:line="300" w:lineRule="auto"/>
        <w:outlineLvl w:val="1"/>
      </w:pPr>
      <w:r>
        <w:rPr>
          <w:rFonts w:ascii="Times New Roman" w:hAnsi="Times New Roman" w:eastAsia="华文楷体"/>
          <w:sz w:val="24"/>
          <w:color w:val="000000"/>
          <w:b/>
          <w:lang w:val="en-US"/>
        </w:rPr>
        <w:t xml:space="preserve">5.2 Expected outcomes</w:t>
      </w:r>
    </w:p>
    <w:p>
      <w:pPr>
        <w:jc w:val="left"/>
        <w:snapToGrid w:val="0"/>
        <w:widowControl/>
        <w:spacing w:before="100" w:after="0" w:line="300" w:lineRule="auto"/>
        <w:ind w:firstLine="480"/>
      </w:pPr>
      <w:r>
        <w:rPr>
          <w:rFonts w:ascii="Times New Roman" w:hAnsi="Times New Roman" w:eastAsia="华文楷体"/>
          <w:sz w:val="24"/>
          <w:color w:val="000000"/>
          <w:lang w:val="en-US"/>
        </w:rPr>
        <w:t xml:space="preserve">The study is expected to produce a working research implementation of the hierarchical MAS with evidence-checked experience reuse and source-grounded counterexample review. The implementation will be accompanied by the code, agent instructions, task versions and experiment settings needed to repeat the comparisons.</w:t>
      </w:r>
    </w:p>
    <w:p>
      <w:pPr>
        <w:jc w:val="left"/>
        <w:snapToGrid w:val="0"/>
        <w:widowControl/>
        <w:spacing w:before="100" w:after="0" w:line="300" w:lineRule="auto"/>
        <w:ind w:firstLine="480"/>
      </w:pPr>
      <w:r>
        <w:rPr>
          <w:rFonts w:ascii="Times New Roman" w:hAnsi="Times New Roman" w:eastAsia="华文楷体"/>
          <w:sz w:val="24"/>
          <w:color w:val="000000"/>
          <w:lang w:val="en-US"/>
        </w:rPr>
        <w:t xml:space="preserve">The main research outcome will be a comparison showing how each improvement, and their combination, affects correct answers, wrong business interpretations, completion time and cost. Results from the single-agent controls will show whether the hierarchy offers an advantage over a simpler system with comparable capabilities. The findings may show benefits, no clear difference or additional errors and expense; the conclusions will reflect the measured results.</w:t>
      </w:r>
    </w:p>
    <w:p>
      <w:pPr>
        <w:jc w:val="left"/>
        <w:snapToGrid w:val="0"/>
        <w:widowControl/>
        <w:spacing w:before="100" w:after="0" w:line="300" w:lineRule="auto"/>
        <w:ind w:firstLine="480"/>
      </w:pPr>
      <w:r>
        <w:rPr>
          <w:rFonts w:ascii="Times New Roman" w:hAnsi="Times New Roman" w:eastAsia="华文楷体"/>
          <w:sz w:val="24"/>
          <w:color w:val="000000"/>
          <w:lang w:val="en-US"/>
        </w:rPr>
        <w:t xml:space="preserve">The error analysis will provide examples of knowledge-use and review failures organised using MAST, with proposed refinements where existing categories are insufficient. Together with the quality and cost comparisons, this should support practical recommendations about when to use evidence-checked experience reuse, source-grounded counterexample review or both. The final thesis will explain these recommendations, the evidence behind them and the limits of applying them beyond the tested tasks.</w:t>
      </w:r>
    </w:p>
    <w:permEnd w:id="1553936702"/>
    <w:p w14:paraId="0758CBA0" w14:textId="77777777" w:rsidR="00F53AA8" w:rsidRDefault="00000000">
      <w:pPr>
        <w:numPr>
          <w:ilvl w:val="0"/>
          <w:numId w:val="2"/>
        </w:numPr>
        <w:spacing w:before="240" w:after="240"/>
        <w:rPr>
          <w:rFonts w:eastAsia="仿宋_GB2312"/>
          <w:b/>
          <w:sz w:val="24"/>
        </w:rPr>
        <w:keepNext/>
        <w:keepLines/>
        <w:widowControl/>
      </w:pPr>
      <w:r>
        <w:rPr>
          <w:rFonts w:eastAsia="仿宋_GB2312" w:hint="eastAsia"/>
          <w:b/>
          <w:sz w:val="24"/>
        </w:rPr>
        <w:t>与本课题有关的工作积累、</w:t>
      </w:r>
      <w:bookmarkStart w:id="8" w:name="OLE_LINK12"/>
      <w:bookmarkStart w:id="9" w:name="OLE_LINK13"/>
      <w:r>
        <w:rPr>
          <w:rFonts w:eastAsia="仿宋_GB2312" w:hint="eastAsia"/>
          <w:b/>
          <w:sz w:val="24"/>
        </w:rPr>
        <w:t>已有的研究工作</w:t>
      </w:r>
      <w:bookmarkEnd w:id="8"/>
      <w:bookmarkEnd w:id="9"/>
      <w:r>
        <w:rPr>
          <w:rFonts w:eastAsia="仿宋_GB2312" w:hint="eastAsia"/>
          <w:b/>
          <w:sz w:val="24"/>
        </w:rPr>
        <w:t>成绩。</w:t>
      </w:r>
      <w:r>
        <w:rPr>
          <w:rFonts w:eastAsia="仿宋_GB2312"/>
          <w:b/>
          <w:sz w:val="24"/>
        </w:rPr>
        <w:t>Prior experience and accomplished achievements related to the proposed topic.</w:t>
      </w:r>
    </w:p>
    <w:p>
      <w:pPr>
        <w:jc w:val="left"/>
        <w:snapToGrid w:val="0"/>
        <w:widowControl/>
        <w:spacing w:before="100" w:after="0" w:line="300" w:lineRule="auto"/>
        <w:ind w:firstLine="480"/>
      </w:pPr>
      <w:permStart w:id="134552170" w:edGrp="everyone"/>
      <w:r>
        <w:rPr>
          <w:rFonts w:ascii="Times New Roman" w:hAnsi="Times New Roman" w:eastAsia="华文楷体"/>
          <w:sz w:val="24"/>
          <w:color w:val="000000"/>
          <w:lang w:val="en-US"/>
        </w:rPr>
        <w:t xml:space="preserve">I have professional experience as a data and business analyst in the banking sector. As agentic systems became more capable, my team increasingly explored their use for analytical work, from ad hoc tasks to complete analytics projects. These attempts did not consistently produce reliable results. The main recurring obstacle was context: agents needed relevant business definitions and rules, but providing this information did not ensure that they interpreted and applied it correctly. This experience motivates my research into how multi-agent systems use business knowledge and verify analytical conclusions.</w:t>
      </w:r>
    </w:p>
    <w:permEnd w:id="134552170"/>
    <w:p w14:paraId="11B98080" w14:textId="77777777" w:rsidR="00F53AA8" w:rsidRDefault="00000000">
      <w:pPr>
        <w:snapToGrid w:val="0"/>
        <w:spacing w:before="120"/>
        <w:rPr>
          <w:rFonts w:ascii="仿宋_GB2312" w:eastAsia="仿宋_GB2312"/>
          <w:b/>
          <w:sz w:val="24"/>
        </w:rPr>
      </w:pPr>
      <w:r>
        <w:rPr>
          <w:rFonts w:ascii="仿宋_GB2312" w:eastAsia="仿宋_GB2312" w:hint="eastAsia"/>
          <w:b/>
          <w:sz w:val="24"/>
        </w:rPr>
        <w:t>本人</w:t>
      </w:r>
      <w:r>
        <w:rPr>
          <w:rFonts w:ascii="仿宋_GB2312" w:eastAsia="仿宋_GB2312"/>
          <w:b/>
          <w:sz w:val="24"/>
        </w:rPr>
        <w:t>承诺：</w:t>
      </w:r>
      <w:r>
        <w:rPr>
          <w:rFonts w:ascii="仿宋_GB2312" w:eastAsia="仿宋_GB2312" w:hint="eastAsia"/>
          <w:b/>
          <w:sz w:val="24"/>
        </w:rPr>
        <w:t>开题报告中</w:t>
      </w:r>
      <w:r>
        <w:rPr>
          <w:rFonts w:ascii="仿宋_GB2312" w:eastAsia="仿宋_GB2312"/>
          <w:b/>
          <w:sz w:val="24"/>
        </w:rPr>
        <w:t>的内容</w:t>
      </w:r>
      <w:r>
        <w:rPr>
          <w:rFonts w:ascii="仿宋_GB2312" w:eastAsia="仿宋_GB2312" w:hint="eastAsia"/>
          <w:b/>
          <w:sz w:val="24"/>
        </w:rPr>
        <w:t>真实无误</w:t>
      </w:r>
      <w:r>
        <w:rPr>
          <w:rFonts w:ascii="仿宋_GB2312" w:eastAsia="仿宋_GB2312"/>
          <w:b/>
          <w:sz w:val="24"/>
        </w:rPr>
        <w:t>，若有不</w:t>
      </w:r>
      <w:r>
        <w:rPr>
          <w:rFonts w:ascii="仿宋_GB2312" w:eastAsia="仿宋_GB2312" w:hint="eastAsia"/>
          <w:b/>
          <w:sz w:val="24"/>
        </w:rPr>
        <w:t>实</w:t>
      </w:r>
      <w:r>
        <w:rPr>
          <w:rFonts w:ascii="仿宋_GB2312" w:eastAsia="仿宋_GB2312"/>
          <w:b/>
          <w:sz w:val="24"/>
        </w:rPr>
        <w:t>，愿承担相应的责任和后果。</w:t>
      </w:r>
      <w:bookmarkStart w:id="10" w:name="OLE_LINK23"/>
      <w:bookmarkStart w:id="11" w:name="OLE_LINK22"/>
      <w:r>
        <w:rPr>
          <w:rFonts w:eastAsia="仿宋_GB2312"/>
          <w:b/>
          <w:sz w:val="24"/>
        </w:rPr>
        <w:t xml:space="preserve">I </w:t>
      </w:r>
      <w:r>
        <w:rPr>
          <w:rFonts w:eastAsia="仿宋_GB2312" w:hint="eastAsia"/>
          <w:b/>
          <w:sz w:val="24"/>
        </w:rPr>
        <w:t xml:space="preserve">hereby </w:t>
      </w:r>
      <w:r>
        <w:rPr>
          <w:rFonts w:eastAsia="仿宋_GB2312"/>
          <w:b/>
          <w:sz w:val="24"/>
        </w:rPr>
        <w:t>declare and confirm that the details provided in this Form are valid and accurate.</w:t>
      </w:r>
      <w:bookmarkEnd w:id="10"/>
      <w:bookmarkEnd w:id="11"/>
      <w:r>
        <w:rPr>
          <w:rFonts w:eastAsia="仿宋_GB2312"/>
          <w:b/>
          <w:sz w:val="24"/>
        </w:rPr>
        <w:t xml:space="preserve"> </w:t>
      </w:r>
      <w:bookmarkStart w:id="12" w:name="OLE_LINK19"/>
      <w:bookmarkStart w:id="13" w:name="OLE_LINK18"/>
      <w:bookmarkStart w:id="14" w:name="OLE_LINK21"/>
      <w:bookmarkStart w:id="15" w:name="OLE_LINK20"/>
      <w:r>
        <w:rPr>
          <w:rFonts w:eastAsia="仿宋_GB2312"/>
          <w:b/>
          <w:sz w:val="24"/>
        </w:rPr>
        <w:t xml:space="preserve">If anything untruthful found, I will </w:t>
      </w:r>
      <w:r>
        <w:rPr>
          <w:rFonts w:eastAsia="仿宋_GB2312" w:hint="eastAsia"/>
          <w:b/>
          <w:sz w:val="24"/>
        </w:rPr>
        <w:t>bear</w:t>
      </w:r>
      <w:r>
        <w:rPr>
          <w:rFonts w:eastAsia="仿宋_GB2312"/>
          <w:b/>
          <w:sz w:val="24"/>
        </w:rPr>
        <w:t xml:space="preserve"> </w:t>
      </w:r>
      <w:r>
        <w:rPr>
          <w:rFonts w:eastAsia="仿宋_GB2312" w:hint="eastAsia"/>
          <w:b/>
          <w:sz w:val="24"/>
        </w:rPr>
        <w:t xml:space="preserve">the </w:t>
      </w:r>
      <w:r>
        <w:rPr>
          <w:rFonts w:eastAsia="仿宋_GB2312"/>
          <w:b/>
          <w:sz w:val="24"/>
        </w:rPr>
        <w:t xml:space="preserve">corresponding </w:t>
      </w:r>
      <w:r>
        <w:rPr>
          <w:rFonts w:eastAsia="仿宋_GB2312" w:hint="eastAsia"/>
          <w:b/>
          <w:sz w:val="24"/>
        </w:rPr>
        <w:t>liabilities</w:t>
      </w:r>
      <w:r>
        <w:rPr>
          <w:rFonts w:eastAsia="仿宋_GB2312"/>
          <w:b/>
          <w:sz w:val="24"/>
        </w:rPr>
        <w:t xml:space="preserve"> and consequences</w:t>
      </w:r>
      <w:bookmarkEnd w:id="12"/>
      <w:bookmarkEnd w:id="13"/>
      <w:r>
        <w:rPr>
          <w:rFonts w:eastAsia="仿宋_GB2312"/>
          <w:b/>
          <w:sz w:val="24"/>
        </w:rPr>
        <w:t>.</w:t>
      </w:r>
      <w:bookmarkEnd w:id="14"/>
      <w:bookmarkEnd w:id="15"/>
    </w:p>
    <w:p w14:paraId="14837AA1" w14:textId="77777777" w:rsidR="00F53AA8" w:rsidRDefault="00F53AA8">
      <w:pPr>
        <w:snapToGrid w:val="0"/>
        <w:spacing w:before="120"/>
        <w:rPr>
          <w:rFonts w:ascii="仿宋_GB2312" w:eastAsia="仿宋_GB2312"/>
          <w:b/>
          <w:sz w:val="24"/>
        </w:rPr>
      </w:pPr>
    </w:p>
    <w:p w14:paraId="13043AF2" w14:textId="7FBFEE17" w:rsidR="00F53AA8" w:rsidRDefault="00000000">
      <w:pPr>
        <w:snapToGrid w:val="0"/>
        <w:spacing w:before="120"/>
        <w:rPr>
          <w:rFonts w:eastAsia="仿宋_GB2312"/>
          <w:b/>
          <w:sz w:val="24"/>
        </w:rPr>
      </w:pPr>
      <w:r>
        <w:rPr>
          <w:rFonts w:eastAsia="仿宋_GB2312"/>
          <w:b/>
          <w:sz w:val="24"/>
        </w:rPr>
        <w:t>学生签字</w:t>
      </w:r>
      <w:r>
        <w:rPr>
          <w:rFonts w:eastAsia="仿宋_GB2312"/>
          <w:b/>
          <w:sz w:val="24"/>
        </w:rPr>
        <w:t>/Signature of Student</w:t>
      </w:r>
      <w:r>
        <w:rPr>
          <w:rFonts w:eastAsia="仿宋_GB2312"/>
          <w:b/>
          <w:sz w:val="24"/>
        </w:rPr>
        <w:t>：</w:t>
      </w:r>
      <w:r>
        <w:rPr>
          <w:rFonts w:eastAsia="仿宋_GB2312"/>
          <w:b/>
          <w:sz w:val="24"/>
        </w:rPr>
        <w:t xml:space="preserve">        </w:t>
      </w:r>
      <w:permStart w:id="1356228740" w:edGrp="everyone"/>
      <w:r>
        <w:rPr>
          <w:rFonts w:eastAsia="仿宋_GB2312"/>
          <w:b/>
          <w:sz w:val="24"/>
        </w:rPr>
        <w:t xml:space="preserve">        </w:t>
      </w:r>
      <w:permEnd w:id="1356228740"/>
      <w:r>
        <w:rPr>
          <w:rFonts w:eastAsia="仿宋_GB2312"/>
          <w:b/>
          <w:sz w:val="24"/>
        </w:rPr>
        <w:t xml:space="preserve">        </w:t>
      </w:r>
      <w:r>
        <w:rPr>
          <w:rFonts w:eastAsia="仿宋_GB2312"/>
          <w:b/>
          <w:sz w:val="24"/>
        </w:rPr>
        <w:t>日期</w:t>
      </w:r>
      <w:r>
        <w:rPr>
          <w:rFonts w:eastAsia="仿宋_GB2312"/>
          <w:b/>
          <w:sz w:val="24"/>
        </w:rPr>
        <w:t>/Date</w:t>
      </w:r>
      <w:r>
        <w:rPr>
          <w:rFonts w:eastAsia="仿宋_GB2312"/>
          <w:b/>
          <w:sz w:val="24"/>
        </w:rPr>
        <w:t>：</w:t>
      </w:r>
      <w:permStart w:id="1733842291" w:edGrp="everyone"/>
      <w:r>
        <w:rPr>
          <w:rFonts w:eastAsia="仿宋_GB2312" w:hint="eastAsia"/>
          <w:b/>
          <w:sz w:val="24"/>
        </w:rPr>
        <w:t xml:space="preserve">        </w:t>
      </w:r>
      <w:r>
        <w:rPr>
          <w:rFonts w:eastAsia="仿宋_GB2312"/>
          <w:sz w:val="24"/>
        </w:rPr>
        <w:t xml:space="preserve">        </w:t>
      </w:r>
      <w:permEnd w:id="1733842291"/>
    </w:p>
    <w:sectPr w:rsidR="00F53AA8">
      <w:footerReference w:type="default" r:id="rId14"/>
      <w:footerReference w:type="first" r:id="rId15"/>
      <w:pgSz w:w="11906" w:h="16838"/>
      <w:pgMar w:top="1418" w:right="1588" w:bottom="1418" w:left="1588" w:header="851" w:footer="851" w:gutter="0"/>
      <w:pgNumType w:start="1"/>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127A6" w14:textId="77777777" w:rsidR="00045D72" w:rsidRDefault="00045D72">
      <w:r>
        <w:separator/>
      </w:r>
    </w:p>
  </w:endnote>
  <w:endnote w:type="continuationSeparator" w:id="0">
    <w:p w14:paraId="3FF014D7" w14:textId="77777777" w:rsidR="00045D72" w:rsidRDefault="00045D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default"/>
    <w:sig w:usb0="00000000" w:usb1="00000000" w:usb2="00000010" w:usb3="00000000" w:csb0="00040000" w:csb1="00000000"/>
  </w:font>
  <w:font w:name="华文仿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00" w:usb3="00000000" w:csb0="00040000" w:csb1="00000000"/>
  </w:font>
  <w:font w:name="MS Gothic">
    <w:altName w:val="ＭＳ ゴシック"/>
    <w:panose1 w:val="020B0609070205080204"/>
    <w:charset w:val="80"/>
    <w:family w:val="modern"/>
    <w:pitch w:val="fixed"/>
    <w:sig w:usb0="E00002FF" w:usb1="6AC7FDFB" w:usb2="08000012" w:usb3="00000000" w:csb0="0002009F" w:csb1="00000000"/>
  </w:font>
  <w:font w:name="华文楷体">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DABE5" w14:textId="77777777" w:rsidR="00F53AA8" w:rsidRDefault="0000000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5286441" w14:textId="77777777" w:rsidR="00F53AA8" w:rsidRDefault="00F53A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E3AC3" w14:textId="77777777" w:rsidR="00F53AA8" w:rsidRDefault="00F53AA8">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4BA94" w14:textId="77777777" w:rsidR="00F53AA8" w:rsidRDefault="00000000">
    <w:pPr>
      <w:pStyle w:val="Footer"/>
      <w:jc w:val="cente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B7BBD" w14:textId="77777777" w:rsidR="00F53AA8" w:rsidRDefault="00000000">
    <w:pPr>
      <w:pStyle w:val="Footer"/>
      <w:jc w:val="center"/>
    </w:pPr>
    <w:r>
      <w:rPr>
        <w:b/>
        <w:bCs/>
      </w:rPr>
      <w:fldChar w:fldCharType="begin"/>
    </w:r>
    <w:r>
      <w:rPr>
        <w:b/>
        <w:bCs/>
      </w:rPr>
      <w:instrText>PAGE  \* Arabic  \* MERGEFORMAT</w:instrText>
    </w:r>
    <w:r>
      <w:rPr>
        <w:b/>
        <w:bCs/>
      </w:rPr>
      <w:fldChar w:fldCharType="separate"/>
    </w:r>
    <w:r>
      <w:rPr>
        <w:b/>
        <w:bCs/>
        <w:lang w:val="zh-CN"/>
      </w:rPr>
      <w:t>2</w:t>
    </w:r>
    <w:r>
      <w:rPr>
        <w:b/>
        <w:bCs/>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A8E06" w14:textId="77777777" w:rsidR="00F53AA8" w:rsidRDefault="00000000">
    <w:pPr>
      <w:pStyle w:val="Footer"/>
      <w:jc w:val="center"/>
    </w:pPr>
    <w:r>
      <w:rPr>
        <w:lang w:val="zh-CN"/>
      </w:rPr>
      <w:t xml:space="preserve"> </w:t>
    </w:r>
    <w:r>
      <w:rPr>
        <w:b/>
        <w:bCs/>
      </w:rPr>
      <w:fldChar w:fldCharType="begin"/>
    </w:r>
    <w:r>
      <w:rPr>
        <w:b/>
        <w:bCs/>
      </w:rPr>
      <w:instrText>PAGE  \* Arabic  \* MERGEFORMAT</w:instrText>
    </w:r>
    <w:r>
      <w:rPr>
        <w:b/>
        <w:bCs/>
      </w:rPr>
      <w:fldChar w:fldCharType="separate"/>
    </w:r>
    <w:r>
      <w:rPr>
        <w:b/>
        <w:bCs/>
        <w:lang w:val="zh-CN"/>
      </w:rPr>
      <w:t>1</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6C61B" w14:textId="77777777" w:rsidR="00045D72" w:rsidRDefault="00045D72">
      <w:r>
        <w:separator/>
      </w:r>
    </w:p>
  </w:footnote>
  <w:footnote w:type="continuationSeparator" w:id="0">
    <w:p w14:paraId="505D9A28" w14:textId="77777777" w:rsidR="00045D72" w:rsidRDefault="00045D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E81871"/>
    <w:multiLevelType w:val="multilevel"/>
    <w:tmpl w:val="5FE81871"/>
    <w:lvl w:ilvl="0">
      <w:start w:val="1"/>
      <w:numFmt w:val="decimal"/>
      <w:lvlText w:val="%1、"/>
      <w:lvlJc w:val="left"/>
      <w:pPr>
        <w:ind w:left="390" w:hanging="39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3D45FAC"/>
    <w:multiLevelType w:val="multilevel"/>
    <w:tmpl w:val="73D45FA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B4A1088"/>
    <w:multiLevelType w:val="multilevel"/>
    <w:tmpl w:val="7B4A1088"/>
    <w:lvl w:ilvl="0">
      <w:start w:val="1"/>
      <w:numFmt w:val="decimal"/>
      <w:lvlText w:val="[%1]."/>
      <w:lvlJc w:val="left"/>
      <w:pPr>
        <w:ind w:left="900"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num w:numId="1" w16cid:durableId="1403601511">
    <w:abstractNumId w:val="1"/>
  </w:num>
  <w:num w:numId="2" w16cid:durableId="1225414015">
    <w:abstractNumId w:val="0"/>
  </w:num>
  <w:num w:numId="3" w16cid:durableId="1356997482">
    <w:abstractNumId w:val="2"/>
  </w:num>
  <w:abstractNum w:abstractNumId="100">
    <w:multiLevelType w:val="singleLevel"/>
    <w:lvl w:ilvl="0">
      <w:start w:val="1"/>
      <w:numFmt w:val="bullet"/>
      <w:lvlText w:val="•"/>
      <w:lvlJc w:val="left"/>
      <w:pPr>
        <w:ind w:left="360" w:hanging="360"/>
      </w:pPr>
    </w:lvl>
  </w:abstractNum>
  <w:abstractNum w:abstractNumId="101">
    <w:multiLevelType w:val="singleLevel"/>
    <w:lvl w:ilvl="0">
      <w:start w:val="1"/>
      <w:numFmt w:val="decimal"/>
      <w:lvlText w:val="%1."/>
      <w:lvlJc w:val="left"/>
      <w:pPr>
        <w:ind w:left="360" w:hanging="360"/>
      </w:pPr>
    </w:lvl>
  </w:abstractNum>
  <w:num w:numId="100">
    <w:abstractNumId w:val="101"/>
    <w:lvlOverride w:ilvl="0">
      <w:startOverride w:val="1"/>
    </w:lvlOverride>
  </w:num>
  <w:num w:numId="101">
    <w:abstractNumId w:val="101"/>
    <w:lvlOverride w:ilvl="0">
      <w:startOverride w:val="1"/>
    </w:lvlOverride>
  </w:num>
  <w:num w:numId="102">
    <w:abstractNumId w:val="100"/>
    <w:lvlOverride w:ilvl="0">
      <w:startOverride w:val="1"/>
    </w:lvlOverride>
  </w:num>
  <w:num w:numId="103">
    <w:abstractNumId w:val="100"/>
    <w:lvlOverride w:ilvl="0">
      <w:startOverride w:val="1"/>
    </w:lvlOverride>
  </w:num>
  <w:num w:numId="104">
    <w:abstractNumId w:val="10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425"/>
  <w:drawingGridHorizontalSpacing w:val="105"/>
  <w:drawingGridVerticalSpacing w:val="156"/>
  <w:displayHorizontalDrawingGridEvery w:val="2"/>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hkM2Q4OGZkZmZjNTc4MDE3NTMxOTBkZDViMjA2NmEifQ=="/>
  </w:docVars>
  <w:rsids>
    <w:rsidRoot w:val="009B1129"/>
    <w:rsid w:val="00004747"/>
    <w:rsid w:val="00016786"/>
    <w:rsid w:val="00023C10"/>
    <w:rsid w:val="0002431A"/>
    <w:rsid w:val="000351C6"/>
    <w:rsid w:val="0004010B"/>
    <w:rsid w:val="00040831"/>
    <w:rsid w:val="00045026"/>
    <w:rsid w:val="00045D72"/>
    <w:rsid w:val="000559E6"/>
    <w:rsid w:val="00060773"/>
    <w:rsid w:val="00060892"/>
    <w:rsid w:val="00060AAD"/>
    <w:rsid w:val="000828CA"/>
    <w:rsid w:val="00082BB5"/>
    <w:rsid w:val="0008580D"/>
    <w:rsid w:val="00087EB8"/>
    <w:rsid w:val="0009080F"/>
    <w:rsid w:val="0009356A"/>
    <w:rsid w:val="00094225"/>
    <w:rsid w:val="00094852"/>
    <w:rsid w:val="00095D36"/>
    <w:rsid w:val="000A271D"/>
    <w:rsid w:val="000B081C"/>
    <w:rsid w:val="000B41CA"/>
    <w:rsid w:val="000B556F"/>
    <w:rsid w:val="000C373D"/>
    <w:rsid w:val="000D11C7"/>
    <w:rsid w:val="000E201F"/>
    <w:rsid w:val="000E2D8F"/>
    <w:rsid w:val="000F4B73"/>
    <w:rsid w:val="000F59A8"/>
    <w:rsid w:val="000F6821"/>
    <w:rsid w:val="001007AB"/>
    <w:rsid w:val="001013DC"/>
    <w:rsid w:val="00104B3B"/>
    <w:rsid w:val="00105B80"/>
    <w:rsid w:val="0011124E"/>
    <w:rsid w:val="001326FF"/>
    <w:rsid w:val="0013523E"/>
    <w:rsid w:val="00143630"/>
    <w:rsid w:val="00144D49"/>
    <w:rsid w:val="00151B26"/>
    <w:rsid w:val="00153C40"/>
    <w:rsid w:val="001606D9"/>
    <w:rsid w:val="00170CAA"/>
    <w:rsid w:val="001823F8"/>
    <w:rsid w:val="00186391"/>
    <w:rsid w:val="001A2D52"/>
    <w:rsid w:val="001B2CC0"/>
    <w:rsid w:val="001C2CE5"/>
    <w:rsid w:val="001D0CCD"/>
    <w:rsid w:val="001D3230"/>
    <w:rsid w:val="002033F3"/>
    <w:rsid w:val="00206CD6"/>
    <w:rsid w:val="002136CF"/>
    <w:rsid w:val="00223EF9"/>
    <w:rsid w:val="00224023"/>
    <w:rsid w:val="00225D08"/>
    <w:rsid w:val="002338BF"/>
    <w:rsid w:val="0024294B"/>
    <w:rsid w:val="00253E61"/>
    <w:rsid w:val="002765BF"/>
    <w:rsid w:val="00281A24"/>
    <w:rsid w:val="00283412"/>
    <w:rsid w:val="00285C68"/>
    <w:rsid w:val="002A47F9"/>
    <w:rsid w:val="002B6911"/>
    <w:rsid w:val="002C345C"/>
    <w:rsid w:val="002D5C52"/>
    <w:rsid w:val="002D5F22"/>
    <w:rsid w:val="002E0571"/>
    <w:rsid w:val="002E0C2B"/>
    <w:rsid w:val="00300758"/>
    <w:rsid w:val="00310DF8"/>
    <w:rsid w:val="00330969"/>
    <w:rsid w:val="00337A91"/>
    <w:rsid w:val="00356F02"/>
    <w:rsid w:val="00372AA6"/>
    <w:rsid w:val="003948B7"/>
    <w:rsid w:val="003A0B48"/>
    <w:rsid w:val="003A3355"/>
    <w:rsid w:val="003A5837"/>
    <w:rsid w:val="003B0B7E"/>
    <w:rsid w:val="003B4BF0"/>
    <w:rsid w:val="003B5113"/>
    <w:rsid w:val="003C1395"/>
    <w:rsid w:val="003C30F8"/>
    <w:rsid w:val="003D2E65"/>
    <w:rsid w:val="003E2C0C"/>
    <w:rsid w:val="003E49AD"/>
    <w:rsid w:val="003E6CB4"/>
    <w:rsid w:val="003F0658"/>
    <w:rsid w:val="004011C2"/>
    <w:rsid w:val="00403ABE"/>
    <w:rsid w:val="00425654"/>
    <w:rsid w:val="00426E88"/>
    <w:rsid w:val="00443D9C"/>
    <w:rsid w:val="00451C99"/>
    <w:rsid w:val="0045597C"/>
    <w:rsid w:val="00455F9E"/>
    <w:rsid w:val="00457F89"/>
    <w:rsid w:val="0046791D"/>
    <w:rsid w:val="00467E1F"/>
    <w:rsid w:val="0047071D"/>
    <w:rsid w:val="00471C38"/>
    <w:rsid w:val="004810A3"/>
    <w:rsid w:val="00482F63"/>
    <w:rsid w:val="004862BE"/>
    <w:rsid w:val="00491BA2"/>
    <w:rsid w:val="00493F0A"/>
    <w:rsid w:val="004942BC"/>
    <w:rsid w:val="004B35BD"/>
    <w:rsid w:val="004B5AD7"/>
    <w:rsid w:val="004C42B2"/>
    <w:rsid w:val="004D1A61"/>
    <w:rsid w:val="004D2790"/>
    <w:rsid w:val="004D5DA8"/>
    <w:rsid w:val="004D7214"/>
    <w:rsid w:val="004E5218"/>
    <w:rsid w:val="004F4F40"/>
    <w:rsid w:val="00511CE8"/>
    <w:rsid w:val="00512368"/>
    <w:rsid w:val="00520425"/>
    <w:rsid w:val="00523324"/>
    <w:rsid w:val="005301E1"/>
    <w:rsid w:val="00530C01"/>
    <w:rsid w:val="00540E55"/>
    <w:rsid w:val="00546E0F"/>
    <w:rsid w:val="005520DF"/>
    <w:rsid w:val="00552B95"/>
    <w:rsid w:val="0055587C"/>
    <w:rsid w:val="00571A6D"/>
    <w:rsid w:val="005762ED"/>
    <w:rsid w:val="00577ADB"/>
    <w:rsid w:val="005868BD"/>
    <w:rsid w:val="00596283"/>
    <w:rsid w:val="00596722"/>
    <w:rsid w:val="005A49B0"/>
    <w:rsid w:val="005C5688"/>
    <w:rsid w:val="005D0533"/>
    <w:rsid w:val="005D1BBA"/>
    <w:rsid w:val="005D714C"/>
    <w:rsid w:val="005F2D7C"/>
    <w:rsid w:val="00615C20"/>
    <w:rsid w:val="006246E9"/>
    <w:rsid w:val="006249AF"/>
    <w:rsid w:val="0063033D"/>
    <w:rsid w:val="00631653"/>
    <w:rsid w:val="00641940"/>
    <w:rsid w:val="0064722A"/>
    <w:rsid w:val="00654BC4"/>
    <w:rsid w:val="006571CC"/>
    <w:rsid w:val="00677481"/>
    <w:rsid w:val="00687079"/>
    <w:rsid w:val="00693B58"/>
    <w:rsid w:val="00693BB0"/>
    <w:rsid w:val="006A6B81"/>
    <w:rsid w:val="006B4E54"/>
    <w:rsid w:val="006B7B46"/>
    <w:rsid w:val="006B7E2B"/>
    <w:rsid w:val="006C3E2F"/>
    <w:rsid w:val="006D2633"/>
    <w:rsid w:val="006D2937"/>
    <w:rsid w:val="006F4949"/>
    <w:rsid w:val="00705FD7"/>
    <w:rsid w:val="00714BA9"/>
    <w:rsid w:val="0073395F"/>
    <w:rsid w:val="00734C83"/>
    <w:rsid w:val="00744C9E"/>
    <w:rsid w:val="007527E8"/>
    <w:rsid w:val="00770241"/>
    <w:rsid w:val="00771B3D"/>
    <w:rsid w:val="00774FF8"/>
    <w:rsid w:val="00776F14"/>
    <w:rsid w:val="00784D93"/>
    <w:rsid w:val="007C0D28"/>
    <w:rsid w:val="007C2A68"/>
    <w:rsid w:val="007D53A5"/>
    <w:rsid w:val="007E4FF9"/>
    <w:rsid w:val="007F141D"/>
    <w:rsid w:val="007F15CE"/>
    <w:rsid w:val="007F52D9"/>
    <w:rsid w:val="008001C8"/>
    <w:rsid w:val="008010BD"/>
    <w:rsid w:val="00802F48"/>
    <w:rsid w:val="008151AD"/>
    <w:rsid w:val="00815E9A"/>
    <w:rsid w:val="00827F44"/>
    <w:rsid w:val="00835D87"/>
    <w:rsid w:val="00844780"/>
    <w:rsid w:val="00847D47"/>
    <w:rsid w:val="008515A4"/>
    <w:rsid w:val="00857A4D"/>
    <w:rsid w:val="008672F1"/>
    <w:rsid w:val="00872CFC"/>
    <w:rsid w:val="00872FD0"/>
    <w:rsid w:val="008731D1"/>
    <w:rsid w:val="008804C8"/>
    <w:rsid w:val="008818F7"/>
    <w:rsid w:val="008B5C0F"/>
    <w:rsid w:val="008C47ED"/>
    <w:rsid w:val="008D114F"/>
    <w:rsid w:val="008D1AA1"/>
    <w:rsid w:val="008D3B3C"/>
    <w:rsid w:val="008D77FA"/>
    <w:rsid w:val="008E1640"/>
    <w:rsid w:val="008F15F9"/>
    <w:rsid w:val="00901053"/>
    <w:rsid w:val="009022EE"/>
    <w:rsid w:val="00906F6B"/>
    <w:rsid w:val="00907F22"/>
    <w:rsid w:val="009106E5"/>
    <w:rsid w:val="00911F43"/>
    <w:rsid w:val="00915BFB"/>
    <w:rsid w:val="00936B61"/>
    <w:rsid w:val="00936C68"/>
    <w:rsid w:val="00945A3F"/>
    <w:rsid w:val="00985400"/>
    <w:rsid w:val="00996DEC"/>
    <w:rsid w:val="00997F23"/>
    <w:rsid w:val="009A3A5D"/>
    <w:rsid w:val="009A5308"/>
    <w:rsid w:val="009A7EAF"/>
    <w:rsid w:val="009B1129"/>
    <w:rsid w:val="009B3C39"/>
    <w:rsid w:val="009D3E86"/>
    <w:rsid w:val="009D5FE9"/>
    <w:rsid w:val="009F5A0F"/>
    <w:rsid w:val="00A071DA"/>
    <w:rsid w:val="00A20EFC"/>
    <w:rsid w:val="00A227EF"/>
    <w:rsid w:val="00A24BFC"/>
    <w:rsid w:val="00A3384C"/>
    <w:rsid w:val="00A47BBE"/>
    <w:rsid w:val="00A54A69"/>
    <w:rsid w:val="00A743DD"/>
    <w:rsid w:val="00A76D96"/>
    <w:rsid w:val="00A77AEB"/>
    <w:rsid w:val="00A77EE2"/>
    <w:rsid w:val="00A8151D"/>
    <w:rsid w:val="00A860C9"/>
    <w:rsid w:val="00AA3996"/>
    <w:rsid w:val="00AB26D0"/>
    <w:rsid w:val="00AB4B37"/>
    <w:rsid w:val="00AC43DC"/>
    <w:rsid w:val="00AC7A47"/>
    <w:rsid w:val="00AD1341"/>
    <w:rsid w:val="00AD1D55"/>
    <w:rsid w:val="00AD3A46"/>
    <w:rsid w:val="00AD6FF7"/>
    <w:rsid w:val="00AF2F00"/>
    <w:rsid w:val="00AF37F9"/>
    <w:rsid w:val="00AF517A"/>
    <w:rsid w:val="00B0524A"/>
    <w:rsid w:val="00B10E5D"/>
    <w:rsid w:val="00B121A6"/>
    <w:rsid w:val="00B1240E"/>
    <w:rsid w:val="00B21327"/>
    <w:rsid w:val="00B23EC1"/>
    <w:rsid w:val="00B324E4"/>
    <w:rsid w:val="00B4325F"/>
    <w:rsid w:val="00B56515"/>
    <w:rsid w:val="00B6027D"/>
    <w:rsid w:val="00B6411E"/>
    <w:rsid w:val="00B64204"/>
    <w:rsid w:val="00B6583F"/>
    <w:rsid w:val="00B730AC"/>
    <w:rsid w:val="00B73946"/>
    <w:rsid w:val="00B86BEF"/>
    <w:rsid w:val="00B924AC"/>
    <w:rsid w:val="00B93973"/>
    <w:rsid w:val="00B95697"/>
    <w:rsid w:val="00BB2478"/>
    <w:rsid w:val="00BB27DA"/>
    <w:rsid w:val="00BB39E8"/>
    <w:rsid w:val="00BB44E9"/>
    <w:rsid w:val="00BD236C"/>
    <w:rsid w:val="00BE2750"/>
    <w:rsid w:val="00BE40D1"/>
    <w:rsid w:val="00BE5F48"/>
    <w:rsid w:val="00BE78EB"/>
    <w:rsid w:val="00BF5358"/>
    <w:rsid w:val="00BF53DC"/>
    <w:rsid w:val="00BF610A"/>
    <w:rsid w:val="00BF66BB"/>
    <w:rsid w:val="00BF6AA8"/>
    <w:rsid w:val="00C03625"/>
    <w:rsid w:val="00C11A43"/>
    <w:rsid w:val="00C12313"/>
    <w:rsid w:val="00C22DEA"/>
    <w:rsid w:val="00C27CFD"/>
    <w:rsid w:val="00C32EE0"/>
    <w:rsid w:val="00C33D28"/>
    <w:rsid w:val="00C35BB3"/>
    <w:rsid w:val="00C52E4E"/>
    <w:rsid w:val="00C56169"/>
    <w:rsid w:val="00C5714E"/>
    <w:rsid w:val="00C71544"/>
    <w:rsid w:val="00C77A8D"/>
    <w:rsid w:val="00C83935"/>
    <w:rsid w:val="00C84A1C"/>
    <w:rsid w:val="00C90C97"/>
    <w:rsid w:val="00CA36F5"/>
    <w:rsid w:val="00CA409D"/>
    <w:rsid w:val="00CC75B7"/>
    <w:rsid w:val="00CC775A"/>
    <w:rsid w:val="00CD26CF"/>
    <w:rsid w:val="00CD35C7"/>
    <w:rsid w:val="00CD63BF"/>
    <w:rsid w:val="00CE5AD6"/>
    <w:rsid w:val="00CE6A58"/>
    <w:rsid w:val="00D2413D"/>
    <w:rsid w:val="00D2414E"/>
    <w:rsid w:val="00D25DBF"/>
    <w:rsid w:val="00D32705"/>
    <w:rsid w:val="00D35DFE"/>
    <w:rsid w:val="00D37599"/>
    <w:rsid w:val="00D376CD"/>
    <w:rsid w:val="00D41F33"/>
    <w:rsid w:val="00D41F4C"/>
    <w:rsid w:val="00D43319"/>
    <w:rsid w:val="00D43DDB"/>
    <w:rsid w:val="00D44B01"/>
    <w:rsid w:val="00D62C3F"/>
    <w:rsid w:val="00D63BEF"/>
    <w:rsid w:val="00D7142E"/>
    <w:rsid w:val="00D740A7"/>
    <w:rsid w:val="00D87D37"/>
    <w:rsid w:val="00D9261A"/>
    <w:rsid w:val="00D94902"/>
    <w:rsid w:val="00DA17DE"/>
    <w:rsid w:val="00DA53E4"/>
    <w:rsid w:val="00DC2DCD"/>
    <w:rsid w:val="00DC3553"/>
    <w:rsid w:val="00DC5510"/>
    <w:rsid w:val="00DE2BC2"/>
    <w:rsid w:val="00DE74CB"/>
    <w:rsid w:val="00E035BC"/>
    <w:rsid w:val="00E03E28"/>
    <w:rsid w:val="00E0797D"/>
    <w:rsid w:val="00E15A63"/>
    <w:rsid w:val="00E215CB"/>
    <w:rsid w:val="00E22FF6"/>
    <w:rsid w:val="00E32F01"/>
    <w:rsid w:val="00E41690"/>
    <w:rsid w:val="00E60439"/>
    <w:rsid w:val="00E613BB"/>
    <w:rsid w:val="00E65C58"/>
    <w:rsid w:val="00E66B7D"/>
    <w:rsid w:val="00E746C6"/>
    <w:rsid w:val="00E76BCA"/>
    <w:rsid w:val="00E81417"/>
    <w:rsid w:val="00E81E50"/>
    <w:rsid w:val="00E8501F"/>
    <w:rsid w:val="00E8669D"/>
    <w:rsid w:val="00EC0474"/>
    <w:rsid w:val="00EC35FF"/>
    <w:rsid w:val="00EE3E40"/>
    <w:rsid w:val="00EF0DBB"/>
    <w:rsid w:val="00EF6D6B"/>
    <w:rsid w:val="00F00878"/>
    <w:rsid w:val="00F113A7"/>
    <w:rsid w:val="00F146F8"/>
    <w:rsid w:val="00F275C7"/>
    <w:rsid w:val="00F33FD0"/>
    <w:rsid w:val="00F351A9"/>
    <w:rsid w:val="00F40004"/>
    <w:rsid w:val="00F52F0A"/>
    <w:rsid w:val="00F53AA8"/>
    <w:rsid w:val="00F74B6A"/>
    <w:rsid w:val="00F77C82"/>
    <w:rsid w:val="00FB3464"/>
    <w:rsid w:val="00FB3ADE"/>
    <w:rsid w:val="00FB4A89"/>
    <w:rsid w:val="00FD3782"/>
    <w:rsid w:val="00FE551C"/>
    <w:rsid w:val="11BA51F0"/>
    <w:rsid w:val="5558730C"/>
    <w:rsid w:val="6083371C"/>
    <w:rsid w:val="6125236D"/>
    <w:rsid w:val="7D7C42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60D02C"/>
  <w15:docId w15:val="{69334768-3E51-49BB-99E6-E93090B7214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page number" w:qFormat="1"/>
    <w:lsdException w:name="Title" w:qFormat="1"/>
    <w:lsdException w:name="Default Paragraph Font" w:semiHidden="1" w:uiPriority="1" w:unhideWhenUsed="1" w:qFormat="1"/>
    <w:lsdException w:name="Subtitle" w:qFormat="1"/>
    <w:lsdException w:name="Block Text"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qFormat/>
    <w:pPr>
      <w:jc w:val="left"/>
    </w:pPr>
  </w:style>
  <w:style w:type="paragraph" w:styleId="BlockText">
    <w:name w:val="Block Text"/>
    <w:basedOn w:val="Normal"/>
    <w:qFormat/>
    <w:pPr>
      <w:ind w:left="600" w:right="631" w:firstLine="460"/>
    </w:pPr>
    <w:rPr>
      <w:sz w:val="24"/>
    </w:rPr>
  </w:style>
  <w:style w:type="paragraph" w:styleId="BalloonText">
    <w:name w:val="Balloon Text"/>
    <w:basedOn w:val="Normal"/>
    <w:link w:val="BalloonTextChar"/>
    <w:qFormat/>
    <w:rPr>
      <w:sz w:val="18"/>
      <w:szCs w:val="18"/>
    </w:r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bottom w:val="single" w:sz="6" w:space="1" w:color="auto"/>
      </w:pBdr>
      <w:tabs>
        <w:tab w:val="center" w:pos="4153"/>
        <w:tab w:val="right" w:pos="8306"/>
      </w:tabs>
      <w:snapToGrid w:val="0"/>
      <w:jc w:val="center"/>
    </w:pPr>
    <w:rPr>
      <w:sz w:val="18"/>
    </w:rPr>
  </w:style>
  <w:style w:type="paragraph" w:styleId="CommentSubject">
    <w:name w:val="annotation subject"/>
    <w:basedOn w:val="CommentText"/>
    <w:next w:val="CommentText"/>
    <w:link w:val="CommentSubjectChar"/>
    <w:qFormat/>
    <w:rPr>
      <w:b/>
      <w:bCs/>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qFormat/>
  </w:style>
  <w:style w:type="character" w:styleId="Hyperlink">
    <w:name w:val="Hyperlink"/>
    <w:qFormat/>
    <w:rPr>
      <w:color w:val="0000FF"/>
      <w:u w:val="single"/>
    </w:rPr>
  </w:style>
  <w:style w:type="character" w:styleId="CommentReference">
    <w:name w:val="annotation reference"/>
    <w:qFormat/>
    <w:rPr>
      <w:sz w:val="21"/>
      <w:szCs w:val="21"/>
    </w:rPr>
  </w:style>
  <w:style w:type="character" w:customStyle="1" w:styleId="CommentTextChar">
    <w:name w:val="Comment Text Char"/>
    <w:link w:val="CommentText"/>
    <w:qFormat/>
    <w:rPr>
      <w:kern w:val="2"/>
      <w:sz w:val="21"/>
    </w:rPr>
  </w:style>
  <w:style w:type="character" w:customStyle="1" w:styleId="CommentSubjectChar">
    <w:name w:val="Comment Subject Char"/>
    <w:link w:val="CommentSubject"/>
    <w:qFormat/>
    <w:rPr>
      <w:b/>
      <w:bCs/>
      <w:kern w:val="2"/>
      <w:sz w:val="21"/>
    </w:rPr>
  </w:style>
  <w:style w:type="character" w:customStyle="1" w:styleId="BalloonTextChar">
    <w:name w:val="Balloon Text Char"/>
    <w:link w:val="BalloonText"/>
    <w:qFormat/>
    <w:rPr>
      <w:kern w:val="2"/>
      <w:sz w:val="18"/>
      <w:szCs w:val="18"/>
    </w:rPr>
  </w:style>
  <w:style w:type="paragraph" w:customStyle="1" w:styleId="1">
    <w:name w:val="修订1"/>
    <w:hidden/>
    <w:uiPriority w:val="99"/>
    <w:semiHidden/>
    <w:qFormat/>
    <w:rPr>
      <w:kern w:val="2"/>
      <w:sz w:val="21"/>
    </w:rPr>
  </w:style>
  <w:style w:type="character" w:styleId="PlaceholderText">
    <w:name w:val="Placeholder Text"/>
    <w:basedOn w:val="DefaultParagraphFont"/>
    <w:uiPriority w:val="99"/>
    <w:semiHidden/>
    <w:qFormat/>
    <w:rPr>
      <w:color w:val="808080"/>
    </w:rPr>
  </w:style>
  <w:style w:type="paragraph" w:styleId="ListParagraph">
    <w:name w:val="List Paragraph"/>
    <w:basedOn w:val="Normal"/>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hyperlink" Target="http://my.sjtu.edu.cn/" TargetMode="External"/><Relationship Id="rId4" Type="http://schemas.openxmlformats.org/officeDocument/2006/relationships/settings" Target="settings.xml"/><Relationship Id="rId9" Type="http://schemas.openxmlformats.org/officeDocument/2006/relationships/hyperlink" Target="http://my.sjtu.edu.cn/" TargetMode="External"/><Relationship Id="rId14" Type="http://schemas.openxmlformats.org/officeDocument/2006/relationships/footer" Target="footer4.xml"/><Relationship Id="rId100" Type="http://schemas.openxmlformats.org/officeDocument/2006/relationships/hyperlink" Target="https://arxiv.org/abs/2506.23719v1" TargetMode="External"/><Relationship Id="rId101" Type="http://schemas.openxmlformats.org/officeDocument/2006/relationships/hyperlink" Target="https://huggingface.co/spaces/adyen/DABstep" TargetMode="External"/><Relationship Id="rId102" Type="http://schemas.openxmlformats.org/officeDocument/2006/relationships/hyperlink" Target="https://en.oceanbase.com/blog/24781555459" TargetMode="External"/><Relationship Id="rId103" Type="http://schemas.openxmlformats.org/officeDocument/2006/relationships/hyperlink" Target="https://arxiv.org/html/2509.21825v4" TargetMode="External"/><Relationship Id="rId104" Type="http://schemas.openxmlformats.org/officeDocument/2006/relationships/hyperlink" Target="https://huggingface.co/blog/nvidia/nemo-agent-toolkit-data-explorer-dabstep-1st-place" TargetMode="External"/><Relationship Id="rId105" Type="http://schemas.openxmlformats.org/officeDocument/2006/relationships/hyperlink" Target="https://arxiv.org/html/2512.08296v3" TargetMode="External"/><Relationship Id="rId106" Type="http://schemas.openxmlformats.org/officeDocument/2006/relationships/hyperlink" Target="https://arxiv.org/html/2601.12307v1" TargetMode="External"/><Relationship Id="rId107" Type="http://schemas.openxmlformats.org/officeDocument/2006/relationships/hyperlink" Target="https://arxiv.org/html/2503.13657v3" TargetMode="External"/><Relationship Id="rId108" Type="http://schemas.openxmlformats.org/officeDocument/2006/relationships/hyperlink" Target="https://arxiv.org/html/2509.25140v2" TargetMode="External"/><Relationship Id="rId109" Type="http://schemas.openxmlformats.org/officeDocument/2006/relationships/hyperlink" Target="https://ipads.se.sjtu.edu.cn/zh/publications/SQLDriller.pdf" TargetMode="External"/><Relationship Id="rId110" Type="http://schemas.openxmlformats.org/officeDocument/2006/relationships/hyperlink" Target="https://aclanthology.org/2025.findings-emnlp.156/" TargetMode="External"/><Relationship Id="rId111" Type="http://schemas.openxmlformats.org/officeDocument/2006/relationships/hyperlink" Target="https://arxiv.org/html/2608.09254v1" TargetMode="External"/><Relationship Id="rId112" Type="http://schemas.openxmlformats.org/officeDocument/2006/relationships/hyperlink" Target="https://github.com/ZhouJiaJun2333/FinHelm/tree/89e1546cab8fdfd9e996e8f6a6efeec933bc1be5" TargetMode="External"/><Relationship Id="rId113" Type="http://schemas.openxmlformats.org/officeDocument/2006/relationships/hyperlink" Target="https://github.com/ZhouJiaJun2333/FinHelm/blob/89e1546cab8fdfd9e996e8f6a6efeec933bc1be5/docs/evaluation.md"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081868575"/>
        <w:category>
          <w:name w:val="常规"/>
          <w:gallery w:val="placeholder"/>
        </w:category>
        <w:types>
          <w:type w:val="bbPlcHdr"/>
        </w:types>
        <w:behaviors>
          <w:behavior w:val="content"/>
        </w:behaviors>
        <w:guid w:val="{78F97715-55B8-409B-9D36-D3EDCF754A0C}"/>
      </w:docPartPr>
      <w:docPartBody>
        <w:p w:rsidR="00690779" w:rsidRDefault="00000000">
          <w:r>
            <w:rPr>
              <w:rStyle w:val="PlaceholderText"/>
              <w:rFonts w:hint="eastAsia"/>
            </w:rPr>
            <w:t>选择一项。</w:t>
          </w:r>
        </w:p>
      </w:docPartBody>
    </w:docPart>
    <w:docPart>
      <w:docPartPr>
        <w:name w:val="92FF123C7D9343D4908226538DDC15EF"/>
        <w:category>
          <w:name w:val="常规"/>
          <w:gallery w:val="placeholder"/>
        </w:category>
        <w:types>
          <w:type w:val="bbPlcHdr"/>
        </w:types>
        <w:behaviors>
          <w:behavior w:val="content"/>
        </w:behaviors>
        <w:guid w:val="{3A94D0A7-C6F5-4EF1-B788-E86217411C95}"/>
      </w:docPartPr>
      <w:docPartBody>
        <w:p w:rsidR="00690779" w:rsidRDefault="00000000">
          <w:pPr>
            <w:pStyle w:val="92FF123C7D9343D4908226538DDC15EF"/>
          </w:pPr>
          <w:r>
            <w:rPr>
              <w:rStyle w:val="PlaceholderText"/>
              <w:rFonts w:hint="eastAsia"/>
            </w:rPr>
            <w:t>选择一项。</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default"/>
    <w:sig w:usb0="00000000" w:usb1="00000000" w:usb2="00000010" w:usb3="00000000" w:csb0="00040000" w:csb1="00000000"/>
  </w:font>
  <w:font w:name="华文仿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00" w:usb3="00000000" w:csb0="00040000" w:csb1="00000000"/>
  </w:font>
  <w:font w:name="MS Gothic">
    <w:altName w:val="ＭＳ ゴシック"/>
    <w:panose1 w:val="020B0609070205080204"/>
    <w:charset w:val="80"/>
    <w:family w:val="modern"/>
    <w:pitch w:val="fixed"/>
    <w:sig w:usb0="E00002FF" w:usb1="6AC7FDFB" w:usb2="08000012" w:usb3="00000000" w:csb0="0002009F" w:csb1="00000000"/>
  </w:font>
  <w:font w:name="华文楷体">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880"/>
    <w:rsid w:val="00094225"/>
    <w:rsid w:val="000D47E8"/>
    <w:rsid w:val="001931F9"/>
    <w:rsid w:val="003D4624"/>
    <w:rsid w:val="004805E8"/>
    <w:rsid w:val="004A4DE0"/>
    <w:rsid w:val="00511D32"/>
    <w:rsid w:val="00546E28"/>
    <w:rsid w:val="0064722A"/>
    <w:rsid w:val="00676425"/>
    <w:rsid w:val="006871FD"/>
    <w:rsid w:val="00690779"/>
    <w:rsid w:val="006E343A"/>
    <w:rsid w:val="008363FA"/>
    <w:rsid w:val="008F6474"/>
    <w:rsid w:val="00981CDF"/>
    <w:rsid w:val="009825B2"/>
    <w:rsid w:val="00B60880"/>
    <w:rsid w:val="00D93406"/>
    <w:rsid w:val="00DE471C"/>
    <w:rsid w:val="00DE6A99"/>
    <w:rsid w:val="00F43B92"/>
    <w:rsid w:val="00F56A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Pr>
      <w:color w:val="808080"/>
    </w:rPr>
  </w:style>
  <w:style w:type="paragraph" w:customStyle="1" w:styleId="92FF123C7D9343D4908226538DDC15EF">
    <w:name w:val="92FF123C7D9343D4908226538DDC15EF"/>
    <w:qFormat/>
    <w:pPr>
      <w:widowControl w:val="0"/>
      <w:jc w:val="both"/>
    </w:pPr>
    <w:rPr>
      <w:rFonts w:ascii="Times New Roman" w:eastAsia="宋体" w:hAnsi="Times New Roman" w:cs="Times New Roman"/>
      <w:kern w:val="2"/>
      <w:sz w:val="21"/>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Version="6"/>
</file>

<file path=customXml/itemProps1.xml><?xml version="1.0" encoding="utf-8"?>
<ds:datastoreItem xmlns:ds="http://schemas.openxmlformats.org/officeDocument/2006/customXml" ds:itemID="{18D08F07-1F73-4D76-86B2-A17011837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565</Words>
  <Characters>3227</Characters>
  <Application>Microsoft Office Word</Application>
  <DocSecurity>0</DocSecurity>
  <Lines>26</Lines>
  <Paragraphs>7</Paragraphs>
  <ScaleCrop>false</ScaleCrop>
  <Company>上海交通大学研究生院</Company>
  <LinksUpToDate>false</LinksUpToDate>
  <CharactersWithSpaces>3785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学科代码</dc:title>
  <dc:creator>hc</dc:creator>
  <cp:lastModifiedBy>Ming Jiang</cp:lastModifiedBy>
  <cp:revision>15</cp:revision>
  <cp:lastPrinted>2017-11-10T07:39:00Z</cp:lastPrinted>
  <dcterms:created xsi:type="dcterms:W3CDTF">2020-12-21T03:28:00Z</dcterms:created>
  <dcterms:modified xsi:type="dcterms:W3CDTF">2026-09-18T07:34:00Z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922BEB2049994B4CBE4AE1EE8DDCE994_13</vt:lpwstr>
  </property>
  <property fmtid="{D5CDD505-2E9C-101B-9397-08002B2CF9AE}" pid="4" name="KSOTemplateDocerSaveRecord">
    <vt:lpwstr>eyJoZGlkIjoiNzc5ZGExYjFmNjQ1NGEyYmIzNTRkMTQyZGM0MzIxZTkiLCJ1c2VySWQiOiI0MzI5NzAzOTUifQ==</vt:lpwstr>
  </property>
</Properties>
</file>