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2E5395"/>
          <w:sz w:val="30"/>
          <w:szCs w:val="30"/>
        </w:rPr>
        <w:t xml:space="preserve">DRAFT FINAL</w:t>
      </w:r>
    </w:p>
    <w:p>
      <w:pPr>
        <w:spacing w:after="200"/>
        <w:jc w:val="center"/>
      </w:pPr>
      <w:r>
        <w:rPr>
          <w:rFonts w:ascii="Calibri" w:cs="Calibri" w:eastAsia="Calibri" w:hAnsi="Calibri"/>
          <w:b/>
          <w:bCs/>
          <w:color w:val="1F3864"/>
          <w:sz w:val="56"/>
          <w:szCs w:val="56"/>
        </w:rPr>
        <w:t xml:space="preserve">EXECUTIVE SUMMARY</w:t>
      </w:r>
    </w:p>
    <w:p>
      <w:pPr>
        <w:pBdr>
          <w:bottom w:val="single" w:color="1F3864" w:sz="12" w:space="10"/>
        </w:pBdr>
        <w:spacing w:after="700"/>
        <w:jc w:val="center"/>
      </w:pPr>
      <w:r>
        <w:rPr>
          <w:sz w:val="4"/>
          <w:szCs w:val="4"/>
        </w:rPr>
        <w:t xml:space="preserve"> </w:t>
      </w:r>
    </w:p>
    <w:p>
      <w:pPr>
        <w:spacing w:after="120"/>
        <w:jc w:val="center"/>
      </w:pPr>
      <w:r>
        <w:rPr>
          <w:rFonts w:ascii="Calibri" w:cs="Calibri" w:eastAsia="Calibri" w:hAnsi="Calibri"/>
          <w:b/>
          <w:bCs/>
          <w:sz w:val="30"/>
          <w:szCs w:val="30"/>
        </w:rPr>
        <w:t xml:space="preserve">AFRICAN GREEN FARMERS (A.G.F.) LIMITED</w:t>
      </w:r>
    </w:p>
    <w:p>
      <w:pPr>
        <w:spacing w:after="120"/>
        <w:jc w:val="center"/>
      </w:pPr>
      <w:r>
        <w:rPr>
          <w:rFonts w:ascii="Calibri" w:cs="Calibri" w:eastAsia="Calibri" w:hAnsi="Calibri"/>
          <w:i/>
          <w:iCs/>
          <w:sz w:val="24"/>
          <w:szCs w:val="24"/>
        </w:rPr>
        <w:t xml:space="preserve">Republic of Zambia</w:t>
      </w:r>
    </w:p>
    <w:p>
      <w:pPr>
        <w:spacing w:after="500"/>
        <w:jc w:val="center"/>
      </w:pPr>
      <w:r>
        <w:rPr>
          <w:rFonts w:ascii="Calibri" w:cs="Calibri" w:eastAsia="Calibri" w:hAnsi="Calibri"/>
          <w:b/>
          <w:bCs/>
          <w:color w:val="2E5395"/>
          <w:sz w:val="24"/>
          <w:szCs w:val="24"/>
        </w:rPr>
        <w:t xml:space="preserve">ANINOVA INDUSTRIES — Integrated Industrial Manufacturing Platform</w:t>
      </w:r>
    </w:p>
    <w:p>
      <w:pPr>
        <w:spacing w:after="100"/>
        <w:jc w:val="center"/>
      </w:pPr>
      <w:r>
        <w:rPr>
          <w:rFonts w:ascii="Calibri" w:cs="Calibri" w:eastAsia="Calibri" w:hAnsi="Calibri"/>
          <w:b/>
          <w:bCs/>
          <w:color w:val="1F3864"/>
          <w:sz w:val="26"/>
          <w:szCs w:val="26"/>
        </w:rPr>
        <w:t xml:space="preserve">USD 63,209,692 Senior Secured Development Facility</w:t>
      </w:r>
    </w:p>
    <w:p>
      <w:pPr>
        <w:spacing w:after="900"/>
        <w:jc w:val="center"/>
      </w:pPr>
      <w:r>
        <w:rPr>
          <w:rFonts w:ascii="Calibri" w:cs="Calibri" w:eastAsia="Calibri" w:hAnsi="Calibri"/>
          <w:i/>
          <w:iCs/>
          <w:sz w:val="20"/>
          <w:szCs w:val="20"/>
        </w:rPr>
        <w:t xml:space="preserve">Industrialization, Scale-Up &amp; Commercialization Financing Requirement</w:t>
      </w:r>
    </w:p>
    <w:p>
      <w:r>
        <w:br w:type="page"/>
      </w:r>
    </w:p>
    <w:p>
      <w:pPr>
        <w:pStyle w:val="Heading1"/>
        <w:pBdr>
          <w:bottom w:val="single" w:color="1F3864" w:sz="6" w:space="4"/>
        </w:pBdr>
        <w:spacing w:after="180" w:before="360"/>
      </w:pPr>
      <w:r>
        <w:rPr>
          <w:rFonts w:ascii="Calibri" w:cs="Calibri" w:eastAsia="Calibri" w:hAnsi="Calibri"/>
          <w:b/>
          <w:bCs/>
          <w:color w:val="1F3864"/>
          <w:sz w:val="28"/>
          <w:szCs w:val="28"/>
        </w:rPr>
        <w:t xml:space="preserve">1.0 EXECUTIVE SUMMARY</w:t>
      </w:r>
    </w:p>
    <w:p>
      <w:pPr>
        <w:spacing w:after="160" w:line="300"/>
        <w:jc w:val="both"/>
      </w:pPr>
      <w:r>
        <w:rPr>
          <w:rFonts w:ascii="Calibri" w:cs="Calibri" w:eastAsia="Calibri" w:hAnsi="Calibri"/>
          <w:b w:val="false"/>
          <w:bCs w:val="false"/>
          <w:i w:val="false"/>
          <w:iCs w:val="false"/>
          <w:sz w:val="22"/>
          <w:szCs w:val="22"/>
        </w:rPr>
        <w:t xml:space="preserve">Duly incorporated on 12 March 2025, African Green Farmers (A.G.F.) Limited is a privately owned Zambian agro-industrial enterprise holding a Zambia Development Agency (ZDA) Investment Licence (ZDA/59004/10/2025) and five-year Ministry of Finance investment incentives (Ref. No. ZDA/DG/DUTY, 22 January 2026). A.G.F. is currently at the operational pilot and industrialization-preparation stage, with pilot food processing, product development and process validation underway. The USD 63.21 million financing requirement is industrialization, scale-up and commercialization capital—not start-up capital—to develop the planned integrated industrial manufacturing platform through ANINOVA INDUSTRIES.</w:t>
      </w:r>
    </w:p>
    <w:p>
      <w:pPr>
        <w:spacing w:after="160" w:line="300"/>
        <w:jc w:val="both"/>
      </w:pPr>
      <w:r>
        <w:rPr>
          <w:rFonts w:ascii="Calibri" w:cs="Calibri" w:eastAsia="Calibri" w:hAnsi="Calibri"/>
          <w:b w:val="false"/>
          <w:bCs w:val="false"/>
          <w:i w:val="false"/>
          <w:iCs w:val="false"/>
          <w:sz w:val="22"/>
          <w:szCs w:val="22"/>
        </w:rPr>
        <w:t xml:space="preserve">ANINOVA INDUSTRIES is planned as a GMP-controlled, ISO Class 8/7/5-aligned, modular and automated manufacturing platform for standardized Natural &amp; Bioactive Extracts, Nutraceuticals, Food Supplements, Clean-Label and Functional/Fortified Foods &amp; Beverages, supported by advanced extraction, lyophilization, purification, formulation, packaging and quality-control systems.</w:t>
      </w:r>
    </w:p>
    <w:p>
      <w:pPr>
        <w:spacing w:after="160" w:line="300"/>
        <w:jc w:val="both"/>
      </w:pPr>
      <w:r>
        <w:rPr>
          <w:rFonts w:ascii="Calibri" w:cs="Calibri" w:eastAsia="Calibri" w:hAnsi="Calibri"/>
          <w:b w:val="false"/>
          <w:bCs w:val="false"/>
          <w:i w:val="false"/>
          <w:iCs w:val="false"/>
          <w:sz w:val="22"/>
          <w:szCs w:val="22"/>
        </w:rPr>
        <w:t xml:space="preserve">Current operations do not represent established industrial manufacturing or material commercial revenue generation. Industrial production, sales and export revenues are prospective following financing, construction, commissioning, qualification, applicable regulatory approvals and commercial launch.</w:t>
      </w:r>
    </w:p>
    <w:p>
      <w:pPr>
        <w:pStyle w:val="Heading2"/>
        <w:spacing w:after="140" w:before="260"/>
      </w:pPr>
      <w:r>
        <w:rPr>
          <w:rFonts w:ascii="Calibri" w:cs="Calibri" w:eastAsia="Calibri" w:hAnsi="Calibri"/>
          <w:b/>
          <w:bCs/>
          <w:color w:val="2E5395"/>
          <w:sz w:val="24"/>
          <w:szCs w:val="24"/>
        </w:rPr>
        <w:t xml:space="preserve">1.1 Strategic Organic Feedstock &amp; Supply Platform</w:t>
      </w:r>
    </w:p>
    <w:p>
      <w:pPr>
        <w:spacing w:after="160" w:line="300"/>
        <w:jc w:val="both"/>
      </w:pPr>
      <w:r>
        <w:rPr>
          <w:rFonts w:ascii="Calibri" w:cs="Calibri" w:eastAsia="Calibri" w:hAnsi="Calibri"/>
          <w:b w:val="false"/>
          <w:bCs w:val="false"/>
          <w:i w:val="false"/>
          <w:iCs w:val="false"/>
          <w:sz w:val="22"/>
          <w:szCs w:val="22"/>
        </w:rPr>
        <w:t xml:space="preserve">A.G.F. has secured 97 ha for controlled organic production of selected nutrient- and bioactive-rich feedstocks, with phased expansion toward 2,000+ ha, supported by contract farming targeting 5,000+ farmers, qualified suppliers, traceability and agronomic quality controls.</w:t>
      </w:r>
    </w:p>
    <w:p>
      <w:pPr>
        <w:pStyle w:val="Heading2"/>
        <w:spacing w:after="140" w:before="260"/>
      </w:pPr>
      <w:r>
        <w:rPr>
          <w:rFonts w:ascii="Calibri" w:cs="Calibri" w:eastAsia="Calibri" w:hAnsi="Calibri"/>
          <w:b/>
          <w:bCs/>
          <w:color w:val="2E5395"/>
          <w:sz w:val="24"/>
          <w:szCs w:val="24"/>
        </w:rPr>
        <w:t xml:space="preserve">1.2 Integrated Livestock &amp; Bioresource Platform</w:t>
      </w:r>
    </w:p>
    <w:p>
      <w:pPr>
        <w:spacing w:after="160" w:line="300"/>
        <w:jc w:val="both"/>
      </w:pPr>
      <w:r>
        <w:rPr>
          <w:rFonts w:ascii="Calibri" w:cs="Calibri" w:eastAsia="Calibri" w:hAnsi="Calibri"/>
          <w:b w:val="false"/>
          <w:bCs w:val="false"/>
          <w:i w:val="false"/>
          <w:iCs w:val="false"/>
          <w:sz w:val="22"/>
          <w:szCs w:val="22"/>
        </w:rPr>
        <w:t xml:space="preserve">The planned livestock platform comprises 150 dairy cattle and 150 swine, supporting controlled milk, manure and other bioresource utilization through fermentation, bioconversion and bio-input production, subject to validation and applicable regulatory requirements.</w:t>
      </w:r>
    </w:p>
    <w:p>
      <w:pPr>
        <w:pStyle w:val="Heading2"/>
        <w:spacing w:after="140" w:before="260"/>
      </w:pPr>
      <w:r>
        <w:rPr>
          <w:rFonts w:ascii="Calibri" w:cs="Calibri" w:eastAsia="Calibri" w:hAnsi="Calibri"/>
          <w:b/>
          <w:bCs/>
          <w:color w:val="2E5395"/>
          <w:sz w:val="24"/>
          <w:szCs w:val="24"/>
        </w:rPr>
        <w:t xml:space="preserve">1.3 Advanced Manufacturing &amp; Product Platform</w:t>
      </w:r>
    </w:p>
    <w:p>
      <w:pPr>
        <w:spacing w:after="160" w:line="300"/>
        <w:jc w:val="both"/>
      </w:pPr>
      <w:r>
        <w:rPr>
          <w:rFonts w:ascii="Calibri" w:cs="Calibri" w:eastAsia="Calibri" w:hAnsi="Calibri"/>
          <w:b w:val="false"/>
          <w:bCs w:val="false"/>
          <w:i w:val="false"/>
          <w:iCs w:val="false"/>
          <w:sz w:val="22"/>
          <w:szCs w:val="22"/>
        </w:rPr>
        <w:t xml:space="preserve">ANINOVA INDUSTRIES is planned as an advanced, modular, automated EPC-turnkey platform for:</w:t>
      </w:r>
    </w:p>
    <w:p>
      <w:pPr>
        <w:pStyle w:val="ListParagraph"/>
        <w:numPr>
          <w:ilvl w:val="0"/>
          <w:numId w:val="2"/>
        </w:numPr>
        <w:spacing w:after="100"/>
      </w:pPr>
      <w:r>
        <w:rPr>
          <w:rFonts w:ascii="Calibri" w:cs="Calibri" w:eastAsia="Calibri" w:hAnsi="Calibri"/>
          <w:sz w:val="22"/>
          <w:szCs w:val="22"/>
        </w:rPr>
        <w:t xml:space="preserve">GMP-compliant standardized Natural &amp; Bioactive Extracts;</w:t>
      </w:r>
    </w:p>
    <w:p>
      <w:pPr>
        <w:pStyle w:val="ListParagraph"/>
        <w:numPr>
          <w:ilvl w:val="0"/>
          <w:numId w:val="2"/>
        </w:numPr>
        <w:spacing w:after="100"/>
      </w:pPr>
      <w:r>
        <w:rPr>
          <w:rFonts w:ascii="Calibri" w:cs="Calibri" w:eastAsia="Calibri" w:hAnsi="Calibri"/>
          <w:sz w:val="22"/>
          <w:szCs w:val="22"/>
        </w:rPr>
        <w:t xml:space="preserve">Nutraceuticals and Food Supplements;</w:t>
      </w:r>
    </w:p>
    <w:p>
      <w:pPr>
        <w:pStyle w:val="ListParagraph"/>
        <w:numPr>
          <w:ilvl w:val="0"/>
          <w:numId w:val="2"/>
        </w:numPr>
        <w:spacing w:after="100"/>
      </w:pPr>
      <w:r>
        <w:rPr>
          <w:rFonts w:ascii="Calibri" w:cs="Calibri" w:eastAsia="Calibri" w:hAnsi="Calibri"/>
          <w:sz w:val="22"/>
          <w:szCs w:val="22"/>
        </w:rPr>
        <w:t xml:space="preserve">Clean-Label, Functional &amp; Fortified Foods &amp; Beverages;</w:t>
      </w:r>
    </w:p>
    <w:p>
      <w:pPr>
        <w:pStyle w:val="ListParagraph"/>
        <w:numPr>
          <w:ilvl w:val="0"/>
          <w:numId w:val="2"/>
        </w:numPr>
        <w:spacing w:after="100"/>
      </w:pPr>
      <w:r>
        <w:rPr>
          <w:rFonts w:ascii="Calibri" w:cs="Calibri" w:eastAsia="Calibri" w:hAnsi="Calibri"/>
          <w:sz w:val="22"/>
          <w:szCs w:val="22"/>
        </w:rPr>
        <w:t xml:space="preserve">Lyophilized standardized products and applicable advanced dosage forms;</w:t>
      </w:r>
    </w:p>
    <w:p>
      <w:pPr>
        <w:pStyle w:val="ListParagraph"/>
        <w:numPr>
          <w:ilvl w:val="0"/>
          <w:numId w:val="2"/>
        </w:numPr>
        <w:spacing w:after="100"/>
      </w:pPr>
      <w:r>
        <w:rPr>
          <w:rFonts w:ascii="Calibri" w:cs="Calibri" w:eastAsia="Calibri" w:hAnsi="Calibri"/>
          <w:sz w:val="22"/>
          <w:szCs w:val="22"/>
        </w:rPr>
        <w:t xml:space="preserve">Added-sugar-free, preservative-free, alcohol-free and cholesterol-free formulations, where applicable.</w:t>
      </w:r>
    </w:p>
    <w:p>
      <w:pPr>
        <w:spacing w:after="160" w:line="300"/>
        <w:jc w:val="both"/>
      </w:pPr>
      <w:r>
        <w:rPr>
          <w:rFonts w:ascii="Calibri" w:cs="Calibri" w:eastAsia="Calibri" w:hAnsi="Calibri"/>
          <w:b w:val="false"/>
          <w:bCs w:val="false"/>
          <w:i w:val="false"/>
          <w:iCs w:val="false"/>
          <w:sz w:val="22"/>
          <w:szCs w:val="22"/>
        </w:rPr>
        <w:t xml:space="preserve">Core technologies include LN₂-assisted cold extraction, dynamic vacuum freeze-drying, micronization, supercritical CO₂ extraction/fractionation, purification, membrane separation, precision formulation and automated GMP packaging.</w:t>
      </w:r>
    </w:p>
    <w:p>
      <w:pPr>
        <w:spacing w:after="160" w:line="300"/>
        <w:jc w:val="both"/>
      </w:pPr>
      <w:r>
        <w:rPr>
          <w:rFonts w:ascii="Calibri" w:cs="Calibri" w:eastAsia="Calibri" w:hAnsi="Calibri"/>
          <w:b w:val="false"/>
          <w:bCs w:val="false"/>
          <w:i w:val="false"/>
          <w:iCs w:val="false"/>
          <w:sz w:val="22"/>
          <w:szCs w:val="22"/>
        </w:rPr>
        <w:t xml:space="preserve">Critical zones will incorporate ISO Class 8/7/5-aligned controlled environments, environmental monitoring, qualification and contamination/cross-contamination controls.</w:t>
      </w:r>
    </w:p>
    <w:p>
      <w:pPr>
        <w:spacing w:after="160" w:line="300"/>
        <w:jc w:val="both"/>
      </w:pPr>
      <w:r>
        <w:rPr>
          <w:rFonts w:ascii="Calibri" w:cs="Calibri" w:eastAsia="Calibri" w:hAnsi="Calibri"/>
          <w:b w:val="false"/>
          <w:bCs w:val="false"/>
          <w:i w:val="false"/>
          <w:iCs w:val="false"/>
          <w:sz w:val="22"/>
          <w:szCs w:val="22"/>
        </w:rPr>
        <w:t xml:space="preserve">The initial 11-product portfolio comprises:</w:t>
      </w:r>
    </w:p>
    <w:p>
      <w:pPr>
        <w:pStyle w:val="ListParagraph"/>
        <w:numPr>
          <w:ilvl w:val="0"/>
          <w:numId w:val="3"/>
        </w:numPr>
        <w:spacing w:after="80"/>
      </w:pPr>
      <w:r>
        <w:rPr>
          <w:rFonts w:ascii="Calibri" w:cs="Calibri" w:eastAsia="Calibri" w:hAnsi="Calibri"/>
          <w:sz w:val="22"/>
          <w:szCs w:val="22"/>
        </w:rPr>
        <w:t xml:space="preserve">Advanced Multi-Functional Bioactive Complex</w:t>
      </w:r>
    </w:p>
    <w:p>
      <w:pPr>
        <w:pStyle w:val="ListParagraph"/>
        <w:numPr>
          <w:ilvl w:val="0"/>
          <w:numId w:val="3"/>
        </w:numPr>
        <w:spacing w:after="80"/>
      </w:pPr>
      <w:r>
        <w:rPr>
          <w:rFonts w:ascii="Calibri" w:cs="Calibri" w:eastAsia="Calibri" w:hAnsi="Calibri"/>
          <w:sz w:val="22"/>
          <w:szCs w:val="22"/>
        </w:rPr>
        <w:t xml:space="preserve">Immune Boosting Extract</w:t>
      </w:r>
    </w:p>
    <w:p>
      <w:pPr>
        <w:pStyle w:val="ListParagraph"/>
        <w:numPr>
          <w:ilvl w:val="0"/>
          <w:numId w:val="3"/>
        </w:numPr>
        <w:spacing w:after="80"/>
      </w:pPr>
      <w:r>
        <w:rPr>
          <w:rFonts w:ascii="Calibri" w:cs="Calibri" w:eastAsia="Calibri" w:hAnsi="Calibri"/>
          <w:sz w:val="22"/>
          <w:szCs w:val="22"/>
        </w:rPr>
        <w:t xml:space="preserve">Advanced Antioxidant Complex</w:t>
      </w:r>
    </w:p>
    <w:p>
      <w:pPr>
        <w:pStyle w:val="ListParagraph"/>
        <w:numPr>
          <w:ilvl w:val="0"/>
          <w:numId w:val="3"/>
        </w:numPr>
        <w:spacing w:after="80"/>
      </w:pPr>
      <w:r>
        <w:rPr>
          <w:rFonts w:ascii="Calibri" w:cs="Calibri" w:eastAsia="Calibri" w:hAnsi="Calibri"/>
          <w:sz w:val="22"/>
          <w:szCs w:val="22"/>
        </w:rPr>
        <w:t xml:space="preserve">Regenerator Plus</w:t>
      </w:r>
    </w:p>
    <w:p>
      <w:pPr>
        <w:pStyle w:val="ListParagraph"/>
        <w:numPr>
          <w:ilvl w:val="0"/>
          <w:numId w:val="3"/>
        </w:numPr>
        <w:spacing w:after="80"/>
      </w:pPr>
      <w:r>
        <w:rPr>
          <w:rFonts w:ascii="Calibri" w:cs="Calibri" w:eastAsia="Calibri" w:hAnsi="Calibri"/>
          <w:sz w:val="22"/>
          <w:szCs w:val="22"/>
        </w:rPr>
        <w:t xml:space="preserve">Fortified Soymilk Powder</w:t>
      </w:r>
    </w:p>
    <w:p>
      <w:pPr>
        <w:pStyle w:val="ListParagraph"/>
        <w:numPr>
          <w:ilvl w:val="0"/>
          <w:numId w:val="3"/>
        </w:numPr>
        <w:spacing w:after="80"/>
      </w:pPr>
      <w:r>
        <w:rPr>
          <w:rFonts w:ascii="Calibri" w:cs="Calibri" w:eastAsia="Calibri" w:hAnsi="Calibri"/>
          <w:sz w:val="22"/>
          <w:szCs w:val="22"/>
        </w:rPr>
        <w:t xml:space="preserve">Enriched Plant Milk Blend</w:t>
      </w:r>
    </w:p>
    <w:p>
      <w:pPr>
        <w:pStyle w:val="ListParagraph"/>
        <w:numPr>
          <w:ilvl w:val="0"/>
          <w:numId w:val="3"/>
        </w:numPr>
        <w:spacing w:after="80"/>
      </w:pPr>
      <w:r>
        <w:rPr>
          <w:rFonts w:ascii="Calibri" w:cs="Calibri" w:eastAsia="Calibri" w:hAnsi="Calibri"/>
          <w:sz w:val="22"/>
          <w:szCs w:val="22"/>
        </w:rPr>
        <w:t xml:space="preserve">Fortified Vacuum-Dried Tofu</w:t>
      </w:r>
    </w:p>
    <w:p>
      <w:pPr>
        <w:pStyle w:val="ListParagraph"/>
        <w:numPr>
          <w:ilvl w:val="0"/>
          <w:numId w:val="3"/>
        </w:numPr>
        <w:spacing w:after="80"/>
      </w:pPr>
      <w:r>
        <w:rPr>
          <w:rFonts w:ascii="Calibri" w:cs="Calibri" w:eastAsia="Calibri" w:hAnsi="Calibri"/>
          <w:sz w:val="22"/>
          <w:szCs w:val="22"/>
        </w:rPr>
        <w:t xml:space="preserve">Clean-Label Mixed Juice Blend</w:t>
      </w:r>
    </w:p>
    <w:p>
      <w:pPr>
        <w:pStyle w:val="ListParagraph"/>
        <w:numPr>
          <w:ilvl w:val="0"/>
          <w:numId w:val="3"/>
        </w:numPr>
        <w:spacing w:after="80"/>
      </w:pPr>
      <w:r>
        <w:rPr>
          <w:rFonts w:ascii="Calibri" w:cs="Calibri" w:eastAsia="Calibri" w:hAnsi="Calibri"/>
          <w:sz w:val="22"/>
          <w:szCs w:val="22"/>
        </w:rPr>
        <w:t xml:space="preserve">Multi-Pathogen Bio-control Complex</w:t>
      </w:r>
    </w:p>
    <w:p>
      <w:pPr>
        <w:pStyle w:val="ListParagraph"/>
        <w:numPr>
          <w:ilvl w:val="0"/>
          <w:numId w:val="3"/>
        </w:numPr>
        <w:spacing w:after="80"/>
      </w:pPr>
      <w:r>
        <w:rPr>
          <w:rFonts w:ascii="Calibri" w:cs="Calibri" w:eastAsia="Calibri" w:hAnsi="Calibri"/>
          <w:sz w:val="22"/>
          <w:szCs w:val="22"/>
        </w:rPr>
        <w:t xml:space="preserve">Ultra-Fine Bio-fertilizer Complex</w:t>
      </w:r>
    </w:p>
    <w:p>
      <w:pPr>
        <w:pStyle w:val="ListParagraph"/>
        <w:numPr>
          <w:ilvl w:val="0"/>
          <w:numId w:val="3"/>
        </w:numPr>
        <w:spacing w:after="80"/>
      </w:pPr>
      <w:r>
        <w:rPr>
          <w:rFonts w:ascii="Calibri" w:cs="Calibri" w:eastAsia="Calibri" w:hAnsi="Calibri"/>
          <w:sz w:val="22"/>
          <w:szCs w:val="22"/>
        </w:rPr>
        <w:t xml:space="preserve">Bioshield Fertilizer</w:t>
      </w:r>
    </w:p>
    <w:p>
      <w:pPr>
        <w:spacing w:after="160" w:line="300"/>
        <w:jc w:val="both"/>
      </w:pPr>
      <w:r>
        <w:rPr>
          <w:rFonts w:ascii="Calibri" w:cs="Calibri" w:eastAsia="Calibri" w:hAnsi="Calibri"/>
          <w:b w:val="false"/>
          <w:bCs w:val="false"/>
          <w:i w:val="false"/>
          <w:iCs w:val="false"/>
          <w:sz w:val="22"/>
          <w:szCs w:val="22"/>
        </w:rPr>
        <w:t xml:space="preserve">Product specifications and claims remain subject to technical validation and applicable regulatory requirements.</w:t>
      </w:r>
    </w:p>
    <w:p>
      <w:pPr>
        <w:pStyle w:val="Heading2"/>
        <w:spacing w:after="140" w:before="260"/>
      </w:pPr>
      <w:r>
        <w:rPr>
          <w:rFonts w:ascii="Calibri" w:cs="Calibri" w:eastAsia="Calibri" w:hAnsi="Calibri"/>
          <w:b/>
          <w:bCs/>
          <w:color w:val="2E5395"/>
          <w:sz w:val="24"/>
          <w:szCs w:val="24"/>
        </w:rPr>
        <w:t xml:space="preserve">1.4 Scientific Development, Validation &amp; Quality</w:t>
      </w:r>
    </w:p>
    <w:p>
      <w:pPr>
        <w:spacing w:after="160" w:line="300"/>
        <w:jc w:val="both"/>
      </w:pPr>
      <w:r>
        <w:rPr>
          <w:rFonts w:ascii="Calibri" w:cs="Calibri" w:eastAsia="Calibri" w:hAnsi="Calibri"/>
          <w:b w:val="false"/>
          <w:bCs w:val="false"/>
          <w:i w:val="false"/>
          <w:iCs w:val="false"/>
          <w:sz w:val="22"/>
          <w:szCs w:val="22"/>
        </w:rPr>
        <w:t xml:space="preserve">CERIQA Laboratories provides bioactive profiling, characterization, standardization, analytical-method validation, specifications, quality control, stability and safety assessment, supporting laboratory-to-manufacturing technology transfer and industrial scale-up.</w:t>
      </w:r>
    </w:p>
    <w:p>
      <w:pPr>
        <w:pStyle w:val="Heading2"/>
        <w:spacing w:after="140" w:before="260"/>
      </w:pPr>
      <w:r>
        <w:rPr>
          <w:rFonts w:ascii="Calibri" w:cs="Calibri" w:eastAsia="Calibri" w:hAnsi="Calibri"/>
          <w:b/>
          <w:bCs/>
          <w:color w:val="2E5395"/>
          <w:sz w:val="24"/>
          <w:szCs w:val="24"/>
        </w:rPr>
        <w:t xml:space="preserve">1.5 Commercialization &amp; Market Access</w:t>
      </w:r>
    </w:p>
    <w:p>
      <w:pPr>
        <w:spacing w:after="160" w:line="300"/>
        <w:jc w:val="both"/>
      </w:pPr>
      <w:r>
        <w:rPr>
          <w:rFonts w:ascii="Calibri" w:cs="Calibri" w:eastAsia="Calibri" w:hAnsi="Calibri"/>
          <w:b w:val="false"/>
          <w:bCs w:val="false"/>
          <w:i w:val="false"/>
          <w:iCs w:val="false"/>
          <w:sz w:val="22"/>
          <w:szCs w:val="22"/>
        </w:rPr>
        <w:t xml:space="preserve">Commercialization is planned through notarized off-take agreements, qualified institutional and distribution partners, A.G.F.-owned Natural Health Food Supermarkets and Sale Points, regional markets and international exports.</w:t>
      </w:r>
    </w:p>
    <w:p>
      <w:pPr>
        <w:spacing w:after="160" w:line="300"/>
        <w:jc w:val="both"/>
      </w:pPr>
      <w:r>
        <w:rPr>
          <w:rFonts w:ascii="Calibri" w:cs="Calibri" w:eastAsia="Calibri" w:hAnsi="Calibri"/>
          <w:b w:val="false"/>
          <w:bCs w:val="false"/>
          <w:i w:val="false"/>
          <w:iCs w:val="false"/>
          <w:sz w:val="22"/>
          <w:szCs w:val="22"/>
        </w:rPr>
        <w:t xml:space="preserve">Market, pricing, production and sales assumptions remain subject to validation through the underlying commercial and financial model.</w:t>
      </w:r>
    </w:p>
    <w:p>
      <w:pPr>
        <w:pStyle w:val="Heading2"/>
        <w:spacing w:after="140" w:before="260"/>
      </w:pPr>
      <w:r>
        <w:rPr>
          <w:rFonts w:ascii="Calibri" w:cs="Calibri" w:eastAsia="Calibri" w:hAnsi="Calibri"/>
          <w:b/>
          <w:bCs/>
          <w:color w:val="2E5395"/>
          <w:sz w:val="24"/>
          <w:szCs w:val="24"/>
        </w:rPr>
        <w:t xml:space="preserve">1.5.1 Notarized Off-Take Agreements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United States of America</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c>
          <w:tcPr>
            <w:tcW w:type="dxa" w:w="45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Burundi</w:t>
            </w:r>
          </w:p>
        </w:tc>
        <w:tc>
          <w:tcPr>
            <w:tcW w:type="dxa" w:w="46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Zambia</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c>
          <w:tcPr>
            <w:tcW w:type="dxa" w:w="45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Other International/Regional Markets</w:t>
            </w:r>
          </w:p>
        </w:tc>
        <w:tc>
          <w:tcPr>
            <w:tcW w:type="dxa" w:w="46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bl>
    <w:p>
      <w:r>
        <w:br w:type="page"/>
      </w:r>
    </w:p>
    <w:p>
      <w:pPr>
        <w:pStyle w:val="Heading1"/>
        <w:pBdr>
          <w:bottom w:val="single" w:color="1F3864" w:sz="6" w:space="4"/>
        </w:pBdr>
        <w:spacing w:after="180" w:before="360"/>
      </w:pPr>
      <w:r>
        <w:rPr>
          <w:rFonts w:ascii="Calibri" w:cs="Calibri" w:eastAsia="Calibri" w:hAnsi="Calibri"/>
          <w:b/>
          <w:bCs/>
          <w:color w:val="1F3864"/>
          <w:sz w:val="28"/>
          <w:szCs w:val="28"/>
        </w:rPr>
        <w:t xml:space="preserve">2.0 EXECUTIVE CREDIT SUMMARY</w:t>
      </w:r>
    </w:p>
    <w:p>
      <w:pPr>
        <w:spacing w:after="160" w:line="300"/>
        <w:jc w:val="both"/>
      </w:pPr>
      <w:r>
        <w:rPr>
          <w:rFonts w:ascii="Calibri" w:cs="Calibri" w:eastAsia="Calibri" w:hAnsi="Calibri"/>
          <w:b w:val="false"/>
          <w:bCs w:val="false"/>
          <w:i w:val="false"/>
          <w:iCs w:val="false"/>
          <w:sz w:val="22"/>
          <w:szCs w:val="22"/>
        </w:rPr>
        <w:t xml:space="preserve">A.G.F. Limited seeks a USD 63,209,692 senior secured development facility to finance industrialization, scale-up, commissioning and commercialization of the planned ANINOVA INDUSTRIES platform.</w:t>
      </w:r>
    </w:p>
    <w:p>
      <w:pPr>
        <w:spacing w:after="160" w:line="300"/>
        <w:jc w:val="both"/>
      </w:pPr>
      <w:r>
        <w:rPr>
          <w:rFonts w:ascii="Calibri" w:cs="Calibri" w:eastAsia="Calibri" w:hAnsi="Calibri"/>
          <w:b w:val="false"/>
          <w:bCs w:val="false"/>
          <w:i w:val="false"/>
          <w:iCs w:val="false"/>
          <w:sz w:val="22"/>
          <w:szCs w:val="22"/>
        </w:rPr>
        <w:t xml:space="preserve">The credit proposition is supported by the secured ZDA Investment Licence, five-year Ministry of Finance investment incentives, operational pilot platform, secured agricultural land, developed product portfolio, CERIQA Laboratories, notarized off-take arrangements and defined implementation programme.</w:t>
      </w:r>
    </w:p>
    <w:p>
      <w:pPr>
        <w:spacing w:after="160" w:line="300"/>
        <w:jc w:val="both"/>
      </w:pPr>
      <w:r>
        <w:rPr>
          <w:rFonts w:ascii="Calibri" w:cs="Calibri" w:eastAsia="Calibri" w:hAnsi="Calibri"/>
          <w:b w:val="false"/>
          <w:bCs w:val="false"/>
          <w:i w:val="false"/>
          <w:iCs w:val="false"/>
          <w:sz w:val="22"/>
          <w:szCs w:val="22"/>
        </w:rPr>
        <w:t xml:space="preserve">The proposed financing structure comprises an SBLC mechanism through Absa Bank Zambia Plc, escrow, DSRA, milestone-based disbursement and independent verification.</w:t>
      </w:r>
    </w:p>
    <w:p>
      <w:pPr>
        <w:spacing w:after="160" w:line="300"/>
        <w:jc w:val="both"/>
      </w:pPr>
      <w:r>
        <w:rPr>
          <w:rFonts w:ascii="Calibri" w:cs="Calibri" w:eastAsia="Calibri" w:hAnsi="Calibri"/>
          <w:b w:val="false"/>
          <w:bCs w:val="false"/>
          <w:i w:val="false"/>
          <w:iCs w:val="false"/>
          <w:sz w:val="22"/>
          <w:szCs w:val="22"/>
        </w:rPr>
        <w:t xml:space="preserve">The investment thesis combines secured project foundations, pilot operations, controlled feedstock development, advanced technologies, scientific quality infrastructure, scalable manufacturing capacity, diversified routes to market and projected export-oriented cash generation.</w:t>
      </w:r>
    </w:p>
    <w:p>
      <w:pPr>
        <w:pStyle w:val="Heading1"/>
        <w:pBdr>
          <w:bottom w:val="single" w:color="1F3864" w:sz="6" w:space="4"/>
        </w:pBdr>
        <w:spacing w:after="180" w:before="360"/>
      </w:pPr>
      <w:r>
        <w:rPr>
          <w:rFonts w:ascii="Calibri" w:cs="Calibri" w:eastAsia="Calibri" w:hAnsi="Calibri"/>
          <w:b/>
          <w:bCs/>
          <w:color w:val="1F3864"/>
          <w:sz w:val="28"/>
          <w:szCs w:val="28"/>
        </w:rPr>
        <w:t xml:space="preserve">3.0 COMPANY PROFILE</w:t>
      </w:r>
    </w:p>
    <w:p>
      <w:pPr>
        <w:spacing w:after="160" w:line="300"/>
        <w:jc w:val="both"/>
      </w:pPr>
      <w:r>
        <w:rPr>
          <w:rFonts w:ascii="Calibri" w:cs="Calibri" w:eastAsia="Calibri" w:hAnsi="Calibri"/>
          <w:b w:val="false"/>
          <w:bCs w:val="false"/>
          <w:i w:val="false"/>
          <w:iCs w:val="false"/>
          <w:sz w:val="22"/>
          <w:szCs w:val="22"/>
        </w:rPr>
        <w:t xml:space="preserve">A.G.F. Limited is progressing from pilot food processing, product development and process validation toward planned industrial manufacturing and commercialization through ANINOVA INDUSTRIES.</w:t>
      </w:r>
    </w:p>
    <w:p>
      <w:pPr>
        <w:pStyle w:val="Heading2"/>
        <w:spacing w:after="140" w:before="260"/>
      </w:pPr>
      <w:r>
        <w:rPr>
          <w:rFonts w:ascii="Calibri" w:cs="Calibri" w:eastAsia="Calibri" w:hAnsi="Calibri"/>
          <w:b/>
          <w:bCs/>
          <w:color w:val="2E5395"/>
          <w:sz w:val="24"/>
          <w:szCs w:val="24"/>
        </w:rPr>
        <w:t xml:space="preserve">3.1 Secured Project Credentials</w:t>
      </w:r>
    </w:p>
    <w:p>
      <w:pPr>
        <w:spacing w:after="90"/>
      </w:pPr>
      <w:r>
        <w:rPr>
          <w:rFonts w:ascii="Calibri" w:cs="Calibri" w:eastAsia="Calibri" w:hAnsi="Calibri"/>
          <w:b/>
          <w:bCs/>
          <w:color w:val="1F3864"/>
          <w:sz w:val="22"/>
          <w:szCs w:val="22"/>
        </w:rPr>
        <w:t xml:space="preserve">Incorporation: </w:t>
      </w:r>
      <w:r>
        <w:rPr>
          <w:rFonts w:ascii="Calibri" w:cs="Calibri" w:eastAsia="Calibri" w:hAnsi="Calibri"/>
          <w:sz w:val="22"/>
          <w:szCs w:val="22"/>
        </w:rPr>
        <w:t xml:space="preserve">12 March 2025</w:t>
      </w:r>
    </w:p>
    <w:p>
      <w:pPr>
        <w:spacing w:after="90"/>
      </w:pPr>
      <w:r>
        <w:rPr>
          <w:rFonts w:ascii="Calibri" w:cs="Calibri" w:eastAsia="Calibri" w:hAnsi="Calibri"/>
          <w:b/>
          <w:bCs/>
          <w:color w:val="1F3864"/>
          <w:sz w:val="22"/>
          <w:szCs w:val="22"/>
        </w:rPr>
        <w:t xml:space="preserve">ZDA Investment Licence: </w:t>
      </w:r>
      <w:r>
        <w:rPr>
          <w:rFonts w:ascii="Calibri" w:cs="Calibri" w:eastAsia="Calibri" w:hAnsi="Calibri"/>
          <w:sz w:val="22"/>
          <w:szCs w:val="22"/>
        </w:rPr>
        <w:t xml:space="preserve">ZDA/59004/10/2025</w:t>
      </w:r>
    </w:p>
    <w:p>
      <w:pPr>
        <w:spacing w:after="90"/>
      </w:pPr>
      <w:r>
        <w:rPr>
          <w:rFonts w:ascii="Calibri" w:cs="Calibri" w:eastAsia="Calibri" w:hAnsi="Calibri"/>
          <w:b/>
          <w:bCs/>
          <w:color w:val="1F3864"/>
          <w:sz w:val="22"/>
          <w:szCs w:val="22"/>
        </w:rPr>
        <w:t xml:space="preserve">Five-Year Investment Incentives: </w:t>
      </w:r>
      <w:r>
        <w:rPr>
          <w:rFonts w:ascii="Calibri" w:cs="Calibri" w:eastAsia="Calibri" w:hAnsi="Calibri"/>
          <w:sz w:val="22"/>
          <w:szCs w:val="22"/>
        </w:rPr>
        <w:t xml:space="preserve">Ministry of Finance, Ref. No. ZDA/DG/DUTY, 22 January 2026</w:t>
      </w:r>
    </w:p>
    <w:p>
      <w:pPr>
        <w:spacing w:after="90"/>
      </w:pPr>
      <w:r>
        <w:rPr>
          <w:rFonts w:ascii="Calibri" w:cs="Calibri" w:eastAsia="Calibri" w:hAnsi="Calibri"/>
          <w:b/>
          <w:bCs/>
          <w:color w:val="1F3864"/>
          <w:sz w:val="22"/>
          <w:szCs w:val="22"/>
        </w:rPr>
        <w:t xml:space="preserve">TPIN: </w:t>
      </w:r>
      <w:r>
        <w:rPr>
          <w:rFonts w:ascii="Calibri" w:cs="Calibri" w:eastAsia="Calibri" w:hAnsi="Calibri"/>
          <w:sz w:val="22"/>
          <w:szCs w:val="22"/>
        </w:rPr>
        <w:t xml:space="preserve">2003675243</w:t>
      </w:r>
    </w:p>
    <w:p>
      <w:pPr>
        <w:spacing w:after="90"/>
      </w:pPr>
      <w:r>
        <w:rPr>
          <w:rFonts w:ascii="Calibri" w:cs="Calibri" w:eastAsia="Calibri" w:hAnsi="Calibri"/>
          <w:b/>
          <w:bCs/>
          <w:color w:val="1F3864"/>
          <w:sz w:val="22"/>
          <w:szCs w:val="22"/>
        </w:rPr>
        <w:t xml:space="preserve">Agricultural Land: </w:t>
      </w:r>
      <w:r>
        <w:rPr>
          <w:rFonts w:ascii="Calibri" w:cs="Calibri" w:eastAsia="Calibri" w:hAnsi="Calibri"/>
          <w:sz w:val="22"/>
          <w:szCs w:val="22"/>
        </w:rPr>
        <w:t xml:space="preserve">97 ha secured</w:t>
      </w:r>
    </w:p>
    <w:p>
      <w:pPr>
        <w:spacing w:after="90"/>
      </w:pPr>
      <w:r>
        <w:rPr>
          <w:rFonts w:ascii="Calibri" w:cs="Calibri" w:eastAsia="Calibri" w:hAnsi="Calibri"/>
          <w:b/>
          <w:bCs/>
          <w:color w:val="1F3864"/>
          <w:sz w:val="22"/>
          <w:szCs w:val="22"/>
        </w:rPr>
        <w:t xml:space="preserve">Pilot Platform: </w:t>
      </w:r>
      <w:r>
        <w:rPr>
          <w:rFonts w:ascii="Calibri" w:cs="Calibri" w:eastAsia="Calibri" w:hAnsi="Calibri"/>
          <w:sz w:val="22"/>
          <w:szCs w:val="22"/>
        </w:rPr>
        <w:t xml:space="preserve">AFOOPROC operational</w:t>
      </w:r>
    </w:p>
    <w:p>
      <w:pPr>
        <w:spacing w:after="90"/>
      </w:pPr>
      <w:r>
        <w:rPr>
          <w:rFonts w:ascii="Calibri" w:cs="Calibri" w:eastAsia="Calibri" w:hAnsi="Calibri"/>
          <w:b/>
          <w:bCs/>
          <w:color w:val="1F3864"/>
          <w:sz w:val="22"/>
          <w:szCs w:val="22"/>
        </w:rPr>
        <w:t xml:space="preserve">Scientific Platform: </w:t>
      </w:r>
      <w:r>
        <w:rPr>
          <w:rFonts w:ascii="Calibri" w:cs="Calibri" w:eastAsia="Calibri" w:hAnsi="Calibri"/>
          <w:sz w:val="22"/>
          <w:szCs w:val="22"/>
        </w:rPr>
        <w:t xml:space="preserve">CERIQA Laboratories</w:t>
      </w:r>
    </w:p>
    <w:p>
      <w:pPr>
        <w:spacing w:after="90"/>
      </w:pPr>
      <w:r>
        <w:rPr>
          <w:rFonts w:ascii="Calibri" w:cs="Calibri" w:eastAsia="Calibri" w:hAnsi="Calibri"/>
          <w:b/>
          <w:bCs/>
          <w:color w:val="1F3864"/>
          <w:sz w:val="22"/>
          <w:szCs w:val="22"/>
        </w:rPr>
        <w:t xml:space="preserve">Financing Mechanism: </w:t>
      </w:r>
      <w:r>
        <w:rPr>
          <w:rFonts w:ascii="Calibri" w:cs="Calibri" w:eastAsia="Calibri" w:hAnsi="Calibri"/>
          <w:sz w:val="22"/>
          <w:szCs w:val="22"/>
        </w:rPr>
        <w:t xml:space="preserve">SBLC in readiness through Absa Bank Zambia Plc</w:t>
      </w:r>
    </w:p>
    <w:p>
      <w:pPr>
        <w:spacing w:after="160" w:line="300"/>
        <w:jc w:val="both"/>
      </w:pPr>
      <w:r>
        <w:rPr>
          <w:rFonts w:ascii="Calibri" w:cs="Calibri" w:eastAsia="Calibri" w:hAnsi="Calibri"/>
          <w:b w:val="false"/>
          <w:bCs w:val="false"/>
          <w:i w:val="false"/>
          <w:iCs w:val="false"/>
          <w:sz w:val="22"/>
          <w:szCs w:val="22"/>
        </w:rPr>
        <w:t xml:space="preserve">These establish the Company's corporate, investment, pilot-operation and project-development foundation, not historical industrial manufacturing revenue.</w:t>
      </w:r>
    </w:p>
    <w:p>
      <w:pPr>
        <w:pStyle w:val="Heading1"/>
        <w:pBdr>
          <w:bottom w:val="single" w:color="1F3864" w:sz="6" w:space="4"/>
        </w:pBdr>
        <w:spacing w:after="180" w:before="360"/>
      </w:pPr>
      <w:r>
        <w:rPr>
          <w:rFonts w:ascii="Calibri" w:cs="Calibri" w:eastAsia="Calibri" w:hAnsi="Calibri"/>
          <w:b/>
          <w:bCs/>
          <w:color w:val="1F3864"/>
          <w:sz w:val="28"/>
          <w:szCs w:val="28"/>
        </w:rPr>
        <w:t xml:space="preserve">4.0 BACKGROUND &amp; STRATEGIC RATIONALE</w:t>
      </w:r>
    </w:p>
    <w:p>
      <w:pPr>
        <w:spacing w:after="160" w:line="300"/>
        <w:jc w:val="both"/>
      </w:pPr>
      <w:r>
        <w:rPr>
          <w:rFonts w:ascii="Calibri" w:cs="Calibri" w:eastAsia="Calibri" w:hAnsi="Calibri"/>
          <w:b w:val="false"/>
          <w:bCs w:val="false"/>
          <w:i w:val="false"/>
          <w:iCs w:val="false"/>
          <w:sz w:val="22"/>
          <w:szCs w:val="22"/>
        </w:rPr>
        <w:t xml:space="preserve">Zambia offers agricultural resources, freshwater, strategic regional positioning and access to SADC, COMESA and AfCFTA markets. A.G.F. seeks to convert these advantages into higher-value production through controlled agriculture, advanced processing, scientific quality systems and export-oriented manufacturing.</w:t>
      </w:r>
    </w:p>
    <w:p>
      <w:pPr>
        <w:spacing w:after="160" w:line="300"/>
        <w:jc w:val="both"/>
      </w:pPr>
      <w:r>
        <w:rPr>
          <w:rFonts w:ascii="Calibri" w:cs="Calibri" w:eastAsia="Calibri" w:hAnsi="Calibri"/>
          <w:b w:val="false"/>
          <w:bCs w:val="false"/>
          <w:i w:val="false"/>
          <w:iCs w:val="false"/>
          <w:sz w:val="22"/>
          <w:szCs w:val="22"/>
        </w:rPr>
        <w:t xml:space="preserve">The Project is structured to increase local value addition, support import substitution, generate foreign-exchange earnings, create employment and establish long-term agricultural, industrial and technological capacity.</w:t>
      </w:r>
    </w:p>
    <w:p>
      <w:pPr>
        <w:pStyle w:val="Heading1"/>
        <w:pBdr>
          <w:bottom w:val="single" w:color="1F3864" w:sz="6" w:space="4"/>
        </w:pBdr>
        <w:spacing w:after="180" w:before="360"/>
      </w:pPr>
      <w:r>
        <w:rPr>
          <w:rFonts w:ascii="Calibri" w:cs="Calibri" w:eastAsia="Calibri" w:hAnsi="Calibri"/>
          <w:b/>
          <w:bCs/>
          <w:color w:val="1F3864"/>
          <w:sz w:val="28"/>
          <w:szCs w:val="28"/>
        </w:rPr>
        <w:t xml:space="preserve">5.0 STRATEGIC INVESTMENT RATIONALE</w:t>
      </w:r>
    </w:p>
    <w:p>
      <w:pPr>
        <w:spacing w:after="160" w:line="300"/>
        <w:jc w:val="both"/>
      </w:pPr>
      <w:r>
        <w:rPr>
          <w:rFonts w:ascii="Calibri" w:cs="Calibri" w:eastAsia="Calibri" w:hAnsi="Calibri"/>
          <w:b w:val="false"/>
          <w:bCs w:val="false"/>
          <w:i w:val="false"/>
          <w:iCs w:val="false"/>
          <w:sz w:val="22"/>
          <w:szCs w:val="22"/>
        </w:rPr>
        <w:t xml:space="preserve">Global Opportunity: Growing demand for value-added foods, natural bioactives, nutraceuticals and biological agricultural inputs.</w:t>
      </w:r>
    </w:p>
    <w:p>
      <w:pPr>
        <w:spacing w:after="160" w:line="300"/>
        <w:jc w:val="both"/>
      </w:pPr>
      <w:r>
        <w:rPr>
          <w:rFonts w:ascii="Calibri" w:cs="Calibri" w:eastAsia="Calibri" w:hAnsi="Calibri"/>
          <w:b w:val="false"/>
          <w:bCs w:val="false"/>
          <w:i w:val="false"/>
          <w:iCs w:val="false"/>
          <w:sz w:val="22"/>
          <w:szCs w:val="22"/>
        </w:rPr>
        <w:t xml:space="preserve">African Opportunity: Expanding demand driven by population growth, urbanization, industrialization and regional integration.</w:t>
      </w:r>
    </w:p>
    <w:p>
      <w:pPr>
        <w:spacing w:after="160" w:line="300"/>
        <w:jc w:val="both"/>
      </w:pPr>
      <w:r>
        <w:rPr>
          <w:rFonts w:ascii="Calibri" w:cs="Calibri" w:eastAsia="Calibri" w:hAnsi="Calibri"/>
          <w:b w:val="false"/>
          <w:bCs w:val="false"/>
          <w:i w:val="false"/>
          <w:iCs w:val="false"/>
          <w:sz w:val="22"/>
          <w:szCs w:val="22"/>
        </w:rPr>
        <w:t xml:space="preserve">Zambia Advantages: Agricultural resources, freshwater, strategic location and regional market access.</w:t>
      </w:r>
    </w:p>
    <w:p>
      <w:pPr>
        <w:spacing w:after="160" w:line="300"/>
        <w:jc w:val="both"/>
      </w:pPr>
      <w:r>
        <w:rPr>
          <w:rFonts w:ascii="Calibri" w:cs="Calibri" w:eastAsia="Calibri" w:hAnsi="Calibri"/>
          <w:b w:val="false"/>
          <w:bCs w:val="false"/>
          <w:i w:val="false"/>
          <w:iCs w:val="false"/>
          <w:sz w:val="22"/>
          <w:szCs w:val="22"/>
        </w:rPr>
        <w:t xml:space="preserve">Project Fundamentals: Pilot foundation, secured feedstock base, advanced processing technologies, scientific infrastructure, planned GMP manufacturing, diversified products, notarized off-takes and multiple market channels.</w:t>
      </w:r>
    </w:p>
    <w:p>
      <w:r>
        <w:br w:type="page"/>
      </w:r>
    </w:p>
    <w:p>
      <w:pPr>
        <w:pStyle w:val="Heading1"/>
        <w:pBdr>
          <w:bottom w:val="single" w:color="1F3864" w:sz="6" w:space="4"/>
        </w:pBdr>
        <w:spacing w:after="180" w:before="360"/>
      </w:pPr>
      <w:r>
        <w:rPr>
          <w:rFonts w:ascii="Calibri" w:cs="Calibri" w:eastAsia="Calibri" w:hAnsi="Calibri"/>
          <w:b/>
          <w:bCs/>
          <w:color w:val="1F3864"/>
          <w:sz w:val="28"/>
          <w:szCs w:val="28"/>
        </w:rPr>
        <w:t xml:space="preserve">6.0 STRATEGIC 10-YEAR OBJECTIVES (2026–2035)</w:t>
      </w:r>
    </w:p>
    <w:p>
      <w:pPr>
        <w:pStyle w:val="ListParagraph"/>
        <w:numPr>
          <w:ilvl w:val="0"/>
          <w:numId w:val="2"/>
        </w:numPr>
        <w:spacing w:after="100"/>
      </w:pPr>
      <w:r>
        <w:rPr>
          <w:rFonts w:ascii="Calibri" w:cs="Calibri" w:eastAsia="Calibri" w:hAnsi="Calibri"/>
          <w:sz w:val="22"/>
          <w:szCs w:val="22"/>
        </w:rPr>
        <w:t xml:space="preserve">USD 196.9 million cumulative net profit</w:t>
      </w:r>
    </w:p>
    <w:p>
      <w:pPr>
        <w:pStyle w:val="ListParagraph"/>
        <w:numPr>
          <w:ilvl w:val="0"/>
          <w:numId w:val="2"/>
        </w:numPr>
        <w:spacing w:after="100"/>
      </w:pPr>
      <w:r>
        <w:rPr>
          <w:rFonts w:ascii="Calibri" w:cs="Calibri" w:eastAsia="Calibri" w:hAnsi="Calibri"/>
          <w:sz w:val="22"/>
          <w:szCs w:val="22"/>
        </w:rPr>
        <w:t xml:space="preserve">USD 100 million+ annual export earnings</w:t>
      </w:r>
    </w:p>
    <w:p>
      <w:pPr>
        <w:pStyle w:val="ListParagraph"/>
        <w:numPr>
          <w:ilvl w:val="0"/>
          <w:numId w:val="2"/>
        </w:numPr>
        <w:spacing w:after="100"/>
      </w:pPr>
      <w:r>
        <w:rPr>
          <w:rFonts w:ascii="Calibri" w:cs="Calibri" w:eastAsia="Calibri" w:hAnsi="Calibri"/>
          <w:sz w:val="22"/>
          <w:szCs w:val="22"/>
        </w:rPr>
        <w:t xml:space="preserve">50,000+ employment opportunities</w:t>
      </w:r>
    </w:p>
    <w:p>
      <w:pPr>
        <w:pStyle w:val="ListParagraph"/>
        <w:numPr>
          <w:ilvl w:val="0"/>
          <w:numId w:val="2"/>
        </w:numPr>
        <w:spacing w:after="100"/>
      </w:pPr>
      <w:r>
        <w:rPr>
          <w:rFonts w:ascii="Calibri" w:cs="Calibri" w:eastAsia="Calibri" w:hAnsi="Calibri"/>
          <w:sz w:val="22"/>
          <w:szCs w:val="22"/>
        </w:rPr>
        <w:t xml:space="preserve">5,000+ contracted farmers</w:t>
      </w:r>
    </w:p>
    <w:p>
      <w:pPr>
        <w:pStyle w:val="ListParagraph"/>
        <w:numPr>
          <w:ilvl w:val="0"/>
          <w:numId w:val="2"/>
        </w:numPr>
        <w:spacing w:after="100"/>
      </w:pPr>
      <w:r>
        <w:rPr>
          <w:rFonts w:ascii="Calibri" w:cs="Calibri" w:eastAsia="Calibri" w:hAnsi="Calibri"/>
          <w:sz w:val="22"/>
          <w:szCs w:val="22"/>
        </w:rPr>
        <w:t xml:space="preserve">Scalable industrial, agricultural, technological and export capacity</w:t>
      </w:r>
    </w:p>
    <w:p>
      <w:pPr>
        <w:spacing w:after="160" w:line="300"/>
        <w:jc w:val="both"/>
      </w:pPr>
      <w:r>
        <w:rPr>
          <w:rFonts w:ascii="Calibri" w:cs="Calibri" w:eastAsia="Calibri" w:hAnsi="Calibri"/>
          <w:b w:val="false"/>
          <w:bCs w:val="false"/>
          <w:i w:val="false"/>
          <w:iCs w:val="false"/>
          <w:sz w:val="22"/>
          <w:szCs w:val="22"/>
        </w:rPr>
        <w:t xml:space="preserve">These are project objectives and financial-model projections, not historical performance or current sales.</w:t>
      </w:r>
    </w:p>
    <w:p>
      <w:pPr>
        <w:pStyle w:val="Heading1"/>
        <w:pBdr>
          <w:bottom w:val="single" w:color="1F3864" w:sz="6" w:space="4"/>
        </w:pBdr>
        <w:spacing w:after="180" w:before="360"/>
      </w:pPr>
      <w:r>
        <w:rPr>
          <w:rFonts w:ascii="Calibri" w:cs="Calibri" w:eastAsia="Calibri" w:hAnsi="Calibri"/>
          <w:b/>
          <w:bCs/>
          <w:color w:val="1F3864"/>
          <w:sz w:val="28"/>
          <w:szCs w:val="28"/>
        </w:rPr>
        <w:t xml:space="preserve">7.0 PROJECT INVESTMENT REQUIREMENT &amp; USE OF FUNDS</w:t>
      </w:r>
    </w:p>
    <w:p>
      <w:pPr>
        <w:spacing w:after="160" w:line="300"/>
        <w:jc w:val="both"/>
      </w:pPr>
      <w:r>
        <w:rPr>
          <w:rFonts w:ascii="Calibri" w:cs="Calibri" w:eastAsia="Calibri" w:hAnsi="Calibri"/>
          <w:b w:val="false"/>
          <w:bCs w:val="false"/>
          <w:i w:val="false"/>
          <w:iCs w:val="false"/>
          <w:sz w:val="22"/>
          <w:szCs w:val="22"/>
        </w:rPr>
        <w:t xml:space="preserve">The requested USD 63,209,692 will finance industrial infrastructure, processing systems, GMP/ISO-controlled environments, laboratories, agriculture, livestock and bioresources, utilities, digital systems, regulatory compliance, commissioning and initial working capital.</w:t>
      </w:r>
    </w:p>
    <w:p>
      <w:pPr>
        <w:spacing w:after="160" w:line="300"/>
        <w:jc w:val="both"/>
      </w:pPr>
      <w:r>
        <w:rPr>
          <w:rFonts w:ascii="Calibri" w:cs="Calibri" w:eastAsia="Calibri" w:hAnsi="Calibri"/>
          <w:b w:val="false"/>
          <w:bCs w:val="false"/>
          <w:i w:val="false"/>
          <w:iCs w:val="false"/>
          <w:sz w:val="22"/>
          <w:szCs w:val="22"/>
        </w:rPr>
        <w:t xml:space="preserve">Capital deployment is directed toward productive assets, industrial capacity, completion of the integrated production chain and commercial launch.</w:t>
      </w:r>
    </w:p>
    <w:p>
      <w:pPr>
        <w:pStyle w:val="Heading2"/>
        <w:spacing w:after="140" w:before="260"/>
      </w:pPr>
      <w:r>
        <w:rPr>
          <w:rFonts w:ascii="Calibri" w:cs="Calibri" w:eastAsia="Calibri" w:hAnsi="Calibri"/>
          <w:b/>
          <w:bCs/>
          <w:color w:val="2E5395"/>
          <w:sz w:val="24"/>
          <w:szCs w:val="24"/>
        </w:rPr>
        <w:t xml:space="preserve">7.1 Allocation Of Funds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500"/>
      </w:tblGrid>
      <w:tr>
        <w:trPr>
          <w:tblHeader/>
        </w:trPr>
        <w:tc>
          <w:tcPr>
            <w:tcW w:type="dxa" w:w="5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Category</w:t>
            </w:r>
          </w:p>
        </w:tc>
        <w:tc>
          <w:tcPr>
            <w:tcW w:type="dxa" w:w="2200"/>
            <w:shd w:fill="1F3864" w:val="clear"/>
            <w:tcMar>
              <w:top w:type="dxa" w:w="80"/>
              <w:left w:type="dxa" w:w="100"/>
              <w:bottom w:type="dxa" w:w="80"/>
              <w:right w:type="dxa" w:w="100"/>
            </w:tcMar>
            <w:vAlign w:val="center"/>
          </w:tcPr>
          <w:p>
            <w:pPr>
              <w:jc w:val="right"/>
            </w:pPr>
            <w:r>
              <w:rPr>
                <w:rFonts w:ascii="Calibri" w:cs="Calibri" w:eastAsia="Calibri" w:hAnsi="Calibri"/>
                <w:b/>
                <w:bCs/>
                <w:color w:val="FFFFFF"/>
                <w:sz w:val="20"/>
                <w:szCs w:val="20"/>
              </w:rPr>
              <w:t xml:space="preserve">Amount (USD)</w:t>
            </w:r>
          </w:p>
        </w:tc>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t>
            </w:r>
          </w:p>
        </w:tc>
      </w:tr>
      <w:tr>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Engineering, Procurement &amp; Construction (EPC)</w:t>
            </w:r>
          </w:p>
        </w:tc>
        <w:tc>
          <w:tcPr>
            <w:tcW w:type="dxa" w:w="2200"/>
            <w:shd w:fill="FFFFFF"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1,377,745</w:t>
            </w:r>
          </w:p>
        </w:tc>
        <w:tc>
          <w:tcPr>
            <w:tcW w:type="dxa" w:w="1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18%*</w:t>
            </w:r>
          </w:p>
        </w:tc>
      </w:tr>
      <w:tr>
        <w:tc>
          <w:tcPr>
            <w:tcW w:type="dxa" w:w="56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Industrial Manufacturing Infrastructure</w:t>
            </w:r>
          </w:p>
        </w:tc>
        <w:tc>
          <w:tcPr>
            <w:tcW w:type="dxa" w:w="2200"/>
            <w:shd w:fill="DDEBF7"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15,170,326</w:t>
            </w:r>
          </w:p>
        </w:tc>
        <w:tc>
          <w:tcPr>
            <w:tcW w:type="dxa" w:w="1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24%</w:t>
            </w:r>
          </w:p>
        </w:tc>
      </w:tr>
      <w:tr>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Industrial Processing Line Systems</w:t>
            </w:r>
          </w:p>
        </w:tc>
        <w:tc>
          <w:tcPr>
            <w:tcW w:type="dxa" w:w="2200"/>
            <w:shd w:fill="FFFFFF"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13,274,035</w:t>
            </w:r>
          </w:p>
        </w:tc>
        <w:tc>
          <w:tcPr>
            <w:tcW w:type="dxa" w:w="1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21%</w:t>
            </w:r>
          </w:p>
        </w:tc>
      </w:tr>
      <w:tr>
        <w:tc>
          <w:tcPr>
            <w:tcW w:type="dxa" w:w="56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Research, Quality Assurance &amp; Innovation Laboratories</w:t>
            </w:r>
          </w:p>
        </w:tc>
        <w:tc>
          <w:tcPr>
            <w:tcW w:type="dxa" w:w="2200"/>
            <w:shd w:fill="DDEBF7"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3,792,581</w:t>
            </w:r>
          </w:p>
        </w:tc>
        <w:tc>
          <w:tcPr>
            <w:tcW w:type="dxa" w:w="1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w:t>
            </w:r>
          </w:p>
        </w:tc>
      </w:tr>
      <w:tr>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Agricultural Production Infrastructure</w:t>
            </w:r>
          </w:p>
        </w:tc>
        <w:tc>
          <w:tcPr>
            <w:tcW w:type="dxa" w:w="2200"/>
            <w:shd w:fill="FFFFFF"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5,056,775</w:t>
            </w:r>
          </w:p>
        </w:tc>
        <w:tc>
          <w:tcPr>
            <w:tcW w:type="dxa" w:w="1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w:t>
            </w:r>
          </w:p>
        </w:tc>
      </w:tr>
      <w:tr>
        <w:tc>
          <w:tcPr>
            <w:tcW w:type="dxa" w:w="56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Livestock &amp; Bioresource Infrastructure</w:t>
            </w:r>
          </w:p>
        </w:tc>
        <w:tc>
          <w:tcPr>
            <w:tcW w:type="dxa" w:w="2200"/>
            <w:shd w:fill="DDEBF7"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2,528,388</w:t>
            </w:r>
          </w:p>
        </w:tc>
        <w:tc>
          <w:tcPr>
            <w:tcW w:type="dxa" w:w="1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w:t>
            </w:r>
          </w:p>
        </w:tc>
      </w:tr>
      <w:tr>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Utilities, Energy &amp; Water Systems</w:t>
            </w:r>
          </w:p>
        </w:tc>
        <w:tc>
          <w:tcPr>
            <w:tcW w:type="dxa" w:w="2200"/>
            <w:shd w:fill="FFFFFF"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3,160,485</w:t>
            </w:r>
          </w:p>
        </w:tc>
        <w:tc>
          <w:tcPr>
            <w:tcW w:type="dxa" w:w="1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w:t>
            </w:r>
          </w:p>
        </w:tc>
      </w:tr>
      <w:tr>
        <w:tc>
          <w:tcPr>
            <w:tcW w:type="dxa" w:w="56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Digital Traceability, Automation &amp; ACIDS Systems</w:t>
            </w:r>
          </w:p>
        </w:tc>
        <w:tc>
          <w:tcPr>
            <w:tcW w:type="dxa" w:w="2200"/>
            <w:shd w:fill="DDEBF7"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1,264,194</w:t>
            </w:r>
          </w:p>
        </w:tc>
        <w:tc>
          <w:tcPr>
            <w:tcW w:type="dxa" w:w="1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w:t>
            </w:r>
          </w:p>
        </w:tc>
      </w:tr>
      <w:tr>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Project Management, Regulatory Compliance &amp; Certification</w:t>
            </w:r>
          </w:p>
        </w:tc>
        <w:tc>
          <w:tcPr>
            <w:tcW w:type="dxa" w:w="2200"/>
            <w:shd w:fill="FFFFFF"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1,264,194</w:t>
            </w:r>
          </w:p>
        </w:tc>
        <w:tc>
          <w:tcPr>
            <w:tcW w:type="dxa" w:w="1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w:t>
            </w:r>
          </w:p>
        </w:tc>
      </w:tr>
      <w:tr>
        <w:tc>
          <w:tcPr>
            <w:tcW w:type="dxa" w:w="56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Initial Working Capital &amp; Commercial Launch</w:t>
            </w:r>
          </w:p>
        </w:tc>
        <w:tc>
          <w:tcPr>
            <w:tcW w:type="dxa" w:w="2200"/>
            <w:shd w:fill="DDEBF7" w:val="clear"/>
            <w:tcMar>
              <w:top w:type="dxa" w:w="80"/>
              <w:left w:type="dxa" w:w="100"/>
              <w:bottom w:type="dxa" w:w="80"/>
              <w:right w:type="dxa" w:w="100"/>
            </w:tcMar>
            <w:vAlign w:val="center"/>
          </w:tcPr>
          <w:p>
            <w:pPr>
              <w:jc w:val="right"/>
            </w:pPr>
            <w:r>
              <w:rPr>
                <w:rFonts w:ascii="Calibri" w:cs="Calibri" w:eastAsia="Calibri" w:hAnsi="Calibri"/>
                <w:b w:val="false"/>
                <w:bCs w:val="false"/>
                <w:color w:val="000000"/>
                <w:sz w:val="20"/>
                <w:szCs w:val="20"/>
              </w:rPr>
              <w:t xml:space="preserve">4,424,678</w:t>
            </w:r>
          </w:p>
        </w:tc>
        <w:tc>
          <w:tcPr>
            <w:tcW w:type="dxa" w:w="1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w:t>
            </w:r>
          </w:p>
        </w:tc>
      </w:tr>
      <w:tr>
        <w:tc>
          <w:tcPr>
            <w:tcW w:type="dxa" w:w="5600"/>
            <w:shd w:fill="C9DAF8"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TOTAL PROJECT INVESTMENT COST (TPIC)</w:t>
            </w:r>
          </w:p>
        </w:tc>
        <w:tc>
          <w:tcPr>
            <w:tcW w:type="dxa" w:w="2200"/>
            <w:shd w:fill="C9DAF8" w:val="clear"/>
            <w:tcMar>
              <w:top w:type="dxa" w:w="80"/>
              <w:left w:type="dxa" w:w="100"/>
              <w:bottom w:type="dxa" w:w="80"/>
              <w:right w:type="dxa" w:w="100"/>
            </w:tcMar>
            <w:vAlign w:val="center"/>
          </w:tcPr>
          <w:p>
            <w:pPr>
              <w:jc w:val="right"/>
            </w:pPr>
            <w:r>
              <w:rPr>
                <w:rFonts w:ascii="Calibri" w:cs="Calibri" w:eastAsia="Calibri" w:hAnsi="Calibri"/>
                <w:b/>
                <w:bCs/>
                <w:color w:val="000000"/>
                <w:sz w:val="20"/>
                <w:szCs w:val="20"/>
              </w:rPr>
              <w:t xml:space="preserve">63,209,692</w:t>
            </w:r>
          </w:p>
        </w:tc>
        <w:tc>
          <w:tcPr>
            <w:tcW w:type="dxa" w:w="1500"/>
            <w:shd w:fill="C9DAF8"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100%</w:t>
            </w:r>
          </w:p>
        </w:tc>
      </w:tr>
    </w:tbl>
    <w:p>
      <w:pPr>
        <w:pBdr>
          <w:top w:val="single" w:color="BFBFBF" w:sz="4" w:space="6"/>
          <w:bottom w:val="single" w:color="BFBFBF" w:sz="4" w:space="6"/>
          <w:left w:val="single" w:color="BFBFBF" w:sz="4" w:space="6"/>
          <w:right w:val="single" w:color="BFBFBF" w:sz="4" w:space="6"/>
        </w:pBdr>
        <w:shd w:fill="F2F2F2" w:val="clear"/>
        <w:spacing w:after="200" w:before="120"/>
      </w:pPr>
      <w:r>
        <w:rPr>
          <w:rFonts w:ascii="Calibri" w:cs="Calibri" w:eastAsia="Calibri" w:hAnsi="Calibri"/>
          <w:i/>
          <w:iCs/>
          <w:color w:val="444444"/>
          <w:sz w:val="20"/>
          <w:szCs w:val="20"/>
        </w:rPr>
        <w:t xml:space="preserve">Financial reconciliation required: The listed category amounts currently total USD 51,313,401, leaving USD 11,896,291 unreconciled. The EPC amount also does not correspond to 18% of the stated TPIC. Final Sources &amp; Uses must reconcile exactly to USD 63,209,692 / 100.00% before lender or investor submission.</w:t>
      </w:r>
    </w:p>
    <w:p>
      <w:r>
        <w:br w:type="page"/>
      </w:r>
    </w:p>
    <w:p>
      <w:pPr>
        <w:pStyle w:val="Heading1"/>
        <w:pBdr>
          <w:bottom w:val="single" w:color="1F3864" w:sz="6" w:space="4"/>
        </w:pBdr>
        <w:spacing w:after="180" w:before="360"/>
      </w:pPr>
      <w:r>
        <w:rPr>
          <w:rFonts w:ascii="Calibri" w:cs="Calibri" w:eastAsia="Calibri" w:hAnsi="Calibri"/>
          <w:b/>
          <w:bCs/>
          <w:color w:val="1F3864"/>
          <w:sz w:val="28"/>
          <w:szCs w:val="28"/>
        </w:rPr>
        <w:t xml:space="preserve">8.0 STRATEGIC INNOVATION PIPELINE</w:t>
      </w:r>
    </w:p>
    <w:p>
      <w:pPr>
        <w:spacing w:after="160" w:line="300"/>
        <w:jc w:val="both"/>
      </w:pPr>
      <w:r>
        <w:rPr>
          <w:rFonts w:ascii="Calibri" w:cs="Calibri" w:eastAsia="Calibri" w:hAnsi="Calibri"/>
          <w:b w:val="false"/>
          <w:bCs w:val="false"/>
          <w:i w:val="false"/>
          <w:iCs w:val="false"/>
          <w:sz w:val="22"/>
          <w:szCs w:val="22"/>
        </w:rPr>
        <w:t xml:space="preserve">CERIQA Laboratories serves as the scientific, analytical and innovation backbone for raw-material and finished-product characterization, standardization, formulation development, analytical validation, stability, safety assessment, technology transfer and scale-up.</w:t>
      </w:r>
    </w:p>
    <w:p>
      <w:pPr>
        <w:spacing w:after="160" w:line="300"/>
        <w:jc w:val="both"/>
      </w:pPr>
      <w:r>
        <w:rPr>
          <w:rFonts w:ascii="Calibri" w:cs="Calibri" w:eastAsia="Calibri" w:hAnsi="Calibri"/>
          <w:b w:val="false"/>
          <w:bCs w:val="false"/>
          <w:i w:val="false"/>
          <w:iCs w:val="false"/>
          <w:sz w:val="22"/>
          <w:szCs w:val="22"/>
        </w:rPr>
        <w:t xml:space="preserve">The technology platform is designed to convert agricultural and biological resources into standardized, traceable and commercially scalable products supported by defined specifications, validated processes and controlled quality systems.</w:t>
      </w:r>
    </w:p>
    <w:p>
      <w:pPr>
        <w:pStyle w:val="Heading1"/>
        <w:pBdr>
          <w:bottom w:val="single" w:color="1F3864" w:sz="6" w:space="4"/>
        </w:pBdr>
        <w:spacing w:after="180" w:before="360"/>
      </w:pPr>
      <w:r>
        <w:rPr>
          <w:rFonts w:ascii="Calibri" w:cs="Calibri" w:eastAsia="Calibri" w:hAnsi="Calibri"/>
          <w:b/>
          <w:bCs/>
          <w:color w:val="1F3864"/>
          <w:sz w:val="28"/>
          <w:szCs w:val="28"/>
        </w:rPr>
        <w:t xml:space="preserve">9.0 PROJECT READINESS, EXECUTION STATUS &amp; BANKABILITY</w:t>
      </w:r>
    </w:p>
    <w:p>
      <w:pPr>
        <w:spacing w:after="160" w:line="300"/>
        <w:jc w:val="both"/>
      </w:pPr>
      <w:r>
        <w:rPr>
          <w:rFonts w:ascii="Calibri" w:cs="Calibri" w:eastAsia="Calibri" w:hAnsi="Calibri"/>
          <w:b w:val="false"/>
          <w:bCs w:val="false"/>
          <w:i w:val="false"/>
          <w:iCs w:val="false"/>
          <w:sz w:val="22"/>
          <w:szCs w:val="22"/>
        </w:rPr>
        <w:t xml:space="preserve">The Project has progressed beyond conceptual development into structured implementation preparation, with corporate establishment, secured investment authorisations and incentives, operational pilot processing, product development, secured agricultural assets, regulatory pathways, technology specifications, financing architecture, off-take arrangements and industrial procurement preparation substantially defined.</w:t>
      </w:r>
    </w:p>
    <w:p>
      <w:pPr>
        <w:pStyle w:val="ListParagraph"/>
        <w:numPr>
          <w:ilvl w:val="0"/>
          <w:numId w:val="2"/>
        </w:numPr>
        <w:spacing w:after="100"/>
      </w:pPr>
      <w:r>
        <w:rPr>
          <w:rFonts w:ascii="Calibri" w:cs="Calibri" w:eastAsia="Calibri" w:hAnsi="Calibri"/>
          <w:sz w:val="22"/>
          <w:szCs w:val="22"/>
        </w:rPr>
        <w:t xml:space="preserve">ZDA Investment Licence secured: ZDA/59004/10/2025.</w:t>
      </w:r>
    </w:p>
    <w:p>
      <w:pPr>
        <w:pStyle w:val="ListParagraph"/>
        <w:numPr>
          <w:ilvl w:val="0"/>
          <w:numId w:val="2"/>
        </w:numPr>
        <w:spacing w:after="100"/>
      </w:pPr>
      <w:r>
        <w:rPr>
          <w:rFonts w:ascii="Calibri" w:cs="Calibri" w:eastAsia="Calibri" w:hAnsi="Calibri"/>
          <w:sz w:val="22"/>
          <w:szCs w:val="22"/>
        </w:rPr>
        <w:t xml:space="preserve">Five-year Ministry of Finance investment incentives secured: Ref. No. ZDA/DG/DUTY, 22 January 2026.</w:t>
      </w:r>
    </w:p>
    <w:p>
      <w:pPr>
        <w:pStyle w:val="ListParagraph"/>
        <w:numPr>
          <w:ilvl w:val="0"/>
          <w:numId w:val="2"/>
        </w:numPr>
        <w:spacing w:after="100"/>
      </w:pPr>
      <w:r>
        <w:rPr>
          <w:rFonts w:ascii="Calibri" w:cs="Calibri" w:eastAsia="Calibri" w:hAnsi="Calibri"/>
          <w:sz w:val="22"/>
          <w:szCs w:val="22"/>
        </w:rPr>
        <w:t xml:space="preserve">AFOOPROC pilot food-processing and validation platform operational.</w:t>
      </w:r>
    </w:p>
    <w:p>
      <w:pPr>
        <w:pStyle w:val="ListParagraph"/>
        <w:numPr>
          <w:ilvl w:val="0"/>
          <w:numId w:val="2"/>
        </w:numPr>
        <w:spacing w:after="100"/>
      </w:pPr>
      <w:r>
        <w:rPr>
          <w:rFonts w:ascii="Calibri" w:cs="Calibri" w:eastAsia="Calibri" w:hAnsi="Calibri"/>
          <w:sz w:val="22"/>
          <w:szCs w:val="22"/>
        </w:rPr>
        <w:t xml:space="preserve">Initial 11-product portfolio developed; five products ZBS-certified.</w:t>
      </w:r>
    </w:p>
    <w:p>
      <w:pPr>
        <w:pStyle w:val="ListParagraph"/>
        <w:numPr>
          <w:ilvl w:val="0"/>
          <w:numId w:val="2"/>
        </w:numPr>
        <w:spacing w:after="100"/>
      </w:pPr>
      <w:r>
        <w:rPr>
          <w:rFonts w:ascii="Calibri" w:cs="Calibri" w:eastAsia="Calibri" w:hAnsi="Calibri"/>
          <w:sz w:val="22"/>
          <w:szCs w:val="22"/>
        </w:rPr>
        <w:t xml:space="preserve">97 ha agricultural land secured; expansion toward 2,000+ ha planned.</w:t>
      </w:r>
    </w:p>
    <w:p>
      <w:pPr>
        <w:pStyle w:val="ListParagraph"/>
        <w:numPr>
          <w:ilvl w:val="0"/>
          <w:numId w:val="2"/>
        </w:numPr>
        <w:spacing w:after="100"/>
      </w:pPr>
      <w:r>
        <w:rPr>
          <w:rFonts w:ascii="Calibri" w:cs="Calibri" w:eastAsia="Calibri" w:hAnsi="Calibri"/>
          <w:sz w:val="22"/>
          <w:szCs w:val="22"/>
        </w:rPr>
        <w:t xml:space="preserve">Industrial development planned under the proposed financing.</w:t>
      </w:r>
    </w:p>
    <w:p>
      <w:pPr>
        <w:pStyle w:val="ListParagraph"/>
        <w:numPr>
          <w:ilvl w:val="0"/>
          <w:numId w:val="2"/>
        </w:numPr>
        <w:spacing w:after="100"/>
      </w:pPr>
      <w:r>
        <w:rPr>
          <w:rFonts w:ascii="Calibri" w:cs="Calibri" w:eastAsia="Calibri" w:hAnsi="Calibri"/>
          <w:sz w:val="22"/>
          <w:szCs w:val="22"/>
        </w:rPr>
        <w:t xml:space="preserve">CERIQA scientific and quality platform established.</w:t>
      </w:r>
    </w:p>
    <w:p>
      <w:pPr>
        <w:pStyle w:val="ListParagraph"/>
        <w:numPr>
          <w:ilvl w:val="0"/>
          <w:numId w:val="2"/>
        </w:numPr>
        <w:spacing w:after="100"/>
      </w:pPr>
      <w:r>
        <w:rPr>
          <w:rFonts w:ascii="Calibri" w:cs="Calibri" w:eastAsia="Calibri" w:hAnsi="Calibri"/>
          <w:sz w:val="22"/>
          <w:szCs w:val="22"/>
        </w:rPr>
        <w:t xml:space="preserve">Notarized off-take arrangements identified for designated markets.</w:t>
      </w:r>
    </w:p>
    <w:p>
      <w:pPr>
        <w:pStyle w:val="ListParagraph"/>
        <w:numPr>
          <w:ilvl w:val="0"/>
          <w:numId w:val="2"/>
        </w:numPr>
        <w:spacing w:after="100"/>
      </w:pPr>
      <w:r>
        <w:rPr>
          <w:rFonts w:ascii="Calibri" w:cs="Calibri" w:eastAsia="Calibri" w:hAnsi="Calibri"/>
          <w:sz w:val="22"/>
          <w:szCs w:val="22"/>
        </w:rPr>
        <w:t xml:space="preserve">Regulatory pathway structured through ZAMRA, ZEMA and applicable international requirements.</w:t>
      </w:r>
    </w:p>
    <w:p>
      <w:pPr>
        <w:pStyle w:val="ListParagraph"/>
        <w:numPr>
          <w:ilvl w:val="0"/>
          <w:numId w:val="2"/>
        </w:numPr>
        <w:spacing w:after="100"/>
      </w:pPr>
      <w:r>
        <w:rPr>
          <w:rFonts w:ascii="Calibri" w:cs="Calibri" w:eastAsia="Calibri" w:hAnsi="Calibri"/>
          <w:sz w:val="22"/>
          <w:szCs w:val="22"/>
        </w:rPr>
        <w:t xml:space="preserve">Technology specifications and procurement requirements defined.</w:t>
      </w:r>
    </w:p>
    <w:p>
      <w:pPr>
        <w:pStyle w:val="ListParagraph"/>
        <w:numPr>
          <w:ilvl w:val="0"/>
          <w:numId w:val="2"/>
        </w:numPr>
        <w:spacing w:after="100"/>
      </w:pPr>
      <w:r>
        <w:rPr>
          <w:rFonts w:ascii="Calibri" w:cs="Calibri" w:eastAsia="Calibri" w:hAnsi="Calibri"/>
          <w:sz w:val="22"/>
          <w:szCs w:val="22"/>
        </w:rPr>
        <w:t xml:space="preserve">SBLC financing mechanism in readiness through Absa Bank Zambia Plc.</w:t>
      </w:r>
    </w:p>
    <w:p>
      <w:pPr>
        <w:spacing w:after="160" w:line="300"/>
        <w:jc w:val="both"/>
      </w:pPr>
      <w:r>
        <w:rPr>
          <w:rFonts w:ascii="Calibri" w:cs="Calibri" w:eastAsia="Calibri" w:hAnsi="Calibri"/>
          <w:b w:val="false"/>
          <w:bCs w:val="false"/>
          <w:i w:val="false"/>
          <w:iCs w:val="false"/>
          <w:sz w:val="22"/>
          <w:szCs w:val="22"/>
        </w:rPr>
        <w:t xml:space="preserve">All material technical, financial, legal, environmental, social, regulatory, market and implementation assumptions remain subject to independent lender/investor due diligence and third-party verification where required.</w:t>
      </w:r>
    </w:p>
    <w:p>
      <w:pPr>
        <w:pStyle w:val="Heading1"/>
        <w:pBdr>
          <w:bottom w:val="single" w:color="1F3864" w:sz="6" w:space="4"/>
        </w:pBdr>
        <w:spacing w:after="180" w:before="360"/>
      </w:pPr>
      <w:r>
        <w:rPr>
          <w:rFonts w:ascii="Calibri" w:cs="Calibri" w:eastAsia="Calibri" w:hAnsi="Calibri"/>
          <w:b/>
          <w:bCs/>
          <w:color w:val="1F3864"/>
          <w:sz w:val="28"/>
          <w:szCs w:val="28"/>
        </w:rPr>
        <w:t xml:space="preserve">10.0 ENVIRONMENTAL, SOCIAL &amp; GOVERNANCE</w:t>
      </w:r>
    </w:p>
    <w:p>
      <w:pPr>
        <w:spacing w:after="160" w:line="300"/>
        <w:jc w:val="both"/>
      </w:pPr>
      <w:r>
        <w:rPr>
          <w:rFonts w:ascii="Calibri" w:cs="Calibri" w:eastAsia="Calibri" w:hAnsi="Calibri"/>
          <w:b w:val="false"/>
          <w:bCs w:val="false"/>
          <w:i w:val="false"/>
          <w:iCs w:val="false"/>
          <w:sz w:val="22"/>
          <w:szCs w:val="22"/>
        </w:rPr>
        <w:t xml:space="preserve">The Project will implement proportionate ESG controls covering environmental management, resource and water efficiency, waste and emissions management, occupational health and safety, worker welfare, community engagement, responsible agriculture, biodiversity, ethical supply chains, anti-corruption, data governance and grievance mechanisms, aligned with applicable Zambian requirements and relevant financing-partner standards.</w:t>
      </w:r>
    </w:p>
    <w:p>
      <w:r>
        <w:br w:type="page"/>
      </w:r>
    </w:p>
    <w:p>
      <w:pPr>
        <w:pStyle w:val="Heading1"/>
        <w:pBdr>
          <w:bottom w:val="single" w:color="1F3864" w:sz="6" w:space="4"/>
        </w:pBdr>
        <w:spacing w:after="180" w:before="360"/>
      </w:pPr>
      <w:r>
        <w:rPr>
          <w:rFonts w:ascii="Calibri" w:cs="Calibri" w:eastAsia="Calibri" w:hAnsi="Calibri"/>
          <w:b/>
          <w:bCs/>
          <w:color w:val="1F3864"/>
          <w:sz w:val="28"/>
          <w:szCs w:val="28"/>
        </w:rPr>
        <w:t xml:space="preserve">11.0 PROJECT IMPLEMENTATION TIMELINE</w:t>
      </w:r>
    </w:p>
    <w:p>
      <w:pPr>
        <w:spacing w:after="160" w:line="300"/>
        <w:jc w:val="both"/>
      </w:pPr>
      <w:r>
        <w:rPr>
          <w:rFonts w:ascii="Calibri" w:cs="Calibri" w:eastAsia="Calibri" w:hAnsi="Calibri"/>
          <w:b w:val="false"/>
          <w:bCs w:val="false"/>
          <w:i w:val="false"/>
          <w:iCs w:val="false"/>
          <w:sz w:val="22"/>
          <w:szCs w:val="22"/>
        </w:rPr>
        <w:t xml:space="preserve">The Project comprises a 60-month integrated industrialization programme, progressing from financial close and infrastructure deployment through commissioning, qualification, commercial launch, export entry and capacity expansion.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1600"/>
      </w:tblGrid>
      <w:tr>
        <w:trPr>
          <w:tblHeader/>
        </w:trPr>
        <w:tc>
          <w:tcPr>
            <w:tcW w:type="dxa" w:w="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w:t>
            </w:r>
          </w:p>
        </w:tc>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Project Component</w:t>
            </w:r>
          </w:p>
        </w:tc>
        <w:tc>
          <w:tcPr>
            <w:tcW w:type="dxa" w:w="3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Condensed Key Activities</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Timeline</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Financial Close &amp; Mobilization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Financing, governance, recruitment and controls</w:t>
            </w:r>
          </w:p>
        </w:tc>
        <w:tc>
          <w:tcPr>
            <w:tcW w:type="dxa" w:w="16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1–2</w:t>
            </w:r>
          </w:p>
        </w:tc>
      </w:tr>
      <w:tr>
        <w:tc>
          <w:tcPr>
            <w:tcW w:type="dxa" w:w="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2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EPC – Core Industrial Infrastructure</w:t>
            </w:r>
          </w:p>
        </w:tc>
        <w:tc>
          <w:tcPr>
            <w:tcW w:type="dxa" w:w="38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Engineering, facilities, utilities and GMP environments</w:t>
            </w:r>
          </w:p>
        </w:tc>
        <w:tc>
          <w:tcPr>
            <w:tcW w:type="dxa" w:w="16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2–12</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Agro-Production Infrastructure</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Land development, irrigation and estates</w:t>
            </w:r>
          </w:p>
        </w:tc>
        <w:tc>
          <w:tcPr>
            <w:tcW w:type="dxa" w:w="16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2–9</w:t>
            </w:r>
          </w:p>
        </w:tc>
      </w:tr>
      <w:tr>
        <w:tc>
          <w:tcPr>
            <w:tcW w:type="dxa" w:w="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2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Livestock &amp; Bioresource Systems</w:t>
            </w:r>
          </w:p>
        </w:tc>
        <w:tc>
          <w:tcPr>
            <w:tcW w:type="dxa" w:w="38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150 cattle/150 swine and support systems</w:t>
            </w:r>
          </w:p>
        </w:tc>
        <w:tc>
          <w:tcPr>
            <w:tcW w:type="dxa" w:w="16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2–10</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Equipment Procurement &amp; Commissioning</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Procurement, installation, qualification and training</w:t>
            </w:r>
          </w:p>
        </w:tc>
        <w:tc>
          <w:tcPr>
            <w:tcW w:type="dxa" w:w="16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2–15</w:t>
            </w:r>
          </w:p>
        </w:tc>
      </w:tr>
      <w:tr>
        <w:tc>
          <w:tcPr>
            <w:tcW w:type="dxa" w:w="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2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Supply Chain &amp; Working Capital</w:t>
            </w:r>
          </w:p>
        </w:tc>
        <w:tc>
          <w:tcPr>
            <w:tcW w:type="dxa" w:w="38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Suppliers, materials, packaging and ramp-up</w:t>
            </w:r>
          </w:p>
        </w:tc>
        <w:tc>
          <w:tcPr>
            <w:tcW w:type="dxa" w:w="16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2–12</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Pilot Production &amp; Certification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Optimization, validation and regulatory approvals</w:t>
            </w:r>
          </w:p>
        </w:tc>
        <w:tc>
          <w:tcPr>
            <w:tcW w:type="dxa" w:w="16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10–15</w:t>
            </w:r>
          </w:p>
        </w:tc>
      </w:tr>
      <w:tr>
        <w:tc>
          <w:tcPr>
            <w:tcW w:type="dxa" w:w="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w:t>
            </w:r>
          </w:p>
        </w:tc>
        <w:tc>
          <w:tcPr>
            <w:tcW w:type="dxa" w:w="2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Commercial Operations Rollout</w:t>
            </w:r>
          </w:p>
        </w:tc>
        <w:tc>
          <w:tcPr>
            <w:tcW w:type="dxa" w:w="38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Production launch and domestic markets</w:t>
            </w:r>
          </w:p>
        </w:tc>
        <w:tc>
          <w:tcPr>
            <w:tcW w:type="dxa" w:w="16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15–24</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9</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Export Entry &amp; Certification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Registrations, compliance and export scaling</w:t>
            </w:r>
          </w:p>
        </w:tc>
        <w:tc>
          <w:tcPr>
            <w:tcW w:type="dxa" w:w="16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24–48</w:t>
            </w:r>
          </w:p>
        </w:tc>
      </w:tr>
      <w:tr>
        <w:tc>
          <w:tcPr>
            <w:tcW w:type="dxa" w:w="5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10</w:t>
            </w:r>
          </w:p>
        </w:tc>
        <w:tc>
          <w:tcPr>
            <w:tcW w:type="dxa" w:w="2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Expansion &amp; Optimization</w:t>
            </w:r>
          </w:p>
        </w:tc>
        <w:tc>
          <w:tcPr>
            <w:tcW w:type="dxa" w:w="38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Capacity, portfolio, R&amp;D and export growth</w:t>
            </w:r>
          </w:p>
        </w:tc>
        <w:tc>
          <w:tcPr>
            <w:tcW w:type="dxa" w:w="16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Months 48–60</w:t>
            </w:r>
          </w:p>
        </w:tc>
      </w:tr>
    </w:tbl>
    <w:p>
      <w:pPr>
        <w:spacing w:after="160" w:line="300"/>
        <w:jc w:val="both"/>
      </w:pPr>
      <w:r>
        <w:rPr>
          <w:rFonts w:ascii="Calibri" w:cs="Calibri" w:eastAsia="Calibri" w:hAnsi="Calibri"/>
          <w:b/>
          <w:bCs/>
          <w:i w:val="false"/>
          <w:iCs w:val="false"/>
          <w:sz w:val="22"/>
          <w:szCs w:val="22"/>
        </w:rPr>
        <w:t xml:space="preserve">Total Project Duration: 60 Months (5 Years).</w:t>
      </w:r>
    </w:p>
    <w:p>
      <w:pPr>
        <w:spacing w:after="160" w:line="300"/>
        <w:jc w:val="both"/>
      </w:pPr>
      <w:r>
        <w:rPr>
          <w:rFonts w:ascii="Calibri" w:cs="Calibri" w:eastAsia="Calibri" w:hAnsi="Calibri"/>
          <w:b w:val="false"/>
          <w:bCs w:val="false"/>
          <w:i w:val="false"/>
          <w:iCs w:val="false"/>
          <w:sz w:val="22"/>
          <w:szCs w:val="22"/>
        </w:rPr>
        <w:t xml:space="preserve">Commercialization is subject to construction completion, equipment commissioning, qualification/validation, applicable regulatory approvals and defined commercial-launch criteria.</w:t>
      </w:r>
    </w:p>
    <w:p>
      <w:pPr>
        <w:pStyle w:val="Heading1"/>
        <w:pBdr>
          <w:bottom w:val="single" w:color="1F3864" w:sz="6" w:space="4"/>
        </w:pBdr>
        <w:spacing w:after="180" w:before="360"/>
      </w:pPr>
      <w:r>
        <w:rPr>
          <w:rFonts w:ascii="Calibri" w:cs="Calibri" w:eastAsia="Calibri" w:hAnsi="Calibri"/>
          <w:b/>
          <w:bCs/>
          <w:color w:val="1F3864"/>
          <w:sz w:val="28"/>
          <w:szCs w:val="28"/>
        </w:rPr>
        <w:t xml:space="preserve">12.0 DEBT REPAYMENT STRATEGY</w:t>
      </w:r>
    </w:p>
    <w:p>
      <w:pPr>
        <w:spacing w:after="160" w:line="300"/>
        <w:jc w:val="both"/>
      </w:pPr>
      <w:r>
        <w:rPr>
          <w:rFonts w:ascii="Calibri" w:cs="Calibri" w:eastAsia="Calibri" w:hAnsi="Calibri"/>
          <w:b w:val="false"/>
          <w:bCs w:val="false"/>
          <w:i w:val="false"/>
          <w:iCs w:val="false"/>
          <w:sz w:val="22"/>
          <w:szCs w:val="22"/>
        </w:rPr>
        <w:t xml:space="preserve">Debt service is designed around prospective operating cash flows following commercial launch from industrial manufacturing, agriculture, biological inputs, institutional/wholesale channels, owned retail, regional distribution and exports.</w:t>
      </w:r>
    </w:p>
    <w:p>
      <w:pPr>
        <w:spacing w:after="160" w:line="300"/>
        <w:jc w:val="both"/>
      </w:pPr>
      <w:r>
        <w:rPr>
          <w:rFonts w:ascii="Calibri" w:cs="Calibri" w:eastAsia="Calibri" w:hAnsi="Calibri"/>
          <w:b w:val="false"/>
          <w:bCs w:val="false"/>
          <w:i w:val="false"/>
          <w:iCs w:val="false"/>
          <w:sz w:val="22"/>
          <w:szCs w:val="22"/>
        </w:rPr>
        <w:t xml:space="preserve">Debt-service capacity will be assessed against projected free cash flow and Debt Service Coverage Ratio (DSCR) under base-case, downside and sensitivity scenarios, with the DSRA providing additional liquidity protection.</w:t>
      </w:r>
    </w:p>
    <w:p>
      <w:pPr>
        <w:pStyle w:val="Heading1"/>
        <w:pBdr>
          <w:bottom w:val="single" w:color="1F3864" w:sz="6" w:space="4"/>
        </w:pBdr>
        <w:spacing w:after="180" w:before="360"/>
      </w:pPr>
      <w:r>
        <w:rPr>
          <w:rFonts w:ascii="Calibri" w:cs="Calibri" w:eastAsia="Calibri" w:hAnsi="Calibri"/>
          <w:b/>
          <w:bCs/>
          <w:color w:val="1F3864"/>
          <w:sz w:val="28"/>
          <w:szCs w:val="28"/>
        </w:rPr>
        <w:t xml:space="preserve">13.0 TRANSPARENCY &amp; SECURED FUNDING STRUCTURE</w:t>
      </w:r>
    </w:p>
    <w:p>
      <w:pPr>
        <w:spacing w:after="90"/>
      </w:pPr>
      <w:r>
        <w:rPr>
          <w:rFonts w:ascii="Calibri" w:cs="Calibri" w:eastAsia="Calibri" w:hAnsi="Calibri"/>
          <w:b/>
          <w:bCs/>
          <w:color w:val="1F3864"/>
          <w:sz w:val="22"/>
          <w:szCs w:val="22"/>
        </w:rPr>
        <w:t xml:space="preserve">SBLC: </w:t>
      </w:r>
      <w:r>
        <w:rPr>
          <w:rFonts w:ascii="Calibri" w:cs="Calibri" w:eastAsia="Calibri" w:hAnsi="Calibri"/>
          <w:sz w:val="22"/>
          <w:szCs w:val="22"/>
        </w:rPr>
        <w:t xml:space="preserve">Primary credit-enhancement mechanism through Absa Bank Zambia Plc.</w:t>
      </w:r>
    </w:p>
    <w:p>
      <w:pPr>
        <w:spacing w:after="90"/>
      </w:pPr>
      <w:r>
        <w:rPr>
          <w:rFonts w:ascii="Calibri" w:cs="Calibri" w:eastAsia="Calibri" w:hAnsi="Calibri"/>
          <w:b/>
          <w:bCs/>
          <w:color w:val="1F3864"/>
          <w:sz w:val="22"/>
          <w:szCs w:val="22"/>
        </w:rPr>
        <w:t xml:space="preserve">Escrow: </w:t>
      </w:r>
      <w:r>
        <w:rPr>
          <w:rFonts w:ascii="Calibri" w:cs="Calibri" w:eastAsia="Calibri" w:hAnsi="Calibri"/>
          <w:sz w:val="22"/>
          <w:szCs w:val="22"/>
        </w:rPr>
        <w:t xml:space="preserve">Controlled project-fund account.</w:t>
      </w:r>
    </w:p>
    <w:p>
      <w:pPr>
        <w:spacing w:after="90"/>
      </w:pPr>
      <w:r>
        <w:rPr>
          <w:rFonts w:ascii="Calibri" w:cs="Calibri" w:eastAsia="Calibri" w:hAnsi="Calibri"/>
          <w:b/>
          <w:bCs/>
          <w:color w:val="1F3864"/>
          <w:sz w:val="22"/>
          <w:szCs w:val="22"/>
        </w:rPr>
        <w:t xml:space="preserve">DSRA: </w:t>
      </w:r>
      <w:r>
        <w:rPr>
          <w:rFonts w:ascii="Calibri" w:cs="Calibri" w:eastAsia="Calibri" w:hAnsi="Calibri"/>
          <w:sz w:val="22"/>
          <w:szCs w:val="22"/>
        </w:rPr>
        <w:t xml:space="preserve">Dedicated debt-service liquidity protection.</w:t>
      </w:r>
    </w:p>
    <w:p>
      <w:pPr>
        <w:spacing w:after="90"/>
      </w:pPr>
      <w:r>
        <w:rPr>
          <w:rFonts w:ascii="Calibri" w:cs="Calibri" w:eastAsia="Calibri" w:hAnsi="Calibri"/>
          <w:b/>
          <w:bCs/>
          <w:color w:val="1F3864"/>
          <w:sz w:val="22"/>
          <w:szCs w:val="22"/>
        </w:rPr>
        <w:t xml:space="preserve">Milestones: </w:t>
      </w:r>
      <w:r>
        <w:rPr>
          <w:rFonts w:ascii="Calibri" w:cs="Calibri" w:eastAsia="Calibri" w:hAnsi="Calibri"/>
          <w:sz w:val="22"/>
          <w:szCs w:val="22"/>
        </w:rPr>
        <w:t xml:space="preserve">Disbursement against verified implementation milestones.</w:t>
      </w:r>
    </w:p>
    <w:p>
      <w:pPr>
        <w:spacing w:after="90"/>
      </w:pPr>
      <w:r>
        <w:rPr>
          <w:rFonts w:ascii="Calibri" w:cs="Calibri" w:eastAsia="Calibri" w:hAnsi="Calibri"/>
          <w:b/>
          <w:bCs/>
          <w:color w:val="1F3864"/>
          <w:sz w:val="22"/>
          <w:szCs w:val="22"/>
        </w:rPr>
        <w:t xml:space="preserve">Verification: </w:t>
      </w:r>
      <w:r>
        <w:rPr>
          <w:rFonts w:ascii="Calibri" w:cs="Calibri" w:eastAsia="Calibri" w:hAnsi="Calibri"/>
          <w:sz w:val="22"/>
          <w:szCs w:val="22"/>
        </w:rPr>
        <w:t xml:space="preserve">Independent technical, financial and project audits.</w:t>
      </w:r>
    </w:p>
    <w:p>
      <w:r>
        <w:br w:type="page"/>
      </w:r>
    </w:p>
    <w:p>
      <w:pPr>
        <w:pStyle w:val="Heading1"/>
        <w:pBdr>
          <w:bottom w:val="single" w:color="1F3864" w:sz="6" w:space="4"/>
        </w:pBdr>
        <w:spacing w:after="180" w:before="360"/>
      </w:pPr>
      <w:r>
        <w:rPr>
          <w:rFonts w:ascii="Calibri" w:cs="Calibri" w:eastAsia="Calibri" w:hAnsi="Calibri"/>
          <w:b/>
          <w:bCs/>
          <w:color w:val="1F3864"/>
          <w:sz w:val="28"/>
          <w:szCs w:val="28"/>
        </w:rPr>
        <w:t xml:space="preserve">14.0 RISKS &amp; MITIGATION FRAMEWORK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5500"/>
      </w:tblGrid>
      <w:tr>
        <w:trPr>
          <w:tblHeader/>
        </w:trPr>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Risk</w:t>
            </w:r>
          </w:p>
        </w:tc>
        <w:tc>
          <w:tcPr>
            <w:tcW w:type="dxa" w:w="5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Corresponding Mitigation Strategy</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Agricultural &amp; Climate Risk</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Irrigation, crop diversification, regenerative agriculture and agronomic monitoring</w:t>
            </w:r>
          </w:p>
        </w:tc>
      </w:tr>
      <w:tr>
        <w:tc>
          <w:tcPr>
            <w:tcW w:type="dxa" w:w="3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Feedstock Supply Risk</w:t>
            </w:r>
          </w:p>
        </w:tc>
        <w:tc>
          <w:tcPr>
            <w:tcW w:type="dxa" w:w="55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Secured 97-ha base, phased expansion, contract farmers and qualified suppliers</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Quality &amp; Traceability Risk</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CERIQA, GMP, ISO 8/7/5 and validated controls</w:t>
            </w:r>
          </w:p>
        </w:tc>
      </w:tr>
      <w:tr>
        <w:tc>
          <w:tcPr>
            <w:tcW w:type="dxa" w:w="3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Market &amp; Demand Risk</w:t>
            </w:r>
          </w:p>
        </w:tc>
        <w:tc>
          <w:tcPr>
            <w:tcW w:type="dxa" w:w="55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Off-takes, institutional buyers, owned retail, distributors and exports</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Execution &amp; Construction Risk</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EPC, milestone controls, FAT/SAT and independent monitoring</w:t>
            </w:r>
          </w:p>
        </w:tc>
      </w:tr>
      <w:tr>
        <w:tc>
          <w:tcPr>
            <w:tcW w:type="dxa" w:w="3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Technology &amp; Performance Risk</w:t>
            </w:r>
          </w:p>
        </w:tc>
        <w:tc>
          <w:tcPr>
            <w:tcW w:type="dxa" w:w="55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Qualified OEM/EPC partners, commissioning, warranties and training</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Regulatory &amp; Environmental Risk</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ZAMRA/ZEMA oversight, GMP/ISO and environmental controls</w:t>
            </w:r>
          </w:p>
        </w:tc>
      </w:tr>
      <w:tr>
        <w:tc>
          <w:tcPr>
            <w:tcW w:type="dxa" w:w="3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Financial &amp; Liquidity Risk</w:t>
            </w:r>
          </w:p>
        </w:tc>
        <w:tc>
          <w:tcPr>
            <w:tcW w:type="dxa" w:w="55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SBLC, escrow, DSRA, milestones and audits</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Foreign-Exchange Risk</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Export earnings and treasury/currency-risk management</w:t>
            </w:r>
          </w:p>
        </w:tc>
      </w:tr>
      <w:tr>
        <w:tc>
          <w:tcPr>
            <w:tcW w:type="dxa" w:w="3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Human-Capital Risk</w:t>
            </w:r>
          </w:p>
        </w:tc>
        <w:tc>
          <w:tcPr>
            <w:tcW w:type="dxa" w:w="55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Qualified recruitment, training and retention</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Governance &amp; Control Risk</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Segregation of duties, controls, audits and accountability</w:t>
            </w:r>
          </w:p>
        </w:tc>
      </w:tr>
      <w:tr>
        <w:tc>
          <w:tcPr>
            <w:tcW w:type="dxa" w:w="3600"/>
            <w:shd w:fill="DDEBF7"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Livestock &amp; Bioresource Risk</w:t>
            </w:r>
          </w:p>
        </w:tc>
        <w:tc>
          <w:tcPr>
            <w:tcW w:type="dxa" w:w="5500"/>
            <w:shd w:fill="DDEBF7"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Veterinary oversight, biosecurity and controlled processing</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Cybersecurity &amp; Remote-Operations Risk</w:t>
            </w:r>
          </w:p>
        </w:tc>
        <w:tc>
          <w:tcPr>
            <w:tcW w:type="dxa" w:w="5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Segmented networks, controlled access, monitoring and backup</w:t>
            </w:r>
          </w:p>
        </w:tc>
      </w:tr>
    </w:tbl>
    <w:p>
      <w:r>
        <w:br w:type="page"/>
      </w:r>
    </w:p>
    <w:p>
      <w:pPr>
        <w:pStyle w:val="Heading1"/>
        <w:pBdr>
          <w:bottom w:val="single" w:color="1F3864" w:sz="6" w:space="4"/>
        </w:pBdr>
        <w:spacing w:after="180" w:before="360"/>
      </w:pPr>
      <w:r>
        <w:rPr>
          <w:rFonts w:ascii="Calibri" w:cs="Calibri" w:eastAsia="Calibri" w:hAnsi="Calibri"/>
          <w:b/>
          <w:bCs/>
          <w:color w:val="1F3864"/>
          <w:sz w:val="28"/>
          <w:szCs w:val="28"/>
        </w:rPr>
        <w:t xml:space="preserve">15.0 FINANCIAL VIABILITY &amp; DEBT-SERVICING CAPACITY</w:t>
      </w:r>
    </w:p>
    <w:p>
      <w:pPr>
        <w:spacing w:after="160" w:line="300"/>
        <w:jc w:val="both"/>
      </w:pPr>
      <w:r>
        <w:rPr>
          <w:rFonts w:ascii="Calibri" w:cs="Calibri" w:eastAsia="Calibri" w:hAnsi="Calibri"/>
          <w:b w:val="false"/>
          <w:bCs w:val="false"/>
          <w:i w:val="false"/>
          <w:iCs w:val="false"/>
          <w:sz w:val="22"/>
          <w:szCs w:val="22"/>
        </w:rPr>
        <w:t xml:space="preserve">The Project provides a defined pathway from pilot processing, product development and process validation to industrial manufacturing, regulatory qualification, commercialization and export expansion.</w:t>
      </w:r>
    </w:p>
    <w:p>
      <w:pPr>
        <w:spacing w:after="160" w:line="300"/>
        <w:jc w:val="both"/>
      </w:pPr>
      <w:r>
        <w:rPr>
          <w:rFonts w:ascii="Calibri" w:cs="Calibri" w:eastAsia="Calibri" w:hAnsi="Calibri"/>
          <w:b w:val="false"/>
          <w:bCs w:val="false"/>
          <w:i w:val="false"/>
          <w:iCs w:val="false"/>
          <w:sz w:val="22"/>
          <w:szCs w:val="22"/>
        </w:rPr>
        <w:t xml:space="preserve">The financial model projects approximately USD 196.9 million cumulative net profit, USD 30.65 million NPV, 15.78% IRR, 1.48 profitability index and discounted payback in Year 9. These are forward-looking projections, not historical commercial performance.</w:t>
      </w:r>
    </w:p>
    <w:p>
      <w:pPr>
        <w:spacing w:after="160" w:line="300"/>
        <w:jc w:val="both"/>
      </w:pPr>
      <w:r>
        <w:rPr>
          <w:rFonts w:ascii="Calibri" w:cs="Calibri" w:eastAsia="Calibri" w:hAnsi="Calibri"/>
          <w:b w:val="false"/>
          <w:bCs w:val="false"/>
          <w:i w:val="false"/>
          <w:iCs w:val="false"/>
          <w:sz w:val="22"/>
          <w:szCs w:val="22"/>
        </w:rPr>
        <w:t xml:space="preserve">The financial model should be supported by lender-grade sensitivity and downside analysis covering construction-cost escalation, commissioning delays, production ramp-up, capacity utilization, selling-price compression, raw-material costs, foreign-exchange movements, operating-cost inflation, interest-rate exposure and debt-service coverage.</w:t>
      </w:r>
    </w:p>
    <w:p>
      <w:pPr>
        <w:pBdr>
          <w:top w:val="single" w:color="BFBFBF" w:sz="4" w:space="6"/>
          <w:bottom w:val="single" w:color="BFBFBF" w:sz="4" w:space="6"/>
          <w:left w:val="single" w:color="BFBFBF" w:sz="4" w:space="6"/>
          <w:right w:val="single" w:color="BFBFBF" w:sz="4" w:space="6"/>
        </w:pBdr>
        <w:shd w:fill="F2F2F2" w:val="clear"/>
        <w:spacing w:after="200" w:before="120"/>
      </w:pPr>
      <w:r>
        <w:rPr>
          <w:rFonts w:ascii="Calibri" w:cs="Calibri" w:eastAsia="Calibri" w:hAnsi="Calibri"/>
          <w:i/>
          <w:iCs/>
          <w:color w:val="444444"/>
          <w:sz w:val="20"/>
          <w:szCs w:val="20"/>
        </w:rPr>
        <w:t xml:space="preserve">Final Financial Control: The complete Sources &amp; Uses schedule and financial model must reconcile exactly to USD 63,209,692 / 100.00% before lender/investor submission.</w:t>
      </w:r>
    </w:p>
    <w:p>
      <w:pPr>
        <w:pBdr>
          <w:top w:val="single" w:color="BFBFBF" w:sz="4" w:space="6"/>
          <w:bottom w:val="single" w:color="BFBFBF" w:sz="4" w:space="6"/>
          <w:left w:val="single" w:color="BFBFBF" w:sz="4" w:space="6"/>
          <w:right w:val="single" w:color="BFBFBF" w:sz="4" w:space="6"/>
        </w:pBdr>
        <w:shd w:fill="F2F2F2" w:val="clear"/>
        <w:spacing w:after="200" w:before="120"/>
      </w:pPr>
      <w:r>
        <w:rPr>
          <w:rFonts w:ascii="Calibri" w:cs="Calibri" w:eastAsia="Calibri" w:hAnsi="Calibri"/>
          <w:i/>
          <w:iCs/>
          <w:color w:val="444444"/>
          <w:sz w:val="20"/>
          <w:szCs w:val="20"/>
        </w:rPr>
        <w:t xml:space="preserve">Commercial Status: A.G.F. Limited is currently an operational pilot-stage enterprise, not an established industrial manufacturing or material revenue-generating enterprise. Industrial manufacturing, material sales, exports and associated operating cash flows are prospective and dependent on successful financing, implementation, commissioning, qualification, regulatory approvals and commercial launch.</w:t>
      </w:r>
    </w:p>
    <w:p>
      <w:pPr>
        <w:spacing w:after="160" w:line="300"/>
        <w:jc w:val="both"/>
      </w:pPr>
      <w:r>
        <w:rPr>
          <w:rFonts w:ascii="Calibri" w:cs="Calibri" w:eastAsia="Calibri" w:hAnsi="Calibri"/>
          <w:b w:val="false"/>
          <w:bCs w:val="false"/>
          <w:i w:val="false"/>
          <w:iCs w:val="false"/>
          <w:sz w:val="22"/>
          <w:szCs w:val="22"/>
        </w:rPr>
        <w:t xml:space="preserve">Major industrial systems will be procured through qualified OEM/EPC counterparties under defined specifications, performance requirements, FAT/SAT, commissioning, qualification/validation, warranties, training, technology-transfer obligations and documented battery limits.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DRAFT FINAL EXECUTIVE SUMMARY — AFRICAN GREEN FARMERS (A.G.F.)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2026-09-16T15:15:30.900Z</dcterms:created>
  <dcterms:modified xsi:type="dcterms:W3CDTF">2026-09-16T15:15:30.908Z</dcterms:modified>
</cp:coreProperties>
</file>

<file path=docProps/custom.xml><?xml version="1.0" encoding="utf-8"?>
<Properties xmlns="http://schemas.openxmlformats.org/officeDocument/2006/custom-properties" xmlns:vt="http://schemas.openxmlformats.org/officeDocument/2006/docPropsVTypes"/>
</file>