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C8" w:rsidRPr="007D20E8" w:rsidRDefault="00DC43C8" w:rsidP="00DC43C8">
      <w:pPr>
        <w:keepNext/>
        <w:spacing w:before="240" w:after="60" w:line="240" w:lineRule="auto"/>
        <w:ind w:left="-993" w:right="-897"/>
        <w:jc w:val="both"/>
        <w:outlineLvl w:val="1"/>
        <w:rPr>
          <w:rFonts w:ascii="Calibri" w:eastAsia="Times New Roman" w:hAnsi="Calibri" w:cs="Times New Roman"/>
          <w:b/>
          <w:bCs/>
          <w:iCs/>
          <w:sz w:val="28"/>
          <w:szCs w:val="28"/>
          <w:lang w:val="en-US" w:eastAsia="en-GB"/>
        </w:rPr>
      </w:pPr>
      <w:r w:rsidRPr="007D20E8">
        <w:rPr>
          <w:rFonts w:ascii="Calibri" w:eastAsia="Times New Roman" w:hAnsi="Calibri" w:cs="Times New Roman"/>
          <w:b/>
          <w:bCs/>
          <w:iCs/>
          <w:sz w:val="28"/>
          <w:szCs w:val="28"/>
          <w:lang w:val="en-US" w:eastAsia="en-GB"/>
        </w:rPr>
        <w:t>Methods</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Data for analysis were obtained from the CTC 2 database and include all children aged 0-15 years enrolled in the HIV Care and Treatment Program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used have </w:t>
      </w:r>
      <w:r w:rsidR="006A5842" w:rsidRPr="007D20E8">
        <w:rPr>
          <w:rFonts w:ascii="Calibri" w:eastAsia="Times New Roman" w:hAnsi="Calibri" w:cs="Times New Roman"/>
          <w:sz w:val="28"/>
          <w:szCs w:val="28"/>
          <w:lang w:val="en-US" w:eastAsia="en-GB"/>
        </w:rPr>
        <w:t xml:space="preserve">been extracted from XXX </w:t>
      </w:r>
      <w:r w:rsidRPr="007D20E8">
        <w:rPr>
          <w:rFonts w:ascii="Calibri" w:eastAsia="Times New Roman" w:hAnsi="Calibri" w:cs="Times New Roman"/>
          <w:sz w:val="28"/>
          <w:szCs w:val="28"/>
          <w:lang w:val="en-US" w:eastAsia="en-GB"/>
        </w:rPr>
        <w:t>health facilities who reported to NACP between January 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2011 and December 31</w:t>
      </w:r>
      <w:r w:rsidRPr="007D20E8">
        <w:rPr>
          <w:rFonts w:ascii="Calibri" w:eastAsia="Times New Roman" w:hAnsi="Calibri" w:cs="Times New Roman"/>
          <w:sz w:val="28"/>
          <w:szCs w:val="28"/>
          <w:vertAlign w:val="superscript"/>
          <w:lang w:val="en-US" w:eastAsia="en-GB"/>
        </w:rPr>
        <w:t>st</w:t>
      </w:r>
      <w:r w:rsidRPr="007D20E8">
        <w:rPr>
          <w:rFonts w:ascii="Calibri" w:eastAsia="Times New Roman" w:hAnsi="Calibri" w:cs="Times New Roman"/>
          <w:sz w:val="28"/>
          <w:szCs w:val="28"/>
          <w:lang w:val="en-US" w:eastAsia="en-GB"/>
        </w:rPr>
        <w:t xml:space="preserve"> 2014. The data analysis was conducted using R Statistical Package.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Children characteristics at the time of enrolment into CTC care were described using cross-tabulation by year of enrolment into care. It was assumed that childr</w:t>
      </w:r>
      <w:r w:rsidR="006A5842" w:rsidRPr="007D20E8">
        <w:rPr>
          <w:rFonts w:ascii="Calibri" w:eastAsia="Times New Roman" w:hAnsi="Calibri" w:cs="Times New Roman"/>
          <w:sz w:val="28"/>
          <w:szCs w:val="28"/>
          <w:lang w:val="en-US" w:eastAsia="en-GB"/>
        </w:rPr>
        <w:t xml:space="preserve">en presenting to one of the XXX </w:t>
      </w:r>
      <w:r w:rsidRPr="007D20E8">
        <w:rPr>
          <w:rFonts w:ascii="Calibri" w:eastAsia="Times New Roman" w:hAnsi="Calibri" w:cs="Times New Roman"/>
          <w:sz w:val="28"/>
          <w:szCs w:val="28"/>
          <w:lang w:val="en-US" w:eastAsia="en-GB"/>
        </w:rPr>
        <w:t>clinics in this analysis not on ART at (before) their first visit were enrolling for the first time (i.e. were not transferring from another clinic which did not capture data electronically). We excluded children who presented already on ART. For characteristics at enrolment, we looked for the first result up to XXX days after the date of enrolment for the time depending variables</w:t>
      </w:r>
      <w:r w:rsidR="006A5842" w:rsidRPr="007D20E8">
        <w:rPr>
          <w:rFonts w:ascii="Calibri" w:eastAsia="Times New Roman" w:hAnsi="Calibri" w:cs="Times New Roman"/>
          <w:sz w:val="28"/>
          <w:szCs w:val="28"/>
          <w:lang w:val="en-US" w:eastAsia="en-GB"/>
        </w:rPr>
        <w:t>, taking the minimum visit per patient as the date of enrolment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We assessed the eligibility of children for ART at the t</w:t>
      </w:r>
      <w:r w:rsidR="00AF0D61" w:rsidRPr="007D20E8">
        <w:rPr>
          <w:rFonts w:ascii="Calibri" w:eastAsia="Times New Roman" w:hAnsi="Calibri" w:cs="Times New Roman"/>
          <w:sz w:val="28"/>
          <w:szCs w:val="28"/>
          <w:lang w:val="en-US" w:eastAsia="en-GB"/>
        </w:rPr>
        <w:t>ime of enrolment into CTC care</w:t>
      </w:r>
      <w:r w:rsidR="00721A74" w:rsidRPr="007D20E8">
        <w:rPr>
          <w:rFonts w:ascii="Calibri" w:eastAsia="Times New Roman" w:hAnsi="Calibri" w:cs="Times New Roman"/>
          <w:sz w:val="28"/>
          <w:szCs w:val="28"/>
          <w:lang w:val="en-US" w:eastAsia="en-GB"/>
        </w:rPr>
        <w:t xml:space="preserve"> and at consecutive visits</w:t>
      </w:r>
      <w:r w:rsidRPr="007D20E8">
        <w:rPr>
          <w:rFonts w:ascii="Calibri" w:eastAsia="Times New Roman" w:hAnsi="Calibri" w:cs="Times New Roman"/>
          <w:sz w:val="28"/>
          <w:szCs w:val="28"/>
          <w:lang w:val="en-US" w:eastAsia="en-GB"/>
        </w:rPr>
        <w:t>.</w:t>
      </w:r>
      <w:r w:rsidR="00121D0E" w:rsidRPr="007D20E8">
        <w:rPr>
          <w:rFonts w:ascii="Calibri" w:eastAsia="Times New Roman" w:hAnsi="Calibri" w:cs="Times New Roman"/>
          <w:sz w:val="28"/>
          <w:szCs w:val="28"/>
          <w:lang w:val="en-US" w:eastAsia="en-GB"/>
        </w:rPr>
        <w:t xml:space="preserve"> These results are restricted to 2009 and 2012 onwards, since the national guidelines changed during these years.  </w:t>
      </w:r>
      <w:r w:rsidRPr="007D20E8">
        <w:rPr>
          <w:rFonts w:ascii="Calibri" w:eastAsia="Times New Roman" w:hAnsi="Calibri" w:cs="Times New Roman"/>
          <w:sz w:val="28"/>
          <w:szCs w:val="28"/>
          <w:lang w:val="en-US" w:eastAsia="en-GB"/>
        </w:rPr>
        <w:t xml:space="preserve"> We evaluated the time </w:t>
      </w:r>
      <w:r w:rsidR="006A5842" w:rsidRPr="007D20E8">
        <w:rPr>
          <w:rFonts w:ascii="Calibri" w:eastAsia="Times New Roman" w:hAnsi="Calibri" w:cs="Times New Roman"/>
          <w:sz w:val="28"/>
          <w:szCs w:val="28"/>
          <w:lang w:val="en-US" w:eastAsia="en-GB"/>
        </w:rPr>
        <w:t>from clinic enrolment</w:t>
      </w:r>
      <w:r w:rsidRPr="007D20E8">
        <w:rPr>
          <w:rFonts w:ascii="Calibri" w:eastAsia="Times New Roman" w:hAnsi="Calibri" w:cs="Times New Roman"/>
          <w:sz w:val="28"/>
          <w:szCs w:val="28"/>
          <w:lang w:val="en-US" w:eastAsia="en-GB"/>
        </w:rPr>
        <w:t xml:space="preserve"> to ART initiation</w:t>
      </w:r>
      <w:r w:rsidR="00CC4508" w:rsidRPr="007D20E8">
        <w:rPr>
          <w:rFonts w:ascii="Calibri" w:eastAsia="Times New Roman" w:hAnsi="Calibri" w:cs="Times New Roman"/>
          <w:sz w:val="28"/>
          <w:szCs w:val="28"/>
          <w:lang w:val="en-US" w:eastAsia="en-GB"/>
        </w:rPr>
        <w:t xml:space="preserve"> using Kaplan-</w:t>
      </w:r>
      <w:r w:rsidR="006A5842" w:rsidRPr="007D20E8">
        <w:rPr>
          <w:rFonts w:ascii="Calibri" w:eastAsia="Times New Roman" w:hAnsi="Calibri" w:cs="Times New Roman"/>
          <w:sz w:val="28"/>
          <w:szCs w:val="28"/>
          <w:lang w:val="en-US" w:eastAsia="en-GB"/>
        </w:rPr>
        <w:t xml:space="preserve">Meir Method (Cox </w:t>
      </w:r>
      <w:r w:rsidR="00CC4508" w:rsidRPr="007D20E8">
        <w:rPr>
          <w:rFonts w:ascii="Calibri" w:eastAsia="Times New Roman" w:hAnsi="Calibri" w:cs="Times New Roman"/>
          <w:sz w:val="28"/>
          <w:szCs w:val="28"/>
          <w:lang w:val="en-US" w:eastAsia="en-GB"/>
        </w:rPr>
        <w:t xml:space="preserve">proportional hazards </w:t>
      </w:r>
      <w:r w:rsidR="006A5842" w:rsidRPr="007D20E8">
        <w:rPr>
          <w:rFonts w:ascii="Calibri" w:eastAsia="Times New Roman" w:hAnsi="Calibri" w:cs="Times New Roman"/>
          <w:sz w:val="28"/>
          <w:szCs w:val="28"/>
          <w:lang w:val="en-US" w:eastAsia="en-GB"/>
        </w:rPr>
        <w:t>regression Model)</w:t>
      </w:r>
      <w:r w:rsidR="00CC4508" w:rsidRPr="007D20E8">
        <w:rPr>
          <w:rFonts w:ascii="Calibri" w:eastAsia="Times New Roman" w:hAnsi="Calibri" w:cs="Times New Roman"/>
          <w:sz w:val="28"/>
          <w:szCs w:val="28"/>
          <w:lang w:val="en-US" w:eastAsia="en-GB"/>
        </w:rPr>
        <w:t xml:space="preserve"> by selected baseline characteristics (sex, age category, cd4, WHO, year enrolled, facility level, facility ownership, referred from, </w:t>
      </w:r>
      <w:r w:rsidR="00174709" w:rsidRPr="007D20E8">
        <w:rPr>
          <w:rFonts w:ascii="Calibri" w:eastAsia="Times New Roman" w:hAnsi="Calibri" w:cs="Times New Roman"/>
          <w:sz w:val="28"/>
          <w:szCs w:val="28"/>
          <w:lang w:val="en-US" w:eastAsia="en-GB"/>
        </w:rPr>
        <w:t xml:space="preserve">cotrimoxazole use, </w:t>
      </w:r>
      <w:r w:rsidR="00CC4508" w:rsidRPr="007D20E8">
        <w:rPr>
          <w:rFonts w:ascii="Calibri" w:eastAsia="Times New Roman" w:hAnsi="Calibri" w:cs="Times New Roman"/>
          <w:sz w:val="28"/>
          <w:szCs w:val="28"/>
          <w:lang w:val="en-US" w:eastAsia="en-GB"/>
        </w:rPr>
        <w:t>malnourished and positive for TB)</w:t>
      </w:r>
      <w:r w:rsidRPr="007D20E8">
        <w:rPr>
          <w:rFonts w:ascii="Calibri" w:eastAsia="Times New Roman" w:hAnsi="Calibri" w:cs="Times New Roman"/>
          <w:sz w:val="28"/>
          <w:szCs w:val="28"/>
          <w:lang w:val="en-US" w:eastAsia="en-GB"/>
        </w:rPr>
        <w:t>. We described the characteristics of children at the time of ART initiation. We allowed a window of XXX to XXX days relative to the date of ART start to capture characteristics at ART start (choosing that closest measurement to ART s</w:t>
      </w:r>
      <w:r w:rsidR="00721A74" w:rsidRPr="007D20E8">
        <w:rPr>
          <w:rFonts w:ascii="Calibri" w:eastAsia="Times New Roman" w:hAnsi="Calibri" w:cs="Times New Roman"/>
          <w:sz w:val="28"/>
          <w:szCs w:val="28"/>
          <w:lang w:val="en-US" w:eastAsia="en-GB"/>
        </w:rPr>
        <w:t>tart</w:t>
      </w:r>
      <w:r w:rsidRPr="007D20E8">
        <w:rPr>
          <w:rFonts w:ascii="Calibri" w:eastAsia="Times New Roman" w:hAnsi="Calibri" w:cs="Times New Roman"/>
          <w:sz w:val="28"/>
          <w:szCs w:val="28"/>
          <w:lang w:val="en-US" w:eastAsia="en-GB"/>
        </w:rPr>
        <w:t xml:space="preserve">). </w:t>
      </w: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 xml:space="preserve">We estimated </w:t>
      </w:r>
      <w:r w:rsidR="00A77E24" w:rsidRPr="007D20E8">
        <w:rPr>
          <w:rFonts w:ascii="Calibri" w:eastAsia="Times New Roman" w:hAnsi="Calibri" w:cs="Times New Roman"/>
          <w:sz w:val="28"/>
          <w:szCs w:val="28"/>
          <w:lang w:val="en-US" w:eastAsia="en-GB"/>
        </w:rPr>
        <w:t>time to ART initiation</w:t>
      </w:r>
      <w:r w:rsidRPr="007D20E8">
        <w:rPr>
          <w:rFonts w:ascii="Calibri" w:eastAsia="Times New Roman" w:hAnsi="Calibri" w:cs="Times New Roman"/>
          <w:sz w:val="28"/>
          <w:szCs w:val="28"/>
          <w:lang w:val="en-US" w:eastAsia="en-GB"/>
        </w:rPr>
        <w:t xml:space="preserve"> using Kaplan-Meier methods, </w:t>
      </w:r>
      <w:r w:rsidR="00A77E24" w:rsidRPr="007D20E8">
        <w:rPr>
          <w:rFonts w:ascii="Calibri" w:eastAsia="Times New Roman" w:hAnsi="Calibri" w:cs="Times New Roman"/>
          <w:sz w:val="28"/>
          <w:szCs w:val="28"/>
          <w:lang w:val="en-US" w:eastAsia="en-GB"/>
        </w:rPr>
        <w:t>from date of enrolment to HIV services</w:t>
      </w:r>
      <w:r w:rsidRPr="007D20E8">
        <w:rPr>
          <w:rFonts w:ascii="Calibri" w:eastAsia="Times New Roman" w:hAnsi="Calibri" w:cs="Times New Roman"/>
          <w:color w:val="FF0000"/>
          <w:sz w:val="28"/>
          <w:szCs w:val="28"/>
          <w:lang w:val="en-US" w:eastAsia="en-GB"/>
        </w:rPr>
        <w:t xml:space="preserve"> </w:t>
      </w:r>
      <w:r w:rsidR="00A77E24" w:rsidRPr="007D20E8">
        <w:rPr>
          <w:rFonts w:ascii="Calibri" w:eastAsia="Times New Roman" w:hAnsi="Calibri" w:cs="Times New Roman"/>
          <w:sz w:val="28"/>
          <w:szCs w:val="28"/>
          <w:lang w:val="en-US" w:eastAsia="en-GB"/>
        </w:rPr>
        <w:t>through ART start date</w:t>
      </w:r>
      <w:r w:rsidRPr="007D20E8">
        <w:rPr>
          <w:rFonts w:ascii="Calibri" w:eastAsia="Times New Roman" w:hAnsi="Calibri" w:cs="Times New Roman"/>
          <w:sz w:val="28"/>
          <w:szCs w:val="28"/>
          <w:lang w:val="en-US" w:eastAsia="en-GB"/>
        </w:rPr>
        <w:t>. We defined children as lost to follow up (LTFU) if they were not seen within the 6 months before the end of December 2014; these children were censored at their last visit date. Children who had not died and were not defined as LTFU were considered to be in follow up through to the analysis censoring date of 31 December 2014 and were censored at that time. We assessed th</w:t>
      </w:r>
      <w:r w:rsidR="00A77E24" w:rsidRPr="007D20E8">
        <w:rPr>
          <w:rFonts w:ascii="Calibri" w:eastAsia="Times New Roman" w:hAnsi="Calibri" w:cs="Times New Roman"/>
          <w:sz w:val="28"/>
          <w:szCs w:val="28"/>
          <w:lang w:val="en-US" w:eastAsia="en-GB"/>
        </w:rPr>
        <w:t>e overall probability of ART initiation and by different characteristics of interest.</w:t>
      </w:r>
    </w:p>
    <w:p w:rsidR="00A77E24" w:rsidRPr="007D20E8" w:rsidRDefault="00A77E24" w:rsidP="00DC43C8">
      <w:pPr>
        <w:spacing w:after="0" w:line="240" w:lineRule="auto"/>
        <w:ind w:left="-993" w:right="-897"/>
        <w:jc w:val="both"/>
        <w:rPr>
          <w:rFonts w:ascii="Calibri" w:eastAsia="Times New Roman" w:hAnsi="Calibri" w:cs="Times New Roman"/>
          <w:sz w:val="28"/>
          <w:szCs w:val="28"/>
          <w:lang w:val="en-US" w:eastAsia="en-GB"/>
        </w:rPr>
      </w:pPr>
    </w:p>
    <w:p w:rsidR="00DC43C8" w:rsidRPr="007D20E8" w:rsidRDefault="00DC43C8" w:rsidP="00DC43C8">
      <w:pPr>
        <w:spacing w:after="0" w:line="240" w:lineRule="auto"/>
        <w:ind w:left="-993" w:right="-897"/>
        <w:jc w:val="both"/>
        <w:rPr>
          <w:rFonts w:ascii="Calibri" w:eastAsia="Times New Roman" w:hAnsi="Calibri" w:cs="Times New Roman"/>
          <w:sz w:val="28"/>
          <w:szCs w:val="28"/>
          <w:lang w:val="en-US" w:eastAsia="en-GB"/>
        </w:rPr>
      </w:pPr>
      <w:r w:rsidRPr="007D20E8">
        <w:rPr>
          <w:rFonts w:ascii="Calibri" w:eastAsia="Times New Roman" w:hAnsi="Calibri" w:cs="Times New Roman"/>
          <w:sz w:val="28"/>
          <w:szCs w:val="28"/>
          <w:lang w:val="en-US" w:eastAsia="en-GB"/>
        </w:rPr>
        <w:t>In order to describe access to care and treatment among children, the analysis was conducted using two age categories to allow for comparison in line with national guidelines and child health programs as well as global monitoring of the HIV response. Category I comprises the following age groups in years &lt;1; 1-4; 5-9; 10-14 while category II includes &lt;2; 2-5; 6-9, 10-14 year age groups.</w:t>
      </w:r>
    </w:p>
    <w:p w:rsidR="00AB26B0" w:rsidRPr="007D20E8" w:rsidRDefault="00AB26B0">
      <w:pPr>
        <w:ind w:left="-993" w:right="-897"/>
        <w:rPr>
          <w:sz w:val="28"/>
          <w:szCs w:val="28"/>
        </w:rPr>
      </w:pPr>
    </w:p>
    <w:p w:rsidR="00C52173" w:rsidRPr="007D20E8" w:rsidRDefault="00C52173">
      <w:pPr>
        <w:ind w:left="-993" w:right="-897"/>
        <w:rPr>
          <w:sz w:val="28"/>
          <w:szCs w:val="28"/>
        </w:rPr>
      </w:pPr>
    </w:p>
    <w:p w:rsidR="00C52173" w:rsidRPr="007D20E8" w:rsidRDefault="00C52173">
      <w:pPr>
        <w:ind w:left="-993" w:right="-897"/>
        <w:rPr>
          <w:b/>
          <w:sz w:val="28"/>
          <w:szCs w:val="28"/>
          <w:u w:val="single"/>
        </w:rPr>
      </w:pPr>
      <w:r w:rsidRPr="007D20E8">
        <w:rPr>
          <w:b/>
          <w:sz w:val="28"/>
          <w:szCs w:val="28"/>
          <w:u w:val="single"/>
        </w:rPr>
        <w:t>RESULTS:</w:t>
      </w:r>
    </w:p>
    <w:p w:rsidR="00C52173" w:rsidRPr="007D20E8" w:rsidRDefault="00CC4508">
      <w:pPr>
        <w:ind w:left="-993" w:right="-897"/>
        <w:rPr>
          <w:b/>
          <w:sz w:val="28"/>
          <w:szCs w:val="28"/>
          <w:u w:val="single"/>
        </w:rPr>
      </w:pPr>
      <w:r w:rsidRPr="007D20E8">
        <w:rPr>
          <w:b/>
          <w:sz w:val="28"/>
          <w:szCs w:val="28"/>
          <w:u w:val="single"/>
        </w:rPr>
        <w:t>Baseline characteristics during clinic enrolment</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31"/>
        <w:gridCol w:w="1552"/>
        <w:gridCol w:w="1552"/>
        <w:gridCol w:w="1552"/>
        <w:gridCol w:w="1552"/>
        <w:gridCol w:w="1717"/>
      </w:tblGrid>
      <w:tr w:rsidR="00C52173" w:rsidRPr="00C52173" w:rsidTr="008659E6">
        <w:trPr>
          <w:trHeight w:val="300"/>
          <w:tblHeader/>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2013</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2014</w:t>
            </w: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w:t>
            </w: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 (row %)</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Sex</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Female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2-5</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6-9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WHO stage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IV</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Weight, kg</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10-&lt;20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20-&lt;30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cell count, cells/mm3</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&lt;50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50-199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&gt;=200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percentage, %</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E87B07">
            <w:pPr>
              <w:spacing w:after="0" w:line="240" w:lineRule="auto"/>
              <w:jc w:val="center"/>
              <w:rPr>
                <w:rFonts w:ascii="Calibri" w:eastAsia="Times New Roman" w:hAnsi="Calibri" w:cs="Times New Roman"/>
                <w:color w:val="000000"/>
                <w:lang w:eastAsia="en-GB"/>
              </w:rPr>
            </w:pPr>
            <w:r w:rsidRPr="00C52173">
              <w:rPr>
                <w:rFonts w:ascii="Calibri" w:eastAsia="Times New Roman" w:hAnsi="Calibri" w:cs="Times New Roman"/>
                <w:color w:val="000000"/>
                <w:lang w:eastAsia="en-GB"/>
              </w:rPr>
              <w:t xml:space="preserve"> </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Measurement of CD4 count or percent</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Have at least one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 both</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Facility type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Dispensary</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Health centre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Hospital</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Other</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Referred from</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HBC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1D61E2">
            <w:pPr>
              <w:spacing w:after="0" w:line="240" w:lineRule="auto"/>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PITC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PMTCT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VCT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Positive for TB</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roofErr w:type="spellStart"/>
            <w:r w:rsidRPr="00C52173">
              <w:rPr>
                <w:rFonts w:ascii="Calibri" w:eastAsia="Times New Roman" w:hAnsi="Calibri" w:cs="Times New Roman"/>
                <w:b/>
                <w:color w:val="000000"/>
                <w:lang w:eastAsia="en-GB"/>
              </w:rPr>
              <w:t>Cotrimoxazole</w:t>
            </w:r>
            <w:proofErr w:type="spellEnd"/>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Malnourished</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Mild</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Moderate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Severe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bl>
    <w:p w:rsidR="00C52173" w:rsidRDefault="00C52173">
      <w:pPr>
        <w:rPr>
          <w:b/>
          <w:u w:val="single"/>
        </w:rPr>
      </w:pPr>
    </w:p>
    <w:p w:rsidR="00121D0E" w:rsidRDefault="00121D0E">
      <w:pPr>
        <w:rPr>
          <w:b/>
          <w:u w:val="single"/>
        </w:rPr>
      </w:pPr>
    </w:p>
    <w:p w:rsidR="00121D0E" w:rsidRDefault="00121D0E">
      <w:pPr>
        <w:rPr>
          <w:b/>
          <w:u w:val="single"/>
        </w:rPr>
      </w:pPr>
    </w:p>
    <w:p w:rsidR="00121D0E" w:rsidRPr="007D20E8" w:rsidRDefault="00121D0E" w:rsidP="007D20E8">
      <w:pPr>
        <w:ind w:left="-709" w:right="-755"/>
        <w:rPr>
          <w:sz w:val="28"/>
          <w:szCs w:val="28"/>
        </w:rPr>
      </w:pPr>
      <w:r w:rsidRPr="007D20E8">
        <w:rPr>
          <w:sz w:val="28"/>
          <w:szCs w:val="28"/>
        </w:rPr>
        <w:t>Stacked bar chart for where children were referred</w:t>
      </w:r>
      <w:r w:rsidR="00174709" w:rsidRPr="007D20E8">
        <w:rPr>
          <w:sz w:val="28"/>
          <w:szCs w:val="28"/>
        </w:rPr>
        <w:t xml:space="preserve"> from</w:t>
      </w:r>
      <w:r w:rsidRPr="007D20E8">
        <w:rPr>
          <w:sz w:val="28"/>
          <w:szCs w:val="28"/>
        </w:rPr>
        <w:t xml:space="preserve"> by enrolment year</w:t>
      </w:r>
    </w:p>
    <w:p w:rsidR="00121D0E" w:rsidRPr="007D20E8" w:rsidRDefault="00121D0E" w:rsidP="007D20E8">
      <w:pPr>
        <w:ind w:left="-709" w:right="-755"/>
        <w:rPr>
          <w:sz w:val="28"/>
          <w:szCs w:val="28"/>
        </w:rPr>
      </w:pPr>
      <w:r w:rsidRPr="007D20E8">
        <w:rPr>
          <w:sz w:val="28"/>
          <w:szCs w:val="28"/>
        </w:rPr>
        <w:t>Stacked bar charts for children age categories by sex</w:t>
      </w:r>
    </w:p>
    <w:p w:rsidR="00121D0E" w:rsidRPr="007D20E8" w:rsidRDefault="00121D0E" w:rsidP="007D20E8">
      <w:pPr>
        <w:ind w:left="-709" w:right="-755"/>
        <w:rPr>
          <w:sz w:val="28"/>
          <w:szCs w:val="28"/>
        </w:rPr>
      </w:pPr>
      <w:r w:rsidRPr="007D20E8">
        <w:rPr>
          <w:sz w:val="28"/>
          <w:szCs w:val="28"/>
        </w:rPr>
        <w:t>Stacked bar chart for weight of children during enrolment by age categories</w:t>
      </w:r>
    </w:p>
    <w:p w:rsidR="00121D0E" w:rsidRPr="007D20E8" w:rsidRDefault="00121D0E" w:rsidP="007D20E8">
      <w:pPr>
        <w:ind w:left="-709" w:right="-755"/>
        <w:rPr>
          <w:sz w:val="28"/>
          <w:szCs w:val="28"/>
        </w:rPr>
      </w:pPr>
      <w:r w:rsidRPr="007D20E8">
        <w:rPr>
          <w:sz w:val="28"/>
          <w:szCs w:val="28"/>
        </w:rPr>
        <w:t xml:space="preserve">Stacked bar chart for </w:t>
      </w:r>
      <w:proofErr w:type="spellStart"/>
      <w:r w:rsidRPr="007D20E8">
        <w:rPr>
          <w:sz w:val="28"/>
          <w:szCs w:val="28"/>
        </w:rPr>
        <w:t>childrens</w:t>
      </w:r>
      <w:proofErr w:type="spellEnd"/>
      <w:r w:rsidRPr="007D20E8">
        <w:rPr>
          <w:sz w:val="28"/>
          <w:szCs w:val="28"/>
        </w:rPr>
        <w:t xml:space="preserve">’ WHO stages by age categories at enrolment </w:t>
      </w:r>
    </w:p>
    <w:p w:rsidR="00926DB7" w:rsidRPr="007D20E8" w:rsidRDefault="00926DB7" w:rsidP="007D20E8">
      <w:pPr>
        <w:ind w:left="-709" w:right="-755"/>
        <w:rPr>
          <w:sz w:val="28"/>
          <w:szCs w:val="28"/>
        </w:rPr>
      </w:pPr>
      <w:r w:rsidRPr="007D20E8">
        <w:rPr>
          <w:sz w:val="28"/>
          <w:szCs w:val="28"/>
        </w:rPr>
        <w:t>Including the histograms that we have already</w:t>
      </w:r>
    </w:p>
    <w:p w:rsidR="00121D0E" w:rsidRDefault="00121D0E"/>
    <w:p w:rsidR="00121D0E" w:rsidRDefault="00CA6E29">
      <w:r>
        <w:t xml:space="preserve">ART </w:t>
      </w:r>
      <w:r w:rsidR="00121D0E">
        <w:t>Eligibility table.</w:t>
      </w:r>
    </w:p>
    <w:tbl>
      <w:tblPr>
        <w:tblW w:w="921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1371"/>
        <w:gridCol w:w="1371"/>
        <w:gridCol w:w="1373"/>
        <w:gridCol w:w="1373"/>
        <w:gridCol w:w="1451"/>
      </w:tblGrid>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Age category </w:t>
            </w:r>
            <w:r w:rsidRPr="00121D0E">
              <w:rPr>
                <w:rFonts w:ascii="Calibri" w:eastAsia="Times New Roman" w:hAnsi="Calibri" w:cs="Times New Roman"/>
                <w:b/>
                <w:bCs/>
                <w:color w:val="000000"/>
                <w:lang w:eastAsia="en-GB"/>
              </w:rPr>
              <w:t>, years</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&lt;2</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2-5</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6-9</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10-14</w:t>
            </w: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Not 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Unknown eligibility</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bl>
    <w:p w:rsidR="00121D0E" w:rsidRDefault="00121D0E"/>
    <w:p w:rsidR="00CA6E29" w:rsidRPr="007D20E8" w:rsidRDefault="00CA6E29">
      <w:pPr>
        <w:rPr>
          <w:sz w:val="28"/>
          <w:szCs w:val="28"/>
        </w:rPr>
      </w:pPr>
      <w:r w:rsidRPr="007D20E8">
        <w:rPr>
          <w:sz w:val="28"/>
          <w:szCs w:val="28"/>
        </w:rPr>
        <w:t>Time from enrolment to ART</w:t>
      </w:r>
      <w:r w:rsidR="00121D0E" w:rsidRPr="007D20E8">
        <w:rPr>
          <w:sz w:val="28"/>
          <w:szCs w:val="28"/>
        </w:rPr>
        <w:t xml:space="preserve"> </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475"/>
        <w:gridCol w:w="1475"/>
        <w:gridCol w:w="1475"/>
        <w:gridCol w:w="1475"/>
        <w:gridCol w:w="1475"/>
      </w:tblGrid>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&lt;2</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2-5</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6-9</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10-14</w:t>
            </w: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Enrolment</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 month</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3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6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&gt;12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Not yet started*</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bl>
    <w:p w:rsidR="00121D0E" w:rsidRPr="007D20E8" w:rsidRDefault="00926DB7">
      <w:pPr>
        <w:rPr>
          <w:sz w:val="28"/>
          <w:szCs w:val="28"/>
        </w:rPr>
      </w:pPr>
      <w:r w:rsidRPr="007D20E8">
        <w:rPr>
          <w:sz w:val="28"/>
          <w:szCs w:val="28"/>
        </w:rPr>
        <w:t xml:space="preserve"> Or the one we have already on year initiated on ART by enrolment year</w:t>
      </w:r>
    </w:p>
    <w:p w:rsidR="00140461" w:rsidRPr="007D20E8" w:rsidRDefault="00140461">
      <w:pPr>
        <w:rPr>
          <w:sz w:val="28"/>
          <w:szCs w:val="28"/>
        </w:rPr>
      </w:pPr>
    </w:p>
    <w:p w:rsidR="00140461" w:rsidRPr="007D20E8" w:rsidRDefault="00140461">
      <w:pPr>
        <w:rPr>
          <w:sz w:val="28"/>
          <w:szCs w:val="28"/>
        </w:rPr>
      </w:pPr>
      <w:r w:rsidRPr="007D20E8">
        <w:rPr>
          <w:sz w:val="28"/>
          <w:szCs w:val="28"/>
        </w:rPr>
        <w:t>SURVIVAL ANALYSIS RESULTS (COX PROPORTIONAL HAZARDS</w:t>
      </w:r>
      <w:r w:rsidR="00174709" w:rsidRPr="007D20E8">
        <w:rPr>
          <w:sz w:val="28"/>
          <w:szCs w:val="28"/>
        </w:rPr>
        <w:t xml:space="preserve"> model</w:t>
      </w:r>
      <w:r w:rsidRPr="007D20E8">
        <w:rPr>
          <w:sz w:val="28"/>
          <w:szCs w:val="28"/>
        </w:rPr>
        <w:t>)</w:t>
      </w:r>
      <w:bookmarkStart w:id="0" w:name="_GoBack"/>
      <w:bookmarkEnd w:id="0"/>
    </w:p>
    <w:sectPr w:rsidR="00140461" w:rsidRPr="007D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C8"/>
    <w:rsid w:val="00121D0E"/>
    <w:rsid w:val="00140461"/>
    <w:rsid w:val="00174709"/>
    <w:rsid w:val="001D61E2"/>
    <w:rsid w:val="006A102D"/>
    <w:rsid w:val="006A5842"/>
    <w:rsid w:val="00721A74"/>
    <w:rsid w:val="007D20E8"/>
    <w:rsid w:val="00926DB7"/>
    <w:rsid w:val="00A45505"/>
    <w:rsid w:val="00A77E24"/>
    <w:rsid w:val="00AB26B0"/>
    <w:rsid w:val="00AF0D61"/>
    <w:rsid w:val="00C52173"/>
    <w:rsid w:val="00CA6E29"/>
    <w:rsid w:val="00CC4508"/>
    <w:rsid w:val="00DC43C8"/>
    <w:rsid w:val="00E46FFD"/>
    <w:rsid w:val="00E87B07"/>
    <w:rsid w:val="00ED0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5E8D-EF7E-4C28-A28D-E974ACAD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3C8"/>
    <w:rPr>
      <w:sz w:val="16"/>
      <w:szCs w:val="16"/>
    </w:rPr>
  </w:style>
  <w:style w:type="paragraph" w:styleId="CommentText">
    <w:name w:val="annotation text"/>
    <w:basedOn w:val="Normal"/>
    <w:link w:val="CommentTextChar"/>
    <w:uiPriority w:val="99"/>
    <w:unhideWhenUsed/>
    <w:rsid w:val="00DC43C8"/>
    <w:pPr>
      <w:spacing w:after="0" w:line="240" w:lineRule="auto"/>
      <w:jc w:val="both"/>
    </w:pPr>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rsid w:val="00DC43C8"/>
    <w:rPr>
      <w:rFonts w:ascii="Calibri" w:eastAsia="Times New Roman" w:hAnsi="Calibri" w:cs="Times New Roman"/>
      <w:sz w:val="20"/>
      <w:szCs w:val="20"/>
      <w:lang w:eastAsia="en-GB"/>
    </w:rPr>
  </w:style>
  <w:style w:type="paragraph" w:styleId="BalloonText">
    <w:name w:val="Balloon Text"/>
    <w:basedOn w:val="Normal"/>
    <w:link w:val="BalloonTextChar"/>
    <w:uiPriority w:val="99"/>
    <w:semiHidden/>
    <w:unhideWhenUsed/>
    <w:rsid w:val="00DC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Nondi</dc:creator>
  <cp:keywords/>
  <dc:description/>
  <cp:lastModifiedBy>Joseph Nondi</cp:lastModifiedBy>
  <cp:revision>14</cp:revision>
  <dcterms:created xsi:type="dcterms:W3CDTF">2015-09-28T14:21:00Z</dcterms:created>
  <dcterms:modified xsi:type="dcterms:W3CDTF">2015-09-29T18:01:00Z</dcterms:modified>
</cp:coreProperties>
</file>