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</w:t>
      </w:r>
    </w:p>
    <w:p>
      <w:r>
        <w:t>Date: 2023-09-01</w:t>
      </w:r>
    </w:p>
    <w:p>
      <w:r>
        <w:t>Reference: CASE_0054</w:t>
      </w:r>
    </w:p>
    <w:p>
      <w:r>
        <w:t>The receiving unit is requested to verify the enclosed identifiers and provide records available within its lawful scope.</w:t>
      </w:r>
    </w:p>
    <w:p>
      <w:r>
        <w:t>This synthetic document is for CrimeLink evaluation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