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Memorandum - Synthetic</w:t>
      </w:r>
    </w:p>
    <w:p>
      <w:r>
        <w:t>Case: CASE_0039</w:t>
      </w:r>
    </w:p>
    <w:p>
      <w:r>
        <w:t>Date: 2025-01-02</w:t>
      </w:r>
    </w:p>
    <w:p>
      <w:r>
        <w:t>The memorandum separates allegations from corroborated source material. It summarizes the strongest current evidence, identifies gaps, and records alternative innocent explanations that must be tested before a final conclusion.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