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Saturn v5.7.1 Illustrated Technical Workflow</w:t>
      </w:r>
    </w:p>
    <w:p>
      <w:pPr>
        <w:jc w:val="center"/>
      </w:pPr>
      <w:r>
        <w:t>A technical demonstration from ROI-aware preprocessing and hybrid segmentation through 2D measurement, cross-slice reconstruction, quantitative reporting, and multi-sample studies</w:t>
      </w:r>
    </w:p>
    <w:tbl>
      <w:tblPr>
        <w:tblStyle w:val="TableGrid"/>
        <w:tblW w:type="auto" w:w="0"/>
        <w:jc w:val="center"/>
        <w:tblLook w:firstColumn="1" w:firstRow="1" w:lastColumn="0" w:lastRow="0" w:noHBand="0" w:noVBand="1" w:val="04A0"/>
      </w:tblPr>
      <w:tblGrid>
        <w:gridCol w:w="5083"/>
        <w:gridCol w:w="5083"/>
      </w:tblGrid>
      <w:tr>
        <w:tc>
          <w:tcPr>
            <w:tcW w:type="dxa" w:w="2232"/>
            <w:vAlign w:val="center"/>
            <w:shd w:fill="1F4E78"/>
          </w:tcPr>
          <w:p>
            <w:r/>
            <w:r>
              <w:rPr>
                <w:b/>
                <w:color w:val="FFFFFF"/>
                <w:sz w:val="16"/>
              </w:rPr>
              <w:t>Demonstration item</w:t>
            </w:r>
          </w:p>
        </w:tc>
        <w:tc>
          <w:tcPr>
            <w:tcW w:type="dxa" w:w="7776"/>
            <w:vAlign w:val="center"/>
            <w:shd w:fill="1F4E78"/>
          </w:tcPr>
          <w:p>
            <w:r/>
            <w:r>
              <w:rPr>
                <w:b/>
                <w:color w:val="FFFFFF"/>
                <w:sz w:val="16"/>
              </w:rPr>
              <w:t>Value</w:t>
            </w:r>
          </w:p>
        </w:tc>
      </w:tr>
      <w:tr>
        <w:tc>
          <w:tcPr>
            <w:tcW w:type="dxa" w:w="2232"/>
            <w:vAlign w:val="center"/>
          </w:tcPr>
          <w:p>
            <w:r/>
            <w:r>
              <w:rPr>
                <w:b w:val="0"/>
                <w:sz w:val="16"/>
              </w:rPr>
              <w:t>Pipeline</w:t>
            </w:r>
          </w:p>
        </w:tc>
        <w:tc>
          <w:tcPr>
            <w:tcW w:type="dxa" w:w="7776"/>
            <w:vAlign w:val="center"/>
          </w:tcPr>
          <w:p>
            <w:r/>
            <w:r>
              <w:rPr>
                <w:b w:val="0"/>
                <w:sz w:val="16"/>
              </w:rPr>
              <w:t>sperm_segmentation_saturnv5.7.py</w:t>
            </w:r>
          </w:p>
        </w:tc>
      </w:tr>
      <w:tr>
        <w:tc>
          <w:tcPr>
            <w:tcW w:type="dxa" w:w="2232"/>
            <w:vAlign w:val="center"/>
            <w:shd w:fill="F3F6F8"/>
          </w:tcPr>
          <w:p>
            <w:r/>
            <w:r>
              <w:rPr>
                <w:b w:val="0"/>
                <w:sz w:val="16"/>
              </w:rPr>
              <w:t>Sample stack</w:t>
            </w:r>
          </w:p>
        </w:tc>
        <w:tc>
          <w:tcPr>
            <w:tcW w:type="dxa" w:w="7776"/>
            <w:vAlign w:val="center"/>
            <w:shd w:fill="F3F6F8"/>
          </w:tcPr>
          <w:p>
            <w:r/>
            <w:r>
              <w:rPr>
                <w:b w:val="0"/>
                <w:sz w:val="16"/>
              </w:rPr>
              <w:t>C:\Users\dmishra\Desktop\sperm images</w:t>
            </w:r>
          </w:p>
        </w:tc>
      </w:tr>
      <w:tr>
        <w:tc>
          <w:tcPr>
            <w:tcW w:type="dxa" w:w="2232"/>
            <w:vAlign w:val="center"/>
          </w:tcPr>
          <w:p>
            <w:r/>
            <w:r>
              <w:rPr>
                <w:b w:val="0"/>
                <w:sz w:val="16"/>
              </w:rPr>
              <w:t>Stack dimensions</w:t>
            </w:r>
          </w:p>
        </w:tc>
        <w:tc>
          <w:tcPr>
            <w:tcW w:type="dxa" w:w="7776"/>
            <w:vAlign w:val="center"/>
          </w:tcPr>
          <w:p>
            <w:r/>
            <w:r>
              <w:rPr>
                <w:b w:val="0"/>
                <w:sz w:val="16"/>
              </w:rPr>
              <w:t>88 slices; 1024 x 1024 pixels</w:t>
            </w:r>
          </w:p>
        </w:tc>
      </w:tr>
      <w:tr>
        <w:tc>
          <w:tcPr>
            <w:tcW w:type="dxa" w:w="2232"/>
            <w:vAlign w:val="center"/>
            <w:shd w:fill="F3F6F8"/>
          </w:tcPr>
          <w:p>
            <w:r/>
            <w:r>
              <w:rPr>
                <w:b w:val="0"/>
                <w:sz w:val="16"/>
              </w:rPr>
              <w:t>Saved ROI</w:t>
            </w:r>
          </w:p>
        </w:tc>
        <w:tc>
          <w:tcPr>
            <w:tcW w:type="dxa" w:w="7776"/>
            <w:vAlign w:val="center"/>
            <w:shd w:fill="F3F6F8"/>
          </w:tcPr>
          <w:p>
            <w:r/>
            <w:r>
              <w:rPr>
                <w:b w:val="0"/>
                <w:sz w:val="16"/>
              </w:rPr>
              <w:t>C:\Users\dmishra\Desktop\sperm images\roi_z28.1.npy</w:t>
            </w:r>
          </w:p>
        </w:tc>
      </w:tr>
      <w:tr>
        <w:tc>
          <w:tcPr>
            <w:tcW w:type="dxa" w:w="2232"/>
            <w:vAlign w:val="center"/>
          </w:tcPr>
          <w:p>
            <w:r/>
            <w:r>
              <w:rPr>
                <w:b w:val="0"/>
                <w:sz w:val="16"/>
              </w:rPr>
              <w:t>Illustrated slices</w:t>
            </w:r>
          </w:p>
        </w:tc>
        <w:tc>
          <w:tcPr>
            <w:tcW w:type="dxa" w:w="7776"/>
            <w:vAlign w:val="center"/>
          </w:tcPr>
          <w:p>
            <w:r/>
            <w:r>
              <w:rPr>
                <w:b w:val="0"/>
                <w:sz w:val="16"/>
              </w:rPr>
              <w:t>z34, z35, z36, z37</w:t>
            </w:r>
          </w:p>
        </w:tc>
      </w:tr>
      <w:tr>
        <w:tc>
          <w:tcPr>
            <w:tcW w:type="dxa" w:w="2232"/>
            <w:vAlign w:val="center"/>
            <w:shd w:fill="F3F6F8"/>
          </w:tcPr>
          <w:p>
            <w:r/>
            <w:r>
              <w:rPr>
                <w:b w:val="0"/>
                <w:sz w:val="16"/>
              </w:rPr>
              <w:t>Analysis mode</w:t>
            </w:r>
          </w:p>
        </w:tc>
        <w:tc>
          <w:tcPr>
            <w:tcW w:type="dxa" w:w="7776"/>
            <w:vAlign w:val="center"/>
            <w:shd w:fill="F3F6F8"/>
          </w:tcPr>
          <w:p>
            <w:r/>
            <w:r>
              <w:rPr>
                <w:b w:val="0"/>
                <w:sz w:val="16"/>
              </w:rPr>
              <w:t>Hybrid Saturn + 2.5D U-Net rescue</w:t>
            </w:r>
          </w:p>
        </w:tc>
      </w:tr>
      <w:tr>
        <w:tc>
          <w:tcPr>
            <w:tcW w:type="dxa" w:w="2232"/>
            <w:vAlign w:val="center"/>
          </w:tcPr>
          <w:p>
            <w:r/>
            <w:r>
              <w:rPr>
                <w:b w:val="0"/>
                <w:sz w:val="16"/>
              </w:rPr>
              <w:t>Physical calibration</w:t>
            </w:r>
          </w:p>
        </w:tc>
        <w:tc>
          <w:tcPr>
            <w:tcW w:type="dxa" w:w="7776"/>
            <w:vAlign w:val="center"/>
          </w:tcPr>
          <w:p>
            <w:r/>
            <w:r>
              <w:rPr>
                <w:b w:val="0"/>
                <w:sz w:val="16"/>
              </w:rPr>
              <w:t>0.756836 um/pixel XY; 1.040460 um/slice Z</w:t>
            </w:r>
          </w:p>
        </w:tc>
      </w:tr>
    </w:tbl>
    <w:p/>
    <w:tbl>
      <w:tblPr>
        <w:tblStyle w:val="TableGrid"/>
        <w:tblW w:type="auto" w:w="0"/>
        <w:tblLook w:firstColumn="1" w:firstRow="1" w:lastColumn="0" w:lastRow="0" w:noHBand="0" w:noVBand="1" w:val="04A0"/>
      </w:tblPr>
      <w:tblGrid>
        <w:gridCol w:w="10166"/>
      </w:tblGrid>
      <w:tr>
        <w:tc>
          <w:tcPr>
            <w:tcW w:type="dxa" w:w="10166"/>
            <w:vAlign w:val="center"/>
            <w:shd w:fill="FCE4D6"/>
          </w:tcPr>
          <w:p>
            <w:r/>
            <w:r>
              <w:rPr>
                <w:b/>
                <w:color w:val="C00000"/>
                <w:sz w:val="18"/>
              </w:rPr>
              <w:t>Scope note: z34-z37 are used to illustrate the workflow. Their 2D counts are not a complete-stack biological result and must not be summed as unique nuclei until cross-slice tracking has linked repeated appearances.</w:t>
            </w:r>
          </w:p>
        </w:tc>
      </w:tr>
    </w:tbl>
    <w:p>
      <w:pPr>
        <w:pStyle w:val="Heading1"/>
      </w:pPr>
      <w:r>
        <w:t>1. What Saturn v5.7 Does</w:t>
      </w:r>
    </w:p>
    <w:p>
      <w:r>
        <w:t>Saturn v5.7 is a microscopy analysis workflow for elongated Drosophila sperm nuclei. It restricts preprocessing to a specimen ROI, combines a classical ridge/skeleton lane with optional 2.5D U-Net probability evidence, measures accepted 2D centerlines, links detections through Z, and exports both complete and quality-controlled populations.</w:t>
      </w:r>
    </w:p>
    <w:p>
      <w:pPr>
        <w:pStyle w:val="ListBullet"/>
        <w:spacing w:after="40"/>
      </w:pPr>
      <w:r>
        <w:t>ROI-aware stack normalization prevents bright tissue outside the specimen ROI from setting thresholds.</w:t>
      </w:r>
    </w:p>
    <w:p>
      <w:pPr>
        <w:pStyle w:val="ListBullet"/>
        <w:spacing w:after="40"/>
      </w:pPr>
      <w:r>
        <w:t>Classical Saturn detects elongated ridge structures and measures their skeleton geometry.</w:t>
      </w:r>
    </w:p>
    <w:p>
      <w:pPr>
        <w:pStyle w:val="ListBullet"/>
        <w:spacing w:after="40"/>
      </w:pPr>
      <w:r>
        <w:t>The U-Net lane rescues probable nuclei missed by classical segmentation and splits connected probability regions before measurement.</w:t>
      </w:r>
    </w:p>
    <w:p>
      <w:pPr>
        <w:pStyle w:val="ListBullet"/>
        <w:spacing w:after="40"/>
      </w:pPr>
      <w:r>
        <w:t>Tracking links 2D detections across adjacent Z planes without treating each plane as a unique biological object.</w:t>
      </w:r>
    </w:p>
    <w:p>
      <w:pPr>
        <w:pStyle w:val="ListBullet"/>
        <w:spacing w:after="40"/>
      </w:pPr>
      <w:r>
        <w:t>Comparative audit retains morphology warnings while excluding technical failures from the primary comparison population.</w:t>
      </w:r>
    </w:p>
    <w:p>
      <w:pPr>
        <w:pStyle w:val="ListBullet"/>
        <w:spacing w:after="40"/>
      </w:pPr>
      <w:r>
        <w:t>The study manager analyzes specimens independently, records acquisition exposure, and creates specimen- and group-level tables.</w:t>
      </w:r>
    </w:p>
    <w:p>
      <w:pPr>
        <w:pStyle w:val="Heading1"/>
      </w:pPr>
      <w:r>
        <w:t>2. GUI, Stack, and ROI</w:t>
      </w:r>
    </w:p>
    <w:p>
      <w:r>
        <w:t>The GUI loads the top-level Z stack, navigates individual planes, loads or draws a polygon ROI, applies tuned parameter JSON files, launches segmentation/tracking tuning, runs single-plane or full-stack analysis, and opens the multi-sample study manager.</w:t>
      </w:r>
    </w:p>
    <w:p>
      <w:pPr>
        <w:jc w:val="center"/>
      </w:pPr>
      <w:r>
        <w:drawing>
          <wp:inline xmlns:a="http://schemas.openxmlformats.org/drawingml/2006/main" xmlns:pic="http://schemas.openxmlformats.org/drawingml/2006/picture">
            <wp:extent cx="6172200" cy="3583858"/>
            <wp:docPr id="1" name="Picture 1"/>
            <wp:cNvGraphicFramePr>
              <a:graphicFrameLocks noChangeAspect="1"/>
            </wp:cNvGraphicFramePr>
            <a:graphic>
              <a:graphicData uri="http://schemas.openxmlformats.org/drawingml/2006/picture">
                <pic:pic>
                  <pic:nvPicPr>
                    <pic:cNvPr id="0" name="figure_01_gui_with_saved_roi.png"/>
                    <pic:cNvPicPr/>
                  </pic:nvPicPr>
                  <pic:blipFill>
                    <a:blip r:embed="rId11"/>
                    <a:stretch>
                      <a:fillRect/>
                    </a:stretch>
                  </pic:blipFill>
                  <pic:spPr>
                    <a:xfrm>
                      <a:off x="0" y="0"/>
                      <a:ext cx="6172200" cy="3583858"/>
                    </a:xfrm>
                    <a:prstGeom prst="rect"/>
                  </pic:spPr>
                </pic:pic>
              </a:graphicData>
            </a:graphic>
          </wp:inline>
        </w:drawing>
      </w:r>
    </w:p>
    <w:p>
      <w:pPr>
        <w:jc w:val="center"/>
      </w:pPr>
      <w:r>
        <w:rPr>
          <w:b/>
          <w:i/>
          <w:color w:val="1F4E78"/>
          <w:sz w:val="18"/>
        </w:rPr>
        <w:t>Figure 1. Saturn v5.7 GUI with the 88-slice demonstration stack, hybrid tuned parameters, and the saved ROI shown in red.</w:t>
      </w:r>
    </w:p>
    <w:p>
      <w:pPr>
        <w:jc w:val="center"/>
      </w:pPr>
      <w:r>
        <w:drawing>
          <wp:inline xmlns:a="http://schemas.openxmlformats.org/drawingml/2006/main" xmlns:pic="http://schemas.openxmlformats.org/drawingml/2006/picture">
            <wp:extent cx="6172200" cy="5611091"/>
            <wp:docPr id="2" name="Picture 2"/>
            <wp:cNvGraphicFramePr>
              <a:graphicFrameLocks noChangeAspect="1"/>
            </wp:cNvGraphicFramePr>
            <a:graphic>
              <a:graphicData uri="http://schemas.openxmlformats.org/drawingml/2006/picture">
                <pic:pic>
                  <pic:nvPicPr>
                    <pic:cNvPr id="0" name="figure_02_middle_slices_roi.png"/>
                    <pic:cNvPicPr/>
                  </pic:nvPicPr>
                  <pic:blipFill>
                    <a:blip r:embed="rId12"/>
                    <a:stretch>
                      <a:fillRect/>
                    </a:stretch>
                  </pic:blipFill>
                  <pic:spPr>
                    <a:xfrm>
                      <a:off x="0" y="0"/>
                      <a:ext cx="6172200" cy="5611091"/>
                    </a:xfrm>
                    <a:prstGeom prst="rect"/>
                  </pic:spPr>
                </pic:pic>
              </a:graphicData>
            </a:graphic>
          </wp:inline>
        </w:drawing>
      </w:r>
    </w:p>
    <w:p>
      <w:pPr>
        <w:jc w:val="center"/>
      </w:pPr>
      <w:r>
        <w:rPr>
          <w:b/>
          <w:i/>
          <w:color w:val="1F4E78"/>
          <w:sz w:val="18"/>
        </w:rPr>
        <w:t>Figure 2. Four consecutive middle planes (z34-z37). The same saved ROI is applied to every plane; pixels outside it do not enter threshold estimation or segmentation.</w:t>
      </w:r>
    </w:p>
    <w:p>
      <w:pPr>
        <w:pStyle w:val="Heading1"/>
      </w:pPr>
      <w:r>
        <w:t>3. ROI-Aware Preprocessing</w:t>
      </w:r>
    </w:p>
    <w:p>
      <w:r>
        <w:t>Saturn samples intensity statistics across the stack inside the valid ROI. The stack-level range is blended with per-slice statistics so contrast can adapt to local signal without allowing off-ROI tissue to dominate. Denoising and background estimation operate on an ROI-aware crop, and all masks and skeletons are clipped back to the valid ROI.</w:t>
      </w:r>
    </w:p>
    <w:p>
      <w:pPr>
        <w:jc w:val="center"/>
      </w:pPr>
      <w:r>
        <w:drawing>
          <wp:inline xmlns:a="http://schemas.openxmlformats.org/drawingml/2006/main" xmlns:pic="http://schemas.openxmlformats.org/drawingml/2006/picture">
            <wp:extent cx="6400800" cy="6400800"/>
            <wp:docPr id="3" name="Picture 3"/>
            <wp:cNvGraphicFramePr>
              <a:graphicFrameLocks noChangeAspect="1"/>
            </wp:cNvGraphicFramePr>
            <a:graphic>
              <a:graphicData uri="http://schemas.openxmlformats.org/drawingml/2006/picture">
                <pic:pic>
                  <pic:nvPicPr>
                    <pic:cNvPr id="0" name="figure_03_processing_stages_z35.png"/>
                    <pic:cNvPicPr/>
                  </pic:nvPicPr>
                  <pic:blipFill>
                    <a:blip r:embed="rId13"/>
                    <a:stretch>
                      <a:fillRect/>
                    </a:stretch>
                  </pic:blipFill>
                  <pic:spPr>
                    <a:xfrm>
                      <a:off x="0" y="0"/>
                      <a:ext cx="6400800" cy="6400800"/>
                    </a:xfrm>
                    <a:prstGeom prst="rect"/>
                  </pic:spPr>
                </pic:pic>
              </a:graphicData>
            </a:graphic>
          </wp:inline>
        </w:drawing>
      </w:r>
    </w:p>
    <w:p>
      <w:pPr>
        <w:jc w:val="center"/>
      </w:pPr>
      <w:r>
        <w:rPr>
          <w:b/>
          <w:i/>
          <w:color w:val="1F4E78"/>
          <w:sz w:val="18"/>
        </w:rPr>
        <w:t>Figure 3. Real z35 processing stages: robust normalization, denoising, CLAHE, background subtraction, ridge response, masks, skeleton operations, and U-Net probability evidence.</w:t>
      </w:r>
    </w:p>
    <w:p>
      <w:pPr>
        <w:pStyle w:val="ListBullet"/>
        <w:spacing w:after="40"/>
      </w:pPr>
      <w:r>
        <w:t>Robust normalization: stack and slice percentiles stabilize dynamic range.</w:t>
      </w:r>
    </w:p>
    <w:p>
      <w:pPr>
        <w:pStyle w:val="ListBullet"/>
        <w:spacing w:after="40"/>
      </w:pPr>
      <w:r>
        <w:t>CLAHE: enhances local contrast within the ROI.</w:t>
      </w:r>
    </w:p>
    <w:p>
      <w:pPr>
        <w:pStyle w:val="ListBullet"/>
        <w:spacing w:after="40"/>
      </w:pPr>
      <w:r>
        <w:t>Background subtraction: reduces broad tissue intensity while retaining narrow elongated structures.</w:t>
      </w:r>
    </w:p>
    <w:p>
      <w:pPr>
        <w:pStyle w:val="ListBullet"/>
        <w:spacing w:after="40"/>
      </w:pPr>
      <w:r>
        <w:t>Multiscale ridge response: emphasizes line-like nuclei over broad edges and round puncta.</w:t>
      </w:r>
    </w:p>
    <w:p>
      <w:pPr>
        <w:pStyle w:val="ListBullet"/>
        <w:spacing w:after="40"/>
      </w:pPr>
      <w:r>
        <w:t>Hysteresis and cleanup: connect confident ridge pixels and remove small unsupported foreground.</w:t>
      </w:r>
    </w:p>
    <w:p>
      <w:pPr>
        <w:pStyle w:val="ListBullet"/>
        <w:spacing w:after="40"/>
      </w:pPr>
      <w:r>
        <w:t>Bridging and pruning: repair short centerline gaps conservatively and remove incompatible topology.</w:t>
      </w:r>
    </w:p>
    <w:p>
      <w:pPr>
        <w:pStyle w:val="Heading1"/>
      </w:pPr>
      <w:r>
        <w:t>4. Hybrid U-Net Rescue</w:t>
      </w:r>
    </w:p>
    <w:p>
      <w:r>
        <w:t>The 2.5D U-Net sees the previous, current, and next Z planes as channels and returns a probability map for the center plane. Saturn uses that map as evidence rather than as a COCO annotation. A low candidate threshold preserves faint possibilities, a higher seed threshold identifies confident cores, and watershed-style instance splitting separates connected probability regions before centerline measurement.</w:t>
      </w:r>
    </w:p>
    <w:p>
      <w:pPr>
        <w:jc w:val="center"/>
      </w:pPr>
      <w:r>
        <w:drawing>
          <wp:inline xmlns:a="http://schemas.openxmlformats.org/drawingml/2006/main" xmlns:pic="http://schemas.openxmlformats.org/drawingml/2006/picture">
            <wp:extent cx="6400800" cy="3633395"/>
            <wp:docPr id="4" name="Picture 4"/>
            <wp:cNvGraphicFramePr>
              <a:graphicFrameLocks noChangeAspect="1"/>
            </wp:cNvGraphicFramePr>
            <a:graphic>
              <a:graphicData uri="http://schemas.openxmlformats.org/drawingml/2006/picture">
                <pic:pic>
                  <pic:nvPicPr>
                    <pic:cNvPr id="0" name="figure_04b_unet_vision_and_integration.png"/>
                    <pic:cNvPicPr/>
                  </pic:nvPicPr>
                  <pic:blipFill>
                    <a:blip r:embed="rId14"/>
                    <a:stretch>
                      <a:fillRect/>
                    </a:stretch>
                  </pic:blipFill>
                  <pic:spPr>
                    <a:xfrm>
                      <a:off x="0" y="0"/>
                      <a:ext cx="6400800" cy="3633395"/>
                    </a:xfrm>
                    <a:prstGeom prst="rect"/>
                  </pic:spPr>
                </pic:pic>
              </a:graphicData>
            </a:graphic>
          </wp:inline>
        </w:drawing>
      </w:r>
    </w:p>
    <w:p>
      <w:pPr>
        <w:jc w:val="center"/>
      </w:pPr>
      <w:r>
        <w:rPr>
          <w:b/>
          <w:i/>
          <w:color w:val="1F4E78"/>
          <w:sz w:val="18"/>
        </w:rPr>
        <w:t>Figure 4. How the 2.5D U-Net sees z35. The model receives z34, z35, and z36 as separate grayscale channels, predicts center-plane probability, and passes candidate and seed evidence into Saturn instance splitting and measurement. The RGB panel is only a visualization of the three channels.</w:t>
      </w:r>
    </w:p>
    <w:tbl>
      <w:tblPr>
        <w:tblStyle w:val="TableGrid"/>
        <w:tblW w:type="auto" w:w="0"/>
        <w:jc w:val="center"/>
        <w:tblLook w:firstColumn="1" w:firstRow="1" w:lastColumn="0" w:lastRow="0" w:noHBand="0" w:noVBand="1" w:val="04A0"/>
      </w:tblPr>
      <w:tblGrid>
        <w:gridCol w:w="3389"/>
        <w:gridCol w:w="3389"/>
        <w:gridCol w:w="3389"/>
      </w:tblGrid>
      <w:tr>
        <w:tc>
          <w:tcPr>
            <w:tcW w:type="dxa" w:w="1800"/>
            <w:vAlign w:val="center"/>
            <w:shd w:fill="1F4E78"/>
          </w:tcPr>
          <w:p>
            <w:r/>
            <w:r>
              <w:rPr>
                <w:b/>
                <w:color w:val="FFFFFF"/>
                <w:sz w:val="16"/>
              </w:rPr>
              <w:t>Integration stage</w:t>
            </w:r>
          </w:p>
        </w:tc>
        <w:tc>
          <w:tcPr>
            <w:tcW w:type="dxa" w:w="4752"/>
            <w:vAlign w:val="center"/>
            <w:shd w:fill="1F4E78"/>
          </w:tcPr>
          <w:p>
            <w:r/>
            <w:r>
              <w:rPr>
                <w:b/>
                <w:color w:val="FFFFFF"/>
                <w:sz w:val="16"/>
              </w:rPr>
              <w:t>What happens</w:t>
            </w:r>
          </w:p>
        </w:tc>
        <w:tc>
          <w:tcPr>
            <w:tcW w:type="dxa" w:w="3384"/>
            <w:vAlign w:val="center"/>
            <w:shd w:fill="1F4E78"/>
          </w:tcPr>
          <w:p>
            <w:r/>
            <w:r>
              <w:rPr>
                <w:b/>
                <w:color w:val="FFFFFF"/>
                <w:sz w:val="16"/>
              </w:rPr>
              <w:t>Effect on reported measurements</w:t>
            </w:r>
          </w:p>
        </w:tc>
      </w:tr>
      <w:tr>
        <w:tc>
          <w:tcPr>
            <w:tcW w:type="dxa" w:w="1800"/>
            <w:vAlign w:val="center"/>
          </w:tcPr>
          <w:p>
            <w:r/>
            <w:r>
              <w:rPr>
                <w:b w:val="0"/>
                <w:sz w:val="16"/>
              </w:rPr>
              <w:t>Three-plane context</w:t>
            </w:r>
          </w:p>
        </w:tc>
        <w:tc>
          <w:tcPr>
            <w:tcW w:type="dxa" w:w="4752"/>
            <w:vAlign w:val="center"/>
          </w:tcPr>
          <w:p>
            <w:r/>
            <w:r>
              <w:rPr>
                <w:b w:val="0"/>
                <w:sz w:val="16"/>
              </w:rPr>
              <w:t>The previous, center, and next planes form the 2.5D model input for the center plane.</w:t>
            </w:r>
          </w:p>
        </w:tc>
        <w:tc>
          <w:tcPr>
            <w:tcW w:type="dxa" w:w="3384"/>
            <w:vAlign w:val="center"/>
          </w:tcPr>
          <w:p>
            <w:r/>
            <w:r>
              <w:rPr>
                <w:b w:val="0"/>
                <w:sz w:val="16"/>
              </w:rPr>
              <w:t>Adds local Z evidence without counting adjacent planes as separate outputs.</w:t>
            </w:r>
          </w:p>
        </w:tc>
      </w:tr>
      <w:tr>
        <w:tc>
          <w:tcPr>
            <w:tcW w:type="dxa" w:w="1800"/>
            <w:vAlign w:val="center"/>
            <w:shd w:fill="F3F6F8"/>
          </w:tcPr>
          <w:p>
            <w:r/>
            <w:r>
              <w:rPr>
                <w:b w:val="0"/>
                <w:sz w:val="16"/>
              </w:rPr>
              <w:t>Probability inference</w:t>
            </w:r>
          </w:p>
        </w:tc>
        <w:tc>
          <w:tcPr>
            <w:tcW w:type="dxa" w:w="4752"/>
            <w:vAlign w:val="center"/>
            <w:shd w:fill="F3F6F8"/>
          </w:tcPr>
          <w:p>
            <w:r/>
            <w:r>
              <w:rPr>
                <w:b w:val="0"/>
                <w:sz w:val="16"/>
              </w:rPr>
              <w:t>The model predicts a continuous sperm-nucleus probability map; tiled crops are blended before thresholding.</w:t>
            </w:r>
          </w:p>
        </w:tc>
        <w:tc>
          <w:tcPr>
            <w:tcW w:type="dxa" w:w="3384"/>
            <w:vAlign w:val="center"/>
            <w:shd w:fill="F3F6F8"/>
          </w:tcPr>
          <w:p>
            <w:r/>
            <w:r>
              <w:rPr>
                <w:b w:val="0"/>
                <w:sz w:val="16"/>
              </w:rPr>
              <w:t>No count or morphology is produced yet.</w:t>
            </w:r>
          </w:p>
        </w:tc>
      </w:tr>
      <w:tr>
        <w:tc>
          <w:tcPr>
            <w:tcW w:type="dxa" w:w="1800"/>
            <w:vAlign w:val="center"/>
          </w:tcPr>
          <w:p>
            <w:r/>
            <w:r>
              <w:rPr>
                <w:b w:val="0"/>
                <w:sz w:val="16"/>
              </w:rPr>
              <w:t>Candidate support</w:t>
            </w:r>
          </w:p>
        </w:tc>
        <w:tc>
          <w:tcPr>
            <w:tcW w:type="dxa" w:w="4752"/>
            <w:vAlign w:val="center"/>
          </w:tcPr>
          <w:p>
            <w:r/>
            <w:r>
              <w:rPr>
                <w:b w:val="0"/>
                <w:sz w:val="16"/>
              </w:rPr>
              <w:t>A low probability cutoff preserves inclusive faint evidence inside the ROI.</w:t>
            </w:r>
          </w:p>
        </w:tc>
        <w:tc>
          <w:tcPr>
            <w:tcW w:type="dxa" w:w="3384"/>
            <w:vAlign w:val="center"/>
          </w:tcPr>
          <w:p>
            <w:r/>
            <w:r>
              <w:rPr>
                <w:b w:val="0"/>
                <w:sz w:val="16"/>
              </w:rPr>
              <w:t>Defines possibilities, not accepted nuclei.</w:t>
            </w:r>
          </w:p>
        </w:tc>
      </w:tr>
      <w:tr>
        <w:tc>
          <w:tcPr>
            <w:tcW w:type="dxa" w:w="1800"/>
            <w:vAlign w:val="center"/>
            <w:shd w:fill="F3F6F8"/>
          </w:tcPr>
          <w:p>
            <w:r/>
            <w:r>
              <w:rPr>
                <w:b w:val="0"/>
                <w:sz w:val="16"/>
              </w:rPr>
              <w:t>Confident seeds</w:t>
            </w:r>
          </w:p>
        </w:tc>
        <w:tc>
          <w:tcPr>
            <w:tcW w:type="dxa" w:w="4752"/>
            <w:vAlign w:val="center"/>
            <w:shd w:fill="F3F6F8"/>
          </w:tcPr>
          <w:p>
            <w:r/>
            <w:r>
              <w:rPr>
                <w:b w:val="0"/>
                <w:sz w:val="16"/>
              </w:rPr>
              <w:t>Higher-probability cores provide seeds for connected-region separation.</w:t>
            </w:r>
          </w:p>
        </w:tc>
        <w:tc>
          <w:tcPr>
            <w:tcW w:type="dxa" w:w="3384"/>
            <w:vAlign w:val="center"/>
            <w:shd w:fill="F3F6F8"/>
          </w:tcPr>
          <w:p>
            <w:r/>
            <w:r>
              <w:rPr>
                <w:b w:val="0"/>
                <w:sz w:val="16"/>
              </w:rPr>
              <w:t>Helps split touching probability regions before measurement.</w:t>
            </w:r>
          </w:p>
        </w:tc>
      </w:tr>
      <w:tr>
        <w:tc>
          <w:tcPr>
            <w:tcW w:type="dxa" w:w="1800"/>
            <w:vAlign w:val="center"/>
          </w:tcPr>
          <w:p>
            <w:r/>
            <w:r>
              <w:rPr>
                <w:b w:val="0"/>
                <w:sz w:val="16"/>
              </w:rPr>
              <w:t>Instance splitting</w:t>
            </w:r>
          </w:p>
        </w:tc>
        <w:tc>
          <w:tcPr>
            <w:tcW w:type="dxa" w:w="4752"/>
            <w:vAlign w:val="center"/>
          </w:tcPr>
          <w:p>
            <w:r/>
            <w:r>
              <w:rPr>
                <w:b w:val="0"/>
                <w:sz w:val="16"/>
              </w:rPr>
              <w:t>Probability topology and seed locations divide connected regions into candidate instances.</w:t>
            </w:r>
          </w:p>
        </w:tc>
        <w:tc>
          <w:tcPr>
            <w:tcW w:type="dxa" w:w="3384"/>
            <w:vAlign w:val="center"/>
          </w:tcPr>
          <w:p>
            <w:r/>
            <w:r>
              <w:rPr>
                <w:b w:val="0"/>
                <w:sz w:val="16"/>
              </w:rPr>
              <w:t>Prevents one connected probability mass from automatically becoming one giant nucleus.</w:t>
            </w:r>
          </w:p>
        </w:tc>
      </w:tr>
      <w:tr>
        <w:tc>
          <w:tcPr>
            <w:tcW w:type="dxa" w:w="1800"/>
            <w:vAlign w:val="center"/>
            <w:shd w:fill="F3F6F8"/>
          </w:tcPr>
          <w:p>
            <w:r/>
            <w:r>
              <w:rPr>
                <w:b w:val="0"/>
                <w:sz w:val="16"/>
              </w:rPr>
              <w:t>Duplicate exclusion</w:t>
            </w:r>
          </w:p>
        </w:tc>
        <w:tc>
          <w:tcPr>
            <w:tcW w:type="dxa" w:w="4752"/>
            <w:vAlign w:val="center"/>
            <w:shd w:fill="F3F6F8"/>
          </w:tcPr>
          <w:p>
            <w:r/>
            <w:r>
              <w:rPr>
                <w:b w:val="0"/>
                <w:sz w:val="16"/>
              </w:rPr>
              <w:t>Regions already occupied by accepted classical centerlines are excluded from the rescue lane.</w:t>
            </w:r>
          </w:p>
        </w:tc>
        <w:tc>
          <w:tcPr>
            <w:tcW w:type="dxa" w:w="3384"/>
            <w:vAlign w:val="center"/>
            <w:shd w:fill="F3F6F8"/>
          </w:tcPr>
          <w:p>
            <w:r/>
            <w:r>
              <w:rPr>
                <w:b w:val="0"/>
                <w:sz w:val="16"/>
              </w:rPr>
              <w:t>Avoids counting the same nucleus twice.</w:t>
            </w:r>
          </w:p>
        </w:tc>
      </w:tr>
      <w:tr>
        <w:tc>
          <w:tcPr>
            <w:tcW w:type="dxa" w:w="1800"/>
            <w:vAlign w:val="center"/>
          </w:tcPr>
          <w:p>
            <w:r/>
            <w:r>
              <w:rPr>
                <w:b w:val="0"/>
                <w:sz w:val="16"/>
              </w:rPr>
              <w:t>Saturn measurement gate</w:t>
            </w:r>
          </w:p>
        </w:tc>
        <w:tc>
          <w:tcPr>
            <w:tcW w:type="dxa" w:w="4752"/>
            <w:vAlign w:val="center"/>
          </w:tcPr>
          <w:p>
            <w:r/>
            <w:r>
              <w:rPr>
                <w:b w:val="0"/>
                <w:sz w:val="16"/>
              </w:rPr>
              <w:t>Candidate centerlines are measured for length, width, ratio, topology, tortuosity, and probability support.</w:t>
            </w:r>
          </w:p>
        </w:tc>
        <w:tc>
          <w:tcPr>
            <w:tcW w:type="dxa" w:w="3384"/>
            <w:vAlign w:val="center"/>
          </w:tcPr>
          <w:p>
            <w:r/>
            <w:r>
              <w:rPr>
                <w:b w:val="0"/>
                <w:sz w:val="16"/>
              </w:rPr>
              <w:t>Only accepted undilated centerlines enter counts and tracking.</w:t>
            </w:r>
          </w:p>
        </w:tc>
      </w:tr>
      <w:tr>
        <w:tc>
          <w:tcPr>
            <w:tcW w:type="dxa" w:w="1800"/>
            <w:vAlign w:val="center"/>
            <w:shd w:fill="F3F6F8"/>
          </w:tcPr>
          <w:p>
            <w:r/>
            <w:r>
              <w:rPr>
                <w:b w:val="0"/>
                <w:sz w:val="16"/>
              </w:rPr>
              <w:t>Provenance and tracking</w:t>
            </w:r>
          </w:p>
        </w:tc>
        <w:tc>
          <w:tcPr>
            <w:tcW w:type="dxa" w:w="4752"/>
            <w:vAlign w:val="center"/>
            <w:shd w:fill="F3F6F8"/>
          </w:tcPr>
          <w:p>
            <w:r/>
            <w:r>
              <w:rPr>
                <w:b w:val="0"/>
                <w:sz w:val="16"/>
              </w:rPr>
              <w:t>Rows retain classical or U-Net-rescued source labels and optional U-Net confidence.</w:t>
            </w:r>
          </w:p>
        </w:tc>
        <w:tc>
          <w:tcPr>
            <w:tcW w:type="dxa" w:w="3384"/>
            <w:vAlign w:val="center"/>
            <w:shd w:fill="F3F6F8"/>
          </w:tcPr>
          <w:p>
            <w:r/>
            <w:r>
              <w:rPr>
                <w:b w:val="0"/>
                <w:sz w:val="16"/>
              </w:rPr>
              <w:t>Enables source-specific audit and confidence-supported cross-slice linking.</w:t>
            </w:r>
          </w:p>
        </w:tc>
      </w:tr>
    </w:tbl>
    <w:p>
      <w:pPr>
        <w:jc w:val="center"/>
      </w:pPr>
      <w:r>
        <w:drawing>
          <wp:inline xmlns:a="http://schemas.openxmlformats.org/drawingml/2006/main" xmlns:pic="http://schemas.openxmlformats.org/drawingml/2006/picture">
            <wp:extent cx="6172200" cy="5611091"/>
            <wp:docPr id="5" name="Picture 5"/>
            <wp:cNvGraphicFramePr>
              <a:graphicFrameLocks noChangeAspect="1"/>
            </wp:cNvGraphicFramePr>
            <a:graphic>
              <a:graphicData uri="http://schemas.openxmlformats.org/drawingml/2006/picture">
                <pic:pic>
                  <pic:nvPicPr>
                    <pic:cNvPr id="0" name="figure_04_hybrid_detection_overlays.png"/>
                    <pic:cNvPicPr/>
                  </pic:nvPicPr>
                  <pic:blipFill>
                    <a:blip r:embed="rId15"/>
                    <a:stretch>
                      <a:fillRect/>
                    </a:stretch>
                  </pic:blipFill>
                  <pic:spPr>
                    <a:xfrm>
                      <a:off x="0" y="0"/>
                      <a:ext cx="6172200" cy="5611091"/>
                    </a:xfrm>
                    <a:prstGeom prst="rect"/>
                  </pic:spPr>
                </pic:pic>
              </a:graphicData>
            </a:graphic>
          </wp:inline>
        </w:drawing>
      </w:r>
    </w:p>
    <w:p>
      <w:pPr>
        <w:jc w:val="center"/>
      </w:pPr>
      <w:r>
        <w:rPr>
          <w:b/>
          <w:i/>
          <w:color w:val="1F4E78"/>
          <w:sz w:val="18"/>
        </w:rPr>
        <w:t>Figure 5. Hybrid detections on z34-z37. Green is accepted classical Saturn; cyan is accepted U-Net rescue; magenta, orange, and red show rejected U-Net candidates by audit class.</w:t>
      </w:r>
    </w:p>
    <w:p>
      <w:r>
        <w:t>The colored overlays are review graphics. Their lines are dilated to a common visible thickness only during rendering. Counting, length, width, area, and tracking use the original one-pixel centerline and undilated masks.</w:t>
      </w:r>
    </w:p>
    <w:tbl>
      <w:tblPr>
        <w:tblStyle w:val="TableGrid"/>
        <w:tblW w:type="auto" w:w="0"/>
        <w:jc w:val="center"/>
        <w:tblLook w:firstColumn="1" w:firstRow="1" w:lastColumn="0" w:lastRow="0" w:noHBand="0" w:noVBand="1" w:val="04A0"/>
      </w:tblPr>
      <w:tblGrid>
        <w:gridCol w:w="1694"/>
        <w:gridCol w:w="1694"/>
        <w:gridCol w:w="1694"/>
        <w:gridCol w:w="1694"/>
        <w:gridCol w:w="1694"/>
        <w:gridCol w:w="1694"/>
      </w:tblGrid>
      <w:tr>
        <w:tc>
          <w:tcPr>
            <w:tcW w:type="dxa" w:w="1008"/>
            <w:vAlign w:val="center"/>
            <w:shd w:fill="1F4E78"/>
          </w:tcPr>
          <w:p>
            <w:r/>
            <w:r>
              <w:rPr>
                <w:b/>
                <w:color w:val="FFFFFF"/>
                <w:sz w:val="16"/>
              </w:rPr>
              <w:t>Plane</w:t>
            </w:r>
          </w:p>
        </w:tc>
        <w:tc>
          <w:tcPr>
            <w:tcW w:type="dxa" w:w="1296"/>
            <w:vAlign w:val="center"/>
            <w:shd w:fill="1F4E78"/>
          </w:tcPr>
          <w:p>
            <w:r/>
            <w:r>
              <w:rPr>
                <w:b/>
                <w:color w:val="FFFFFF"/>
                <w:sz w:val="16"/>
              </w:rPr>
              <w:t>Accepted 2D</w:t>
            </w:r>
          </w:p>
        </w:tc>
        <w:tc>
          <w:tcPr>
            <w:tcW w:type="dxa" w:w="1152"/>
            <w:vAlign w:val="center"/>
            <w:shd w:fill="1F4E78"/>
          </w:tcPr>
          <w:p>
            <w:r/>
            <w:r>
              <w:rPr>
                <w:b/>
                <w:color w:val="FFFFFF"/>
                <w:sz w:val="16"/>
              </w:rPr>
              <w:t>Classical</w:t>
            </w:r>
          </w:p>
        </w:tc>
        <w:tc>
          <w:tcPr>
            <w:tcW w:type="dxa" w:w="1296"/>
            <w:vAlign w:val="center"/>
            <w:shd w:fill="1F4E78"/>
          </w:tcPr>
          <w:p>
            <w:r/>
            <w:r>
              <w:rPr>
                <w:b/>
                <w:color w:val="FFFFFF"/>
                <w:sz w:val="16"/>
              </w:rPr>
              <w:t>U-Net rescue</w:t>
            </w:r>
          </w:p>
        </w:tc>
        <w:tc>
          <w:tcPr>
            <w:tcW w:type="dxa" w:w="2016"/>
            <w:vAlign w:val="center"/>
            <w:shd w:fill="1F4E78"/>
          </w:tcPr>
          <w:p>
            <w:r/>
            <w:r>
              <w:rPr>
                <w:b/>
                <w:color w:val="FFFFFF"/>
                <w:sz w:val="16"/>
              </w:rPr>
              <w:t>Median length (um)</w:t>
            </w:r>
          </w:p>
        </w:tc>
        <w:tc>
          <w:tcPr>
            <w:tcW w:type="dxa" w:w="1944"/>
            <w:vAlign w:val="center"/>
            <w:shd w:fill="1F4E78"/>
          </w:tcPr>
          <w:p>
            <w:r/>
            <w:r>
              <w:rPr>
                <w:b/>
                <w:color w:val="FFFFFF"/>
                <w:sz w:val="16"/>
              </w:rPr>
              <w:t>Median width (um)</w:t>
            </w:r>
          </w:p>
        </w:tc>
      </w:tr>
      <w:tr>
        <w:tc>
          <w:tcPr>
            <w:tcW w:type="dxa" w:w="1008"/>
            <w:vAlign w:val="center"/>
          </w:tcPr>
          <w:p>
            <w:r/>
            <w:r>
              <w:rPr>
                <w:b w:val="0"/>
                <w:sz w:val="16"/>
              </w:rPr>
              <w:t>z34</w:t>
            </w:r>
          </w:p>
        </w:tc>
        <w:tc>
          <w:tcPr>
            <w:tcW w:type="dxa" w:w="1296"/>
            <w:vAlign w:val="center"/>
          </w:tcPr>
          <w:p>
            <w:r/>
            <w:r>
              <w:rPr>
                <w:b w:val="0"/>
                <w:sz w:val="16"/>
              </w:rPr>
              <w:t>355</w:t>
            </w:r>
          </w:p>
        </w:tc>
        <w:tc>
          <w:tcPr>
            <w:tcW w:type="dxa" w:w="1152"/>
            <w:vAlign w:val="center"/>
          </w:tcPr>
          <w:p>
            <w:r/>
            <w:r>
              <w:rPr>
                <w:b w:val="0"/>
                <w:sz w:val="16"/>
              </w:rPr>
              <w:t>246</w:t>
            </w:r>
          </w:p>
        </w:tc>
        <w:tc>
          <w:tcPr>
            <w:tcW w:type="dxa" w:w="1296"/>
            <w:vAlign w:val="center"/>
          </w:tcPr>
          <w:p>
            <w:r/>
            <w:r>
              <w:rPr>
                <w:b w:val="0"/>
                <w:sz w:val="16"/>
              </w:rPr>
              <w:t>109</w:t>
            </w:r>
          </w:p>
        </w:tc>
        <w:tc>
          <w:tcPr>
            <w:tcW w:type="dxa" w:w="2016"/>
            <w:vAlign w:val="center"/>
          </w:tcPr>
          <w:p>
            <w:r/>
            <w:r>
              <w:rPr>
                <w:b w:val="0"/>
                <w:sz w:val="16"/>
              </w:rPr>
              <w:t>11.85</w:t>
            </w:r>
          </w:p>
        </w:tc>
        <w:tc>
          <w:tcPr>
            <w:tcW w:type="dxa" w:w="1944"/>
            <w:vAlign w:val="center"/>
          </w:tcPr>
          <w:p>
            <w:r/>
            <w:r>
              <w:rPr>
                <w:b w:val="0"/>
                <w:sz w:val="16"/>
              </w:rPr>
              <w:t>3.03</w:t>
            </w:r>
          </w:p>
        </w:tc>
      </w:tr>
      <w:tr>
        <w:tc>
          <w:tcPr>
            <w:tcW w:type="dxa" w:w="1008"/>
            <w:vAlign w:val="center"/>
            <w:shd w:fill="F3F6F8"/>
          </w:tcPr>
          <w:p>
            <w:r/>
            <w:r>
              <w:rPr>
                <w:b w:val="0"/>
                <w:sz w:val="16"/>
              </w:rPr>
              <w:t>z35</w:t>
            </w:r>
          </w:p>
        </w:tc>
        <w:tc>
          <w:tcPr>
            <w:tcW w:type="dxa" w:w="1296"/>
            <w:vAlign w:val="center"/>
            <w:shd w:fill="F3F6F8"/>
          </w:tcPr>
          <w:p>
            <w:r/>
            <w:r>
              <w:rPr>
                <w:b w:val="0"/>
                <w:sz w:val="16"/>
              </w:rPr>
              <w:t>347</w:t>
            </w:r>
          </w:p>
        </w:tc>
        <w:tc>
          <w:tcPr>
            <w:tcW w:type="dxa" w:w="1152"/>
            <w:vAlign w:val="center"/>
            <w:shd w:fill="F3F6F8"/>
          </w:tcPr>
          <w:p>
            <w:r/>
            <w:r>
              <w:rPr>
                <w:b w:val="0"/>
                <w:sz w:val="16"/>
              </w:rPr>
              <w:t>255</w:t>
            </w:r>
          </w:p>
        </w:tc>
        <w:tc>
          <w:tcPr>
            <w:tcW w:type="dxa" w:w="1296"/>
            <w:vAlign w:val="center"/>
            <w:shd w:fill="F3F6F8"/>
          </w:tcPr>
          <w:p>
            <w:r/>
            <w:r>
              <w:rPr>
                <w:b w:val="0"/>
                <w:sz w:val="16"/>
              </w:rPr>
              <w:t>92</w:t>
            </w:r>
          </w:p>
        </w:tc>
        <w:tc>
          <w:tcPr>
            <w:tcW w:type="dxa" w:w="2016"/>
            <w:vAlign w:val="center"/>
            <w:shd w:fill="F3F6F8"/>
          </w:tcPr>
          <w:p>
            <w:r/>
            <w:r>
              <w:rPr>
                <w:b w:val="0"/>
                <w:sz w:val="16"/>
              </w:rPr>
              <w:t>12.29</w:t>
            </w:r>
          </w:p>
        </w:tc>
        <w:tc>
          <w:tcPr>
            <w:tcW w:type="dxa" w:w="1944"/>
            <w:vAlign w:val="center"/>
            <w:shd w:fill="F3F6F8"/>
          </w:tcPr>
          <w:p>
            <w:r/>
            <w:r>
              <w:rPr>
                <w:b w:val="0"/>
                <w:sz w:val="16"/>
              </w:rPr>
              <w:t>3.03</w:t>
            </w:r>
          </w:p>
        </w:tc>
      </w:tr>
      <w:tr>
        <w:tc>
          <w:tcPr>
            <w:tcW w:type="dxa" w:w="1008"/>
            <w:vAlign w:val="center"/>
          </w:tcPr>
          <w:p>
            <w:r/>
            <w:r>
              <w:rPr>
                <w:b w:val="0"/>
                <w:sz w:val="16"/>
              </w:rPr>
              <w:t>z36</w:t>
            </w:r>
          </w:p>
        </w:tc>
        <w:tc>
          <w:tcPr>
            <w:tcW w:type="dxa" w:w="1296"/>
            <w:vAlign w:val="center"/>
          </w:tcPr>
          <w:p>
            <w:r/>
            <w:r>
              <w:rPr>
                <w:b w:val="0"/>
                <w:sz w:val="16"/>
              </w:rPr>
              <w:t>370</w:t>
            </w:r>
          </w:p>
        </w:tc>
        <w:tc>
          <w:tcPr>
            <w:tcW w:type="dxa" w:w="1152"/>
            <w:vAlign w:val="center"/>
          </w:tcPr>
          <w:p>
            <w:r/>
            <w:r>
              <w:rPr>
                <w:b w:val="0"/>
                <w:sz w:val="16"/>
              </w:rPr>
              <w:t>273</w:t>
            </w:r>
          </w:p>
        </w:tc>
        <w:tc>
          <w:tcPr>
            <w:tcW w:type="dxa" w:w="1296"/>
            <w:vAlign w:val="center"/>
          </w:tcPr>
          <w:p>
            <w:r/>
            <w:r>
              <w:rPr>
                <w:b w:val="0"/>
                <w:sz w:val="16"/>
              </w:rPr>
              <w:t>97</w:t>
            </w:r>
          </w:p>
        </w:tc>
        <w:tc>
          <w:tcPr>
            <w:tcW w:type="dxa" w:w="2016"/>
            <w:vAlign w:val="center"/>
          </w:tcPr>
          <w:p>
            <w:r/>
            <w:r>
              <w:rPr>
                <w:b w:val="0"/>
                <w:sz w:val="16"/>
              </w:rPr>
              <w:t>11.67</w:t>
            </w:r>
          </w:p>
        </w:tc>
        <w:tc>
          <w:tcPr>
            <w:tcW w:type="dxa" w:w="1944"/>
            <w:vAlign w:val="center"/>
          </w:tcPr>
          <w:p>
            <w:r/>
            <w:r>
              <w:rPr>
                <w:b w:val="0"/>
                <w:sz w:val="16"/>
              </w:rPr>
              <w:t>3.03</w:t>
            </w:r>
          </w:p>
        </w:tc>
      </w:tr>
      <w:tr>
        <w:tc>
          <w:tcPr>
            <w:tcW w:type="dxa" w:w="1008"/>
            <w:vAlign w:val="center"/>
            <w:shd w:fill="F3F6F8"/>
          </w:tcPr>
          <w:p>
            <w:r/>
            <w:r>
              <w:rPr>
                <w:b w:val="0"/>
                <w:sz w:val="16"/>
              </w:rPr>
              <w:t>z37</w:t>
            </w:r>
          </w:p>
        </w:tc>
        <w:tc>
          <w:tcPr>
            <w:tcW w:type="dxa" w:w="1296"/>
            <w:vAlign w:val="center"/>
            <w:shd w:fill="F3F6F8"/>
          </w:tcPr>
          <w:p>
            <w:r/>
            <w:r>
              <w:rPr>
                <w:b w:val="0"/>
                <w:sz w:val="16"/>
              </w:rPr>
              <w:t>362</w:t>
            </w:r>
          </w:p>
        </w:tc>
        <w:tc>
          <w:tcPr>
            <w:tcW w:type="dxa" w:w="1152"/>
            <w:vAlign w:val="center"/>
            <w:shd w:fill="F3F6F8"/>
          </w:tcPr>
          <w:p>
            <w:r/>
            <w:r>
              <w:rPr>
                <w:b w:val="0"/>
                <w:sz w:val="16"/>
              </w:rPr>
              <w:t>262</w:t>
            </w:r>
          </w:p>
        </w:tc>
        <w:tc>
          <w:tcPr>
            <w:tcW w:type="dxa" w:w="1296"/>
            <w:vAlign w:val="center"/>
            <w:shd w:fill="F3F6F8"/>
          </w:tcPr>
          <w:p>
            <w:r/>
            <w:r>
              <w:rPr>
                <w:b w:val="0"/>
                <w:sz w:val="16"/>
              </w:rPr>
              <w:t>100</w:t>
            </w:r>
          </w:p>
        </w:tc>
        <w:tc>
          <w:tcPr>
            <w:tcW w:type="dxa" w:w="2016"/>
            <w:vAlign w:val="center"/>
            <w:shd w:fill="F3F6F8"/>
          </w:tcPr>
          <w:p>
            <w:r/>
            <w:r>
              <w:rPr>
                <w:b w:val="0"/>
                <w:sz w:val="16"/>
              </w:rPr>
              <w:t>11.54</w:t>
            </w:r>
          </w:p>
        </w:tc>
        <w:tc>
          <w:tcPr>
            <w:tcW w:type="dxa" w:w="1944"/>
            <w:vAlign w:val="center"/>
            <w:shd w:fill="F3F6F8"/>
          </w:tcPr>
          <w:p>
            <w:r/>
            <w:r>
              <w:rPr>
                <w:b w:val="0"/>
                <w:sz w:val="16"/>
              </w:rPr>
              <w:t>3.03</w:t>
            </w:r>
          </w:p>
        </w:tc>
      </w:tr>
      <w:tr>
        <w:tc>
          <w:tcPr>
            <w:tcW w:type="dxa" w:w="1008"/>
            <w:vAlign w:val="center"/>
          </w:tcPr>
          <w:p>
            <w:r/>
            <w:r>
              <w:rPr>
                <w:b w:val="0"/>
                <w:sz w:val="16"/>
              </w:rPr>
              <w:t>Four-plane total</w:t>
            </w:r>
          </w:p>
        </w:tc>
        <w:tc>
          <w:tcPr>
            <w:tcW w:type="dxa" w:w="1296"/>
            <w:vAlign w:val="center"/>
          </w:tcPr>
          <w:p>
            <w:r/>
            <w:r>
              <w:rPr>
                <w:b w:val="0"/>
                <w:sz w:val="16"/>
              </w:rPr>
              <w:t>1434</w:t>
            </w:r>
          </w:p>
        </w:tc>
        <w:tc>
          <w:tcPr>
            <w:tcW w:type="dxa" w:w="1152"/>
            <w:vAlign w:val="center"/>
          </w:tcPr>
          <w:p>
            <w:r/>
            <w:r>
              <w:rPr>
                <w:b w:val="0"/>
                <w:sz w:val="16"/>
              </w:rPr>
              <w:t>1036</w:t>
            </w:r>
          </w:p>
        </w:tc>
        <w:tc>
          <w:tcPr>
            <w:tcW w:type="dxa" w:w="1296"/>
            <w:vAlign w:val="center"/>
          </w:tcPr>
          <w:p>
            <w:r/>
            <w:r>
              <w:rPr>
                <w:b w:val="0"/>
                <w:sz w:val="16"/>
              </w:rPr>
              <w:t>398</w:t>
            </w:r>
          </w:p>
        </w:tc>
        <w:tc>
          <w:tcPr>
            <w:tcW w:type="dxa" w:w="2016"/>
            <w:vAlign w:val="center"/>
          </w:tcPr>
          <w:p>
            <w:r/>
            <w:r>
              <w:rPr>
                <w:b w:val="0"/>
                <w:sz w:val="16"/>
              </w:rPr>
              <w:t>not pooled as unique nuclei</w:t>
            </w:r>
          </w:p>
        </w:tc>
        <w:tc>
          <w:tcPr>
            <w:tcW w:type="dxa" w:w="1944"/>
            <w:vAlign w:val="center"/>
          </w:tcPr>
          <w:p>
            <w:r/>
            <w:r>
              <w:rPr>
                <w:b w:val="0"/>
                <w:sz w:val="16"/>
              </w:rPr>
              <w:t>PSF-sensitive</w:t>
            </w:r>
          </w:p>
        </w:tc>
      </w:tr>
    </w:tbl>
    <w:p>
      <w:pPr>
        <w:pStyle w:val="Heading1"/>
      </w:pPr>
      <w:r>
        <w:t>5. Two-Dimensional Measurements</w:t>
      </w:r>
    </w:p>
    <w:p>
      <w:r>
        <w:t>Each accepted object is represented by a labeled centerline and its supporting cleaned mask. Measurements are calculated before any display dilation.</w:t>
      </w:r>
    </w:p>
    <w:p>
      <w:pPr>
        <w:jc w:val="center"/>
      </w:pPr>
      <w:r>
        <w:drawing>
          <wp:inline xmlns:a="http://schemas.openxmlformats.org/drawingml/2006/main" xmlns:pic="http://schemas.openxmlformats.org/drawingml/2006/picture">
            <wp:extent cx="6172200" cy="2089052"/>
            <wp:docPr id="6" name="Picture 6"/>
            <wp:cNvGraphicFramePr>
              <a:graphicFrameLocks noChangeAspect="1"/>
            </wp:cNvGraphicFramePr>
            <a:graphic>
              <a:graphicData uri="http://schemas.openxmlformats.org/drawingml/2006/picture">
                <pic:pic>
                  <pic:nvPicPr>
                    <pic:cNvPr id="0" name="figure_05_single_nucleus_measurement.png"/>
                    <pic:cNvPicPr/>
                  </pic:nvPicPr>
                  <pic:blipFill>
                    <a:blip r:embed="rId16"/>
                    <a:stretch>
                      <a:fillRect/>
                    </a:stretch>
                  </pic:blipFill>
                  <pic:spPr>
                    <a:xfrm>
                      <a:off x="0" y="0"/>
                      <a:ext cx="6172200" cy="2089052"/>
                    </a:xfrm>
                    <a:prstGeom prst="rect"/>
                  </pic:spPr>
                </pic:pic>
              </a:graphicData>
            </a:graphic>
          </wp:inline>
        </w:drawing>
      </w:r>
    </w:p>
    <w:p>
      <w:pPr>
        <w:jc w:val="center"/>
      </w:pPr>
      <w:r>
        <w:rPr>
          <w:b/>
          <w:i/>
          <w:color w:val="1F4E78"/>
          <w:sz w:val="18"/>
        </w:rPr>
        <w:t>Figure 6. Technical measurement of one complete accepted 2D nucleus. The middle panel shows the supporting-mask distance transform sampled along the undilated centerline. The right panel overlays the end-to-end centerline on the raw crop and records source, geodesic length, apparent width, length-to-width ratio, and tortuosity in the upper-left measurement block. Display-line thickness is not used in any calculation.</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2D geodesic length</w:t>
            </w:r>
          </w:p>
        </w:tc>
        <w:tc>
          <w:tcPr>
            <w:tcW w:type="dxa" w:w="5083"/>
          </w:tcPr>
          <w:p>
            <w:r/>
            <w:r>
              <w:rPr>
                <w:rFonts w:ascii="Consolas" w:hAnsi="Consolas"/>
                <w:b/>
                <w:sz w:val="18"/>
              </w:rPr>
              <w:t>L2D = sum(centerline edge lengths) x XY_um_per_pixel</w:t>
            </w:r>
          </w:p>
          <w:p>
            <w:pPr>
              <w:spacing w:after="0"/>
            </w:pPr>
            <w:r>
              <w:rPr>
                <w:sz w:val="17"/>
              </w:rPr>
              <w:t>Diagonal centerline steps contribute sqrt(2) pixels; orthogonal steps contribute 1 pixel.</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Median width</w:t>
            </w:r>
          </w:p>
        </w:tc>
        <w:tc>
          <w:tcPr>
            <w:tcW w:type="dxa" w:w="5083"/>
          </w:tcPr>
          <w:p>
            <w:r/>
            <w:r>
              <w:rPr>
                <w:rFonts w:ascii="Consolas" w:hAnsi="Consolas"/>
                <w:b/>
                <w:sz w:val="18"/>
              </w:rPr>
              <w:t>W2D = median[2 x distance_transform(mask)] along centerline x XY_um_per_pixel</w:t>
            </w:r>
          </w:p>
          <w:p>
            <w:pPr>
              <w:spacing w:after="0"/>
            </w:pPr>
            <w:r>
              <w:rPr>
                <w:sz w:val="17"/>
              </w:rPr>
              <w:t>This is an image-derived apparent width and can be broadened by the microscope point-spread function.</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Elongation</w:t>
            </w:r>
          </w:p>
        </w:tc>
        <w:tc>
          <w:tcPr>
            <w:tcW w:type="dxa" w:w="5083"/>
          </w:tcPr>
          <w:p>
            <w:r/>
            <w:r>
              <w:rPr>
                <w:rFonts w:ascii="Consolas" w:hAnsi="Consolas"/>
                <w:b/>
                <w:sz w:val="18"/>
              </w:rPr>
              <w:t>length-to-width ratio = L2D / W2D</w:t>
            </w:r>
          </w:p>
          <w:p>
            <w:pPr>
              <w:spacing w:after="0"/>
            </w:pPr>
            <w:r>
              <w:rPr>
                <w:sz w:val="17"/>
              </w:rPr>
              <w:t>Low values flag broad or round objects; they are not automatically evidence of a biological genotype effect.</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2D tortuosity</w:t>
            </w:r>
          </w:p>
        </w:tc>
        <w:tc>
          <w:tcPr>
            <w:tcW w:type="dxa" w:w="5083"/>
          </w:tcPr>
          <w:p>
            <w:r/>
            <w:r>
              <w:rPr>
                <w:rFonts w:ascii="Consolas" w:hAnsi="Consolas"/>
                <w:b/>
                <w:sz w:val="18"/>
              </w:rPr>
              <w:t>T2D = geodesic centerline length / endpoint Euclidean distance</w:t>
            </w:r>
          </w:p>
          <w:p>
            <w:pPr>
              <w:spacing w:after="0"/>
            </w:pPr>
            <w:r>
              <w:rPr>
                <w:sz w:val="17"/>
              </w:rPr>
              <w:t>A straight centerline approaches 1.0. Branches, loops, and severe curvature are recorded separately.</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Projected area estimate</w:t>
            </w:r>
          </w:p>
        </w:tc>
        <w:tc>
          <w:tcPr>
            <w:tcW w:type="dxa" w:w="5083"/>
          </w:tcPr>
          <w:p>
            <w:r/>
            <w:r>
              <w:rPr>
                <w:rFonts w:ascii="Consolas" w:hAnsi="Consolas"/>
                <w:b/>
                <w:sz w:val="18"/>
              </w:rPr>
              <w:t>Apx = centerline_length_px x median_width_px</w:t>
            </w:r>
          </w:p>
          <w:p>
            <w:pPr>
              <w:spacing w:after="0"/>
            </w:pPr>
            <w:r>
              <w:rPr>
                <w:sz w:val="17"/>
              </w:rPr>
              <w:t>This slender-object approximation supports downstream volume estimates; it is not a direct filled-mask area.</w:t>
            </w:r>
          </w:p>
        </w:tc>
      </w:tr>
    </w:tbl>
    <w:p>
      <w:pPr>
        <w:pStyle w:val="Heading1"/>
      </w:pPr>
      <w:r>
        <w:t>6. Cross-Slice Tracking and 3D Estimates</w:t>
      </w:r>
    </w:p>
    <w:p>
      <w:r>
        <w:t>Accepted 2D detections are linked across nearby Z planes by spatial displacement and morphology compatibility. U-Net confidence can support ambiguous links in hybrid mode, but tracking remains auditable and each 2D member retains its source and slice label.</w:t>
      </w:r>
    </w:p>
    <w:p>
      <w:pPr>
        <w:jc w:val="center"/>
      </w:pPr>
      <w:r>
        <w:drawing>
          <wp:inline xmlns:a="http://schemas.openxmlformats.org/drawingml/2006/main" xmlns:pic="http://schemas.openxmlformats.org/drawingml/2006/picture">
            <wp:extent cx="6172200" cy="4046220"/>
            <wp:docPr id="7" name="Picture 7"/>
            <wp:cNvGraphicFramePr>
              <a:graphicFrameLocks noChangeAspect="1"/>
            </wp:cNvGraphicFramePr>
            <a:graphic>
              <a:graphicData uri="http://schemas.openxmlformats.org/drawingml/2006/picture">
                <pic:pic>
                  <pic:nvPicPr>
                    <pic:cNvPr id="0" name="figure_09_cross_slice_track_membership.png"/>
                    <pic:cNvPicPr/>
                  </pic:nvPicPr>
                  <pic:blipFill>
                    <a:blip r:embed="rId17"/>
                    <a:stretch>
                      <a:fillRect/>
                    </a:stretch>
                  </pic:blipFill>
                  <pic:spPr>
                    <a:xfrm>
                      <a:off x="0" y="0"/>
                      <a:ext cx="6172200" cy="4046220"/>
                    </a:xfrm>
                    <a:prstGeom prst="rect"/>
                  </pic:spPr>
                </pic:pic>
              </a:graphicData>
            </a:graphic>
          </wp:inline>
        </w:drawing>
      </w:r>
    </w:p>
    <w:p>
      <w:pPr>
        <w:jc w:val="center"/>
      </w:pPr>
      <w:r>
        <w:rPr>
          <w:b/>
          <w:i/>
          <w:color w:val="1F4E78"/>
          <w:sz w:val="18"/>
        </w:rPr>
        <w:t>Figure 7. Three nuclei followed through four consecutive raw Z planes. Each nucleus keeps the same letter, color, and marker shape in every plane. Nucleus C contains a U-Net-rescued member; the other examples are classical detections.</w:t>
      </w:r>
    </w:p>
    <w:p>
      <w:pPr>
        <w:jc w:val="center"/>
      </w:pPr>
      <w:r>
        <w:drawing>
          <wp:inline xmlns:a="http://schemas.openxmlformats.org/drawingml/2006/main" xmlns:pic="http://schemas.openxmlformats.org/drawingml/2006/picture">
            <wp:extent cx="6172200" cy="2656156"/>
            <wp:docPr id="8" name="Picture 8"/>
            <wp:cNvGraphicFramePr>
              <a:graphicFrameLocks noChangeAspect="1"/>
            </wp:cNvGraphicFramePr>
            <a:graphic>
              <a:graphicData uri="http://schemas.openxmlformats.org/drawingml/2006/picture">
                <pic:pic>
                  <pic:nvPicPr>
                    <pic:cNvPr id="0" name="figure_10_tiny_stack_tracking_summary.png"/>
                    <pic:cNvPicPr/>
                  </pic:nvPicPr>
                  <pic:blipFill>
                    <a:blip r:embed="rId18"/>
                    <a:stretch>
                      <a:fillRect/>
                    </a:stretch>
                  </pic:blipFill>
                  <pic:spPr>
                    <a:xfrm>
                      <a:off x="0" y="0"/>
                      <a:ext cx="6172200" cy="2656156"/>
                    </a:xfrm>
                    <a:prstGeom prst="rect"/>
                  </pic:spPr>
                </pic:pic>
              </a:graphicData>
            </a:graphic>
          </wp:inline>
        </w:drawing>
      </w:r>
    </w:p>
    <w:p>
      <w:pPr>
        <w:jc w:val="center"/>
      </w:pPr>
      <w:r>
        <w:rPr>
          <w:b/>
          <w:i/>
          <w:color w:val="1F4E78"/>
          <w:sz w:val="18"/>
        </w:rPr>
        <w:t>Figure 8. Cross-slice assignment converts 12 plane-level detections into three estimated unique nuclei. Links use position, overlap, morphology, and optional U-Net continuity. The output retains the contributing planes and detection provenance.</w:t>
      </w:r>
    </w:p>
    <w:p>
      <w:pPr>
        <w:jc w:val="center"/>
      </w:pPr>
      <w:r>
        <w:drawing>
          <wp:inline xmlns:a="http://schemas.openxmlformats.org/drawingml/2006/main" xmlns:pic="http://schemas.openxmlformats.org/drawingml/2006/picture">
            <wp:extent cx="6400800" cy="3746028"/>
            <wp:docPr id="9" name="Picture 9"/>
            <wp:cNvGraphicFramePr>
              <a:graphicFrameLocks noChangeAspect="1"/>
            </wp:cNvGraphicFramePr>
            <a:graphic>
              <a:graphicData uri="http://schemas.openxmlformats.org/drawingml/2006/picture">
                <pic:pic>
                  <pic:nvPicPr>
                    <pic:cNvPr id="0" name="figure_11_3d_joined_plane_stack.png"/>
                    <pic:cNvPicPr/>
                  </pic:nvPicPr>
                  <pic:blipFill>
                    <a:blip r:embed="rId19"/>
                    <a:stretch>
                      <a:fillRect/>
                    </a:stretch>
                  </pic:blipFill>
                  <pic:spPr>
                    <a:xfrm>
                      <a:off x="0" y="0"/>
                      <a:ext cx="6400800" cy="3746028"/>
                    </a:xfrm>
                    <a:prstGeom prst="rect"/>
                  </pic:spPr>
                </pic:pic>
              </a:graphicData>
            </a:graphic>
          </wp:inline>
        </w:drawing>
      </w:r>
    </w:p>
    <w:p>
      <w:pPr>
        <w:jc w:val="center"/>
      </w:pPr>
      <w:r>
        <w:rPr>
          <w:b/>
          <w:i/>
          <w:color w:val="1F4E78"/>
          <w:sz w:val="18"/>
        </w:rPr>
        <w:t>Figure 9. Full-ROI three-dimensional view of cross-slice reconstruction. The left panel displays four complete ROI image planes with an 18x display-only Z exaggeration; its thinner trajectories provide stack-wide reconstruction context. The right panel isolates only the three illustrated nuclei A-C in calibrated physical coordinates. The strongly highlighted red-circle, blue-square, and green-triangle trajectories are the same nuclei shown in Figures 7 and 8. The contextual tracks in the left panel are not additional illustrated examples. All measurements use the true XY and Z calibration rather than the display exaggeration.</w:t>
      </w:r>
    </w:p>
    <w:tbl>
      <w:tblPr>
        <w:tblStyle w:val="TableGrid"/>
        <w:tblW w:type="auto" w:w="0"/>
        <w:jc w:val="center"/>
        <w:tblLook w:firstColumn="1" w:firstRow="1" w:lastColumn="0" w:lastRow="0" w:noHBand="0" w:noVBand="1" w:val="04A0"/>
      </w:tblPr>
      <w:tblGrid>
        <w:gridCol w:w="3389"/>
        <w:gridCol w:w="3389"/>
        <w:gridCol w:w="3389"/>
      </w:tblGrid>
      <w:tr>
        <w:tc>
          <w:tcPr>
            <w:tcW w:type="dxa" w:w="2592"/>
            <w:vAlign w:val="center"/>
            <w:shd w:fill="1F4E78"/>
          </w:tcPr>
          <w:p>
            <w:r/>
            <w:r>
              <w:rPr>
                <w:b/>
                <w:color w:val="FFFFFF"/>
                <w:sz w:val="16"/>
              </w:rPr>
              <w:t>Four-plane tracking output</w:t>
            </w:r>
          </w:p>
        </w:tc>
        <w:tc>
          <w:tcPr>
            <w:tcW w:type="dxa" w:w="2160"/>
            <w:vAlign w:val="center"/>
            <w:shd w:fill="1F4E78"/>
          </w:tcPr>
          <w:p>
            <w:r/>
            <w:r>
              <w:rPr>
                <w:b/>
                <w:color w:val="FFFFFF"/>
                <w:sz w:val="16"/>
              </w:rPr>
              <w:t>Count or setting</w:t>
            </w:r>
          </w:p>
        </w:tc>
        <w:tc>
          <w:tcPr>
            <w:tcW w:type="dxa" w:w="5688"/>
            <w:vAlign w:val="center"/>
            <w:shd w:fill="1F4E78"/>
          </w:tcPr>
          <w:p>
            <w:r/>
            <w:r>
              <w:rPr>
                <w:b/>
                <w:color w:val="FFFFFF"/>
                <w:sz w:val="16"/>
              </w:rPr>
              <w:t>Interpretation</w:t>
            </w:r>
          </w:p>
        </w:tc>
      </w:tr>
      <w:tr>
        <w:tc>
          <w:tcPr>
            <w:tcW w:type="dxa" w:w="2592"/>
            <w:vAlign w:val="center"/>
          </w:tcPr>
          <w:p>
            <w:r/>
            <w:r>
              <w:rPr>
                <w:b w:val="0"/>
                <w:sz w:val="16"/>
              </w:rPr>
              <w:t>Accepted 2D detections</w:t>
            </w:r>
          </w:p>
        </w:tc>
        <w:tc>
          <w:tcPr>
            <w:tcW w:type="dxa" w:w="2160"/>
            <w:vAlign w:val="center"/>
          </w:tcPr>
          <w:p>
            <w:r/>
            <w:r>
              <w:rPr>
                <w:b w:val="0"/>
                <w:sz w:val="16"/>
              </w:rPr>
              <w:t>1434</w:t>
            </w:r>
          </w:p>
        </w:tc>
        <w:tc>
          <w:tcPr>
            <w:tcW w:type="dxa" w:w="5688"/>
            <w:vAlign w:val="center"/>
          </w:tcPr>
          <w:p>
            <w:r/>
            <w:r>
              <w:rPr>
                <w:b w:val="0"/>
                <w:sz w:val="16"/>
              </w:rPr>
              <w:t>Plane-level centerlines before joining.</w:t>
            </w:r>
          </w:p>
        </w:tc>
      </w:tr>
      <w:tr>
        <w:tc>
          <w:tcPr>
            <w:tcW w:type="dxa" w:w="2592"/>
            <w:vAlign w:val="center"/>
            <w:shd w:fill="F3F6F8"/>
          </w:tcPr>
          <w:p>
            <w:r/>
            <w:r>
              <w:rPr>
                <w:b w:val="0"/>
                <w:sz w:val="16"/>
              </w:rPr>
              <w:t>Joined tracks</w:t>
            </w:r>
          </w:p>
        </w:tc>
        <w:tc>
          <w:tcPr>
            <w:tcW w:type="dxa" w:w="2160"/>
            <w:vAlign w:val="center"/>
            <w:shd w:fill="F3F6F8"/>
          </w:tcPr>
          <w:p>
            <w:r/>
            <w:r>
              <w:rPr>
                <w:b w:val="0"/>
                <w:sz w:val="16"/>
              </w:rPr>
              <w:t>683</w:t>
            </w:r>
          </w:p>
        </w:tc>
        <w:tc>
          <w:tcPr>
            <w:tcW w:type="dxa" w:w="5688"/>
            <w:vAlign w:val="center"/>
            <w:shd w:fill="F3F6F8"/>
          </w:tcPr>
          <w:p>
            <w:r/>
            <w:r>
              <w:rPr>
                <w:b w:val="0"/>
                <w:sz w:val="16"/>
              </w:rPr>
              <w:t>Candidate unique nuclei within the four-plane window.</w:t>
            </w:r>
          </w:p>
        </w:tc>
      </w:tr>
      <w:tr>
        <w:tc>
          <w:tcPr>
            <w:tcW w:type="dxa" w:w="2592"/>
            <w:vAlign w:val="center"/>
          </w:tcPr>
          <w:p>
            <w:r/>
            <w:r>
              <w:rPr>
                <w:b w:val="0"/>
                <w:sz w:val="16"/>
              </w:rPr>
              <w:t>Classical-only tracks</w:t>
            </w:r>
          </w:p>
        </w:tc>
        <w:tc>
          <w:tcPr>
            <w:tcW w:type="dxa" w:w="2160"/>
            <w:vAlign w:val="center"/>
          </w:tcPr>
          <w:p>
            <w:r/>
            <w:r>
              <w:rPr>
                <w:b w:val="0"/>
                <w:sz w:val="16"/>
              </w:rPr>
              <w:t>422</w:t>
            </w:r>
          </w:p>
        </w:tc>
        <w:tc>
          <w:tcPr>
            <w:tcW w:type="dxa" w:w="5688"/>
            <w:vAlign w:val="center"/>
          </w:tcPr>
          <w:p>
            <w:r/>
            <w:r>
              <w:rPr>
                <w:b w:val="0"/>
                <w:sz w:val="16"/>
              </w:rPr>
              <w:t>Every member originated in the classical lane.</w:t>
            </w:r>
          </w:p>
        </w:tc>
      </w:tr>
      <w:tr>
        <w:tc>
          <w:tcPr>
            <w:tcW w:type="dxa" w:w="2592"/>
            <w:vAlign w:val="center"/>
            <w:shd w:fill="F3F6F8"/>
          </w:tcPr>
          <w:p>
            <w:r/>
            <w:r>
              <w:rPr>
                <w:b w:val="0"/>
                <w:sz w:val="16"/>
              </w:rPr>
              <w:t>U-Net-associated tracks</w:t>
            </w:r>
          </w:p>
        </w:tc>
        <w:tc>
          <w:tcPr>
            <w:tcW w:type="dxa" w:w="2160"/>
            <w:vAlign w:val="center"/>
            <w:shd w:fill="F3F6F8"/>
          </w:tcPr>
          <w:p>
            <w:r/>
            <w:r>
              <w:rPr>
                <w:b w:val="0"/>
                <w:sz w:val="16"/>
              </w:rPr>
              <w:t>261</w:t>
            </w:r>
          </w:p>
        </w:tc>
        <w:tc>
          <w:tcPr>
            <w:tcW w:type="dxa" w:w="5688"/>
            <w:vAlign w:val="center"/>
            <w:shd w:fill="F3F6F8"/>
          </w:tcPr>
          <w:p>
            <w:r/>
            <w:r>
              <w:rPr>
                <w:b w:val="0"/>
                <w:sz w:val="16"/>
              </w:rPr>
              <w:t>At least one member was recovered by U-Net rescue.</w:t>
            </w:r>
          </w:p>
        </w:tc>
      </w:tr>
      <w:tr>
        <w:tc>
          <w:tcPr>
            <w:tcW w:type="dxa" w:w="2592"/>
            <w:vAlign w:val="center"/>
          </w:tcPr>
          <w:p>
            <w:r/>
            <w:r>
              <w:rPr>
                <w:b w:val="0"/>
                <w:sz w:val="16"/>
              </w:rPr>
              <w:t>Tracks on all four planes</w:t>
            </w:r>
          </w:p>
        </w:tc>
        <w:tc>
          <w:tcPr>
            <w:tcW w:type="dxa" w:w="2160"/>
            <w:vAlign w:val="center"/>
          </w:tcPr>
          <w:p>
            <w:r/>
            <w:r>
              <w:rPr>
                <w:b w:val="0"/>
                <w:sz w:val="16"/>
              </w:rPr>
              <w:t>107</w:t>
            </w:r>
          </w:p>
        </w:tc>
        <w:tc>
          <w:tcPr>
            <w:tcW w:type="dxa" w:w="5688"/>
            <w:vAlign w:val="center"/>
          </w:tcPr>
          <w:p>
            <w:r/>
            <w:r>
              <w:rPr>
                <w:b w:val="0"/>
                <w:sz w:val="16"/>
              </w:rPr>
              <w:t>Complete only with respect to this small demonstration window.</w:t>
            </w:r>
          </w:p>
        </w:tc>
      </w:tr>
      <w:tr>
        <w:tc>
          <w:tcPr>
            <w:tcW w:type="dxa" w:w="2592"/>
            <w:vAlign w:val="center"/>
            <w:shd w:fill="F3F6F8"/>
          </w:tcPr>
          <w:p>
            <w:r/>
            <w:r>
              <w:rPr>
                <w:b w:val="0"/>
                <w:sz w:val="16"/>
              </w:rPr>
              <w:t>Tracks on at least three planes</w:t>
            </w:r>
          </w:p>
        </w:tc>
        <w:tc>
          <w:tcPr>
            <w:tcW w:type="dxa" w:w="2160"/>
            <w:vAlign w:val="center"/>
            <w:shd w:fill="F3F6F8"/>
          </w:tcPr>
          <w:p>
            <w:r/>
            <w:r>
              <w:rPr>
                <w:b w:val="0"/>
                <w:sz w:val="16"/>
              </w:rPr>
              <w:t>234</w:t>
            </w:r>
          </w:p>
        </w:tc>
        <w:tc>
          <w:tcPr>
            <w:tcW w:type="dxa" w:w="5688"/>
            <w:vAlign w:val="center"/>
            <w:shd w:fill="F3F6F8"/>
          </w:tcPr>
          <w:p>
            <w:r/>
            <w:r>
              <w:rPr>
                <w:b w:val="0"/>
                <w:sz w:val="16"/>
              </w:rPr>
              <w:t>Long-span examples favored in the tracking figures.</w:t>
            </w:r>
          </w:p>
        </w:tc>
      </w:tr>
      <w:tr>
        <w:tc>
          <w:tcPr>
            <w:tcW w:type="dxa" w:w="2592"/>
            <w:vAlign w:val="center"/>
          </w:tcPr>
          <w:p>
            <w:r/>
            <w:r>
              <w:rPr>
                <w:b w:val="0"/>
                <w:sz w:val="16"/>
              </w:rPr>
              <w:t>Tracking backend</w:t>
            </w:r>
          </w:p>
        </w:tc>
        <w:tc>
          <w:tcPr>
            <w:tcW w:type="dxa" w:w="2160"/>
            <w:vAlign w:val="center"/>
          </w:tcPr>
          <w:p>
            <w:r/>
            <w:r>
              <w:rPr>
                <w:b w:val="0"/>
                <w:sz w:val="16"/>
              </w:rPr>
              <w:t>hybrid_repair</w:t>
            </w:r>
          </w:p>
        </w:tc>
        <w:tc>
          <w:tcPr>
            <w:tcW w:type="dxa" w:w="5688"/>
            <w:vAlign w:val="center"/>
          </w:tcPr>
          <w:p>
            <w:r/>
            <w:r>
              <w:rPr>
                <w:b w:val="0"/>
                <w:sz w:val="16"/>
              </w:rPr>
              <w:t>Global assignment followed by conservative fragment repair.</w:t>
            </w:r>
          </w:p>
        </w:tc>
      </w:tr>
      <w:tr>
        <w:tc>
          <w:tcPr>
            <w:tcW w:type="dxa" w:w="2592"/>
            <w:vAlign w:val="center"/>
            <w:shd w:fill="F3F6F8"/>
          </w:tcPr>
          <w:p>
            <w:r/>
            <w:r>
              <w:rPr>
                <w:b w:val="0"/>
                <w:sz w:val="16"/>
              </w:rPr>
              <w:t>Maximum centroid distance</w:t>
            </w:r>
          </w:p>
        </w:tc>
        <w:tc>
          <w:tcPr>
            <w:tcW w:type="dxa" w:w="2160"/>
            <w:vAlign w:val="center"/>
            <w:shd w:fill="F3F6F8"/>
          </w:tcPr>
          <w:p>
            <w:r/>
            <w:r>
              <w:rPr>
                <w:b w:val="0"/>
                <w:sz w:val="16"/>
              </w:rPr>
              <w:t>6.8711 um</w:t>
            </w:r>
          </w:p>
        </w:tc>
        <w:tc>
          <w:tcPr>
            <w:tcW w:type="dxa" w:w="5688"/>
            <w:vAlign w:val="center"/>
            <w:shd w:fill="F3F6F8"/>
          </w:tcPr>
          <w:p>
            <w:r/>
            <w:r>
              <w:rPr>
                <w:b w:val="0"/>
                <w:sz w:val="16"/>
              </w:rPr>
              <w:t>Geometric gate before a candidate link can be accepted.</w:t>
            </w:r>
          </w:p>
        </w:tc>
      </w:tr>
      <w:tr>
        <w:tc>
          <w:tcPr>
            <w:tcW w:type="dxa" w:w="2592"/>
            <w:vAlign w:val="center"/>
          </w:tcPr>
          <w:p>
            <w:r/>
            <w:r>
              <w:rPr>
                <w:b w:val="0"/>
                <w:sz w:val="16"/>
              </w:rPr>
              <w:t>Maximum missing-plane gap</w:t>
            </w:r>
          </w:p>
        </w:tc>
        <w:tc>
          <w:tcPr>
            <w:tcW w:type="dxa" w:w="2160"/>
            <w:vAlign w:val="center"/>
          </w:tcPr>
          <w:p>
            <w:r/>
            <w:r>
              <w:rPr>
                <w:b w:val="0"/>
                <w:sz w:val="16"/>
              </w:rPr>
              <w:t>1</w:t>
            </w:r>
          </w:p>
        </w:tc>
        <w:tc>
          <w:tcPr>
            <w:tcW w:type="dxa" w:w="5688"/>
            <w:vAlign w:val="center"/>
          </w:tcPr>
          <w:p>
            <w:r/>
            <w:r>
              <w:rPr>
                <w:b w:val="0"/>
                <w:sz w:val="16"/>
              </w:rPr>
              <w:t>Allows one absent intermediate detection.</w:t>
            </w:r>
          </w:p>
        </w:tc>
      </w:tr>
    </w:tbl>
    <w:p>
      <w:pPr>
        <w:pStyle w:val="Heading2"/>
      </w:pPr>
      <w:r>
        <w:t>How U-Net enters tracking</w:t>
      </w:r>
    </w:p>
    <w:p>
      <w:r>
        <w:t>U-Net evidence is optional link support, not a separate tracker. For a possible link, Saturn reads the mean U-Net probability of each detection when available. Weak average support adds a cost of support_weight x (1 - mean_probability), and an abrupt probability change adds continuity_weight x absolute_probability_change. Geometry, overlap, length, width, area, orientation, and maximum-cost gates still determine whether the link is accepted.</w:t>
      </w:r>
    </w:p>
    <w:tbl>
      <w:tblPr>
        <w:tblStyle w:val="TableGrid"/>
        <w:tblW w:type="auto" w:w="0"/>
        <w:jc w:val="center"/>
        <w:tblLook w:firstColumn="1" w:firstRow="1" w:lastColumn="0" w:lastRow="0" w:noHBand="0" w:noVBand="1" w:val="04A0"/>
      </w:tblPr>
      <w:tblGrid>
        <w:gridCol w:w="3389"/>
        <w:gridCol w:w="3389"/>
        <w:gridCol w:w="3389"/>
      </w:tblGrid>
      <w:tr>
        <w:tc>
          <w:tcPr>
            <w:tcW w:type="dxa" w:w="2736"/>
            <w:vAlign w:val="center"/>
            <w:shd w:fill="1F4E78"/>
          </w:tcPr>
          <w:p>
            <w:r/>
            <w:r>
              <w:rPr>
                <w:b/>
                <w:color w:val="FFFFFF"/>
                <w:sz w:val="16"/>
              </w:rPr>
              <w:t>U-Net tracking term</w:t>
            </w:r>
          </w:p>
        </w:tc>
        <w:tc>
          <w:tcPr>
            <w:tcW w:type="dxa" w:w="1872"/>
            <w:vAlign w:val="center"/>
            <w:shd w:fill="1F4E78"/>
          </w:tcPr>
          <w:p>
            <w:r/>
            <w:r>
              <w:rPr>
                <w:b/>
                <w:color w:val="FFFFFF"/>
                <w:sz w:val="16"/>
              </w:rPr>
              <w:t>Demonstration value</w:t>
            </w:r>
          </w:p>
        </w:tc>
        <w:tc>
          <w:tcPr>
            <w:tcW w:type="dxa" w:w="5832"/>
            <w:vAlign w:val="center"/>
            <w:shd w:fill="1F4E78"/>
          </w:tcPr>
          <w:p>
            <w:r/>
            <w:r>
              <w:rPr>
                <w:b/>
                <w:color w:val="FFFFFF"/>
                <w:sz w:val="16"/>
              </w:rPr>
              <w:t>Role</w:t>
            </w:r>
          </w:p>
        </w:tc>
      </w:tr>
      <w:tr>
        <w:tc>
          <w:tcPr>
            <w:tcW w:type="dxa" w:w="2736"/>
            <w:vAlign w:val="center"/>
          </w:tcPr>
          <w:p>
            <w:r/>
            <w:r>
              <w:rPr>
                <w:b w:val="0"/>
                <w:sz w:val="16"/>
              </w:rPr>
              <w:t>U-Net tracking support</w:t>
            </w:r>
          </w:p>
        </w:tc>
        <w:tc>
          <w:tcPr>
            <w:tcW w:type="dxa" w:w="1872"/>
            <w:vAlign w:val="center"/>
          </w:tcPr>
          <w:p>
            <w:r/>
            <w:r>
              <w:rPr>
                <w:b w:val="0"/>
                <w:sz w:val="16"/>
              </w:rPr>
              <w:t>True</w:t>
            </w:r>
          </w:p>
        </w:tc>
        <w:tc>
          <w:tcPr>
            <w:tcW w:type="dxa" w:w="5832"/>
            <w:vAlign w:val="center"/>
          </w:tcPr>
          <w:p>
            <w:r/>
            <w:r>
              <w:rPr>
                <w:b w:val="0"/>
                <w:sz w:val="16"/>
              </w:rPr>
              <w:t>Enables probability-derived cost terms in hybrid mode.</w:t>
            </w:r>
          </w:p>
        </w:tc>
      </w:tr>
      <w:tr>
        <w:tc>
          <w:tcPr>
            <w:tcW w:type="dxa" w:w="2736"/>
            <w:vAlign w:val="center"/>
            <w:shd w:fill="F3F6F8"/>
          </w:tcPr>
          <w:p>
            <w:r/>
            <w:r>
              <w:rPr>
                <w:b w:val="0"/>
                <w:sz w:val="16"/>
              </w:rPr>
              <w:t>Assignment support weight</w:t>
            </w:r>
          </w:p>
        </w:tc>
        <w:tc>
          <w:tcPr>
            <w:tcW w:type="dxa" w:w="1872"/>
            <w:vAlign w:val="center"/>
            <w:shd w:fill="F3F6F8"/>
          </w:tcPr>
          <w:p>
            <w:r/>
            <w:r>
              <w:rPr>
                <w:b w:val="0"/>
                <w:sz w:val="16"/>
              </w:rPr>
              <w:t>0.6</w:t>
            </w:r>
          </w:p>
        </w:tc>
        <w:tc>
          <w:tcPr>
            <w:tcW w:type="dxa" w:w="5832"/>
            <w:vAlign w:val="center"/>
            <w:shd w:fill="F3F6F8"/>
          </w:tcPr>
          <w:p>
            <w:r/>
            <w:r>
              <w:rPr>
                <w:b w:val="0"/>
                <w:sz w:val="16"/>
              </w:rPr>
              <w:t>Penalizes a proposed global-assignment link when U-Net support is weak.</w:t>
            </w:r>
          </w:p>
        </w:tc>
      </w:tr>
      <w:tr>
        <w:tc>
          <w:tcPr>
            <w:tcW w:type="dxa" w:w="2736"/>
            <w:vAlign w:val="center"/>
          </w:tcPr>
          <w:p>
            <w:r/>
            <w:r>
              <w:rPr>
                <w:b w:val="0"/>
                <w:sz w:val="16"/>
              </w:rPr>
              <w:t>Assignment continuity weight</w:t>
            </w:r>
          </w:p>
        </w:tc>
        <w:tc>
          <w:tcPr>
            <w:tcW w:type="dxa" w:w="1872"/>
            <w:vAlign w:val="center"/>
          </w:tcPr>
          <w:p>
            <w:r/>
            <w:r>
              <w:rPr>
                <w:b w:val="0"/>
                <w:sz w:val="16"/>
              </w:rPr>
              <w:t>0.25</w:t>
            </w:r>
          </w:p>
        </w:tc>
        <w:tc>
          <w:tcPr>
            <w:tcW w:type="dxa" w:w="5832"/>
            <w:vAlign w:val="center"/>
          </w:tcPr>
          <w:p>
            <w:r/>
            <w:r>
              <w:rPr>
                <w:b w:val="0"/>
                <w:sz w:val="16"/>
              </w:rPr>
              <w:t>Penalizes an abrupt probability change between adjacent members.</w:t>
            </w:r>
          </w:p>
        </w:tc>
      </w:tr>
      <w:tr>
        <w:tc>
          <w:tcPr>
            <w:tcW w:type="dxa" w:w="2736"/>
            <w:vAlign w:val="center"/>
            <w:shd w:fill="F3F6F8"/>
          </w:tcPr>
          <w:p>
            <w:r/>
            <w:r>
              <w:rPr>
                <w:b w:val="0"/>
                <w:sz w:val="16"/>
              </w:rPr>
              <w:t>Hybrid-repair support weight</w:t>
            </w:r>
          </w:p>
        </w:tc>
        <w:tc>
          <w:tcPr>
            <w:tcW w:type="dxa" w:w="1872"/>
            <w:vAlign w:val="center"/>
            <w:shd w:fill="F3F6F8"/>
          </w:tcPr>
          <w:p>
            <w:r/>
            <w:r>
              <w:rPr>
                <w:b w:val="0"/>
                <w:sz w:val="16"/>
              </w:rPr>
              <w:t>0.4</w:t>
            </w:r>
          </w:p>
        </w:tc>
        <w:tc>
          <w:tcPr>
            <w:tcW w:type="dxa" w:w="5832"/>
            <w:vAlign w:val="center"/>
            <w:shd w:fill="F3F6F8"/>
          </w:tcPr>
          <w:p>
            <w:r/>
            <w:r>
              <w:rPr>
                <w:b w:val="0"/>
                <w:sz w:val="16"/>
              </w:rPr>
              <w:t>Applies a weaker support penalty when considering conservative fragment repair.</w:t>
            </w:r>
          </w:p>
        </w:tc>
      </w:tr>
      <w:tr>
        <w:tc>
          <w:tcPr>
            <w:tcW w:type="dxa" w:w="2736"/>
            <w:vAlign w:val="center"/>
          </w:tcPr>
          <w:p>
            <w:r/>
            <w:r>
              <w:rPr>
                <w:b w:val="0"/>
                <w:sz w:val="16"/>
              </w:rPr>
              <w:t>Missing U-Net probability</w:t>
            </w:r>
          </w:p>
        </w:tc>
        <w:tc>
          <w:tcPr>
            <w:tcW w:type="dxa" w:w="1872"/>
            <w:vAlign w:val="center"/>
          </w:tcPr>
          <w:p>
            <w:r/>
            <w:r>
              <w:rPr>
                <w:b w:val="0"/>
                <w:sz w:val="16"/>
              </w:rPr>
              <w:t>No probability penalty</w:t>
            </w:r>
          </w:p>
        </w:tc>
        <w:tc>
          <w:tcPr>
            <w:tcW w:type="dxa" w:w="5832"/>
            <w:vAlign w:val="center"/>
          </w:tcPr>
          <w:p>
            <w:r/>
            <w:r>
              <w:rPr>
                <w:b w:val="0"/>
                <w:sz w:val="16"/>
              </w:rPr>
              <w:t>Classical detections remain trackable; absence of U-Net evidence is not an automatic rejection.</w:t>
            </w:r>
          </w:p>
        </w:tc>
      </w:tr>
    </w:tbl>
    <w:tbl>
      <w:tblPr>
        <w:tblStyle w:val="TableGrid"/>
        <w:tblW w:type="auto" w:w="0"/>
        <w:tblLook w:firstColumn="1" w:firstRow="1" w:lastColumn="0" w:lastRow="0" w:noHBand="0" w:noVBand="1" w:val="04A0"/>
      </w:tblPr>
      <w:tblGrid>
        <w:gridCol w:w="10166"/>
      </w:tblGrid>
      <w:tr>
        <w:tc>
          <w:tcPr>
            <w:tcW w:type="dxa" w:w="10166"/>
            <w:vAlign w:val="center"/>
            <w:shd w:fill="FCE4D6"/>
          </w:tcPr>
          <w:p>
            <w:r/>
            <w:r>
              <w:rPr>
                <w:b/>
                <w:color w:val="C00000"/>
                <w:sz w:val="18"/>
              </w:rPr>
              <w:t>Tiny-stack limitation: 661 of 683 tracks received at least one morphology warning because four planes truncate Z extent and provide incomplete area, taper, thickness, and trajectory context. The 138-track reference-shape subset is shown only to explain the audit machinery. Neither value should be used as a biological estimate from this specimen.</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Z span</w:t>
            </w:r>
          </w:p>
        </w:tc>
        <w:tc>
          <w:tcPr>
            <w:tcW w:type="dxa" w:w="5083"/>
          </w:tcPr>
          <w:p>
            <w:r/>
            <w:r>
              <w:rPr>
                <w:rFonts w:ascii="Consolas" w:hAnsi="Consolas"/>
                <w:b/>
                <w:sz w:val="18"/>
              </w:rPr>
              <w:t>Zspan = (z_end - z_start) x Z_um_per_slice</w:t>
            </w:r>
          </w:p>
          <w:p>
            <w:pPr>
              <w:spacing w:after="0"/>
            </w:pPr>
            <w:r>
              <w:rPr>
                <w:sz w:val="17"/>
              </w:rPr>
              <w:t>Endpoint displacement. A one-slice track has zero Z span.</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Z covered</w:t>
            </w:r>
          </w:p>
        </w:tc>
        <w:tc>
          <w:tcPr>
            <w:tcW w:type="dxa" w:w="5083"/>
          </w:tcPr>
          <w:p>
            <w:r/>
            <w:r>
              <w:rPr>
                <w:rFonts w:ascii="Consolas" w:hAnsi="Consolas"/>
                <w:b/>
                <w:sz w:val="18"/>
              </w:rPr>
              <w:t>Zcovered = (z_end - z_start + 1) x Z_um_per_slice</w:t>
            </w:r>
          </w:p>
          <w:p>
            <w:pPr>
              <w:spacing w:after="0"/>
            </w:pPr>
            <w:r>
              <w:rPr>
                <w:sz w:val="17"/>
              </w:rPr>
              <w:t>Sampled slab thickness, distinct from endpoint displacement.</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Reported 3D length</w:t>
            </w:r>
          </w:p>
        </w:tc>
        <w:tc>
          <w:tcPr>
            <w:tcW w:type="dxa" w:w="5083"/>
          </w:tcPr>
          <w:p>
            <w:r/>
            <w:r>
              <w:rPr>
                <w:rFonts w:ascii="Consolas" w:hAnsi="Consolas"/>
                <w:b/>
                <w:sz w:val="18"/>
              </w:rPr>
              <w:t>L3D = sqrt(max(max_2D_geodesic, centroid_lateral_span)^2 + Zspan^2)</w:t>
            </w:r>
          </w:p>
          <w:p>
            <w:pPr>
              <w:spacing w:after="0"/>
            </w:pPr>
            <w:r>
              <w:rPr>
                <w:sz w:val="17"/>
              </w:rPr>
              <w:t>This is a lateral-corrected hypotenuse estimate. It is not a voxel-by-voxel 3D centerline arc length.</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Volume estimate</w:t>
            </w:r>
          </w:p>
        </w:tc>
        <w:tc>
          <w:tcPr>
            <w:tcW w:type="dxa" w:w="5083"/>
          </w:tcPr>
          <w:p>
            <w:r/>
            <w:r>
              <w:rPr>
                <w:rFonts w:ascii="Consolas" w:hAnsi="Consolas"/>
                <w:b/>
                <w:sz w:val="18"/>
              </w:rPr>
              <w:t>V = sum(projected_area_px) x XY_um_per_pixel^2 x Z_um_per_slice</w:t>
            </w:r>
          </w:p>
          <w:p>
            <w:pPr>
              <w:spacing w:after="0"/>
            </w:pPr>
            <w:r>
              <w:rPr>
                <w:sz w:val="17"/>
              </w:rPr>
              <w:t>Sensitive to segmentation width, slice spacing, axial sampling, and the optical point-spread function.</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Effective thickness</w:t>
            </w:r>
          </w:p>
        </w:tc>
        <w:tc>
          <w:tcPr>
            <w:tcW w:type="dxa" w:w="5083"/>
          </w:tcPr>
          <w:p>
            <w:r/>
            <w:r>
              <w:rPr>
                <w:rFonts w:ascii="Consolas" w:hAnsi="Consolas"/>
                <w:b/>
                <w:sz w:val="18"/>
              </w:rPr>
              <w:t>Deffective = 2 x sqrt[(V / L3D) / pi]</w:t>
            </w:r>
          </w:p>
          <w:p>
            <w:pPr>
              <w:spacing w:after="0"/>
            </w:pPr>
            <w:r>
              <w:rPr>
                <w:sz w:val="17"/>
              </w:rPr>
              <w:t>Equivalent circular diameter inferred from estimated volume and length; interpret as PSF-sensitive.</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3D tortuosity</w:t>
            </w:r>
          </w:p>
        </w:tc>
        <w:tc>
          <w:tcPr>
            <w:tcW w:type="dxa" w:w="5083"/>
          </w:tcPr>
          <w:p>
            <w:r/>
            <w:r>
              <w:rPr>
                <w:rFonts w:ascii="Consolas" w:hAnsi="Consolas"/>
                <w:b/>
                <w:sz w:val="18"/>
              </w:rPr>
              <w:t>T3D = L3D / sqrt(max_2D_endpoint_distance^2 + Zspan^2)</w:t>
            </w:r>
          </w:p>
          <w:p>
            <w:pPr>
              <w:spacing w:after="0"/>
            </w:pPr>
            <w:r>
              <w:rPr>
                <w:sz w:val="17"/>
              </w:rPr>
              <w:t>Capped at 20 to prevent numerical blow-up for nearly coincident endpoints.</w:t>
            </w:r>
          </w:p>
        </w:tc>
      </w:tr>
    </w:tbl>
    <w:p>
      <w:pPr>
        <w:pStyle w:val="Heading1"/>
      </w:pPr>
      <w:r>
        <w:t>7. One Biological Population and Its QC Annotations</w:t>
      </w:r>
    </w:p>
    <w:p>
      <w:r>
        <w:t>Saturn reports one primary biological population: estimated unique nuclei after cross-slice reconstruction and hard technical QC. Morphology warnings, reference-shape labels, boundary contact, detection source, and rejected-extension near-misses remain annotations on that population. They are review aids, not additional counts to add or subtract.</w:t>
      </w:r>
    </w:p>
    <w:tbl>
      <w:tblPr>
        <w:tblStyle w:val="TableGrid"/>
        <w:tblW w:type="auto" w:w="0"/>
        <w:jc w:val="center"/>
        <w:tblLook w:firstColumn="1" w:firstRow="1" w:lastColumn="0" w:lastRow="0" w:noHBand="0" w:noVBand="1" w:val="04A0"/>
      </w:tblPr>
      <w:tblGrid>
        <w:gridCol w:w="3389"/>
        <w:gridCol w:w="3389"/>
        <w:gridCol w:w="3389"/>
      </w:tblGrid>
      <w:tr>
        <w:tc>
          <w:tcPr>
            <w:tcW w:type="dxa" w:w="1800"/>
            <w:vAlign w:val="center"/>
            <w:shd w:fill="1F4E78"/>
          </w:tcPr>
          <w:p>
            <w:r/>
            <w:r>
              <w:rPr>
                <w:b/>
                <w:color w:val="FFFFFF"/>
                <w:sz w:val="16"/>
              </w:rPr>
              <w:t>Population</w:t>
            </w:r>
          </w:p>
        </w:tc>
        <w:tc>
          <w:tcPr>
            <w:tcW w:type="dxa" w:w="4752"/>
            <w:vAlign w:val="center"/>
            <w:shd w:fill="1F4E78"/>
          </w:tcPr>
          <w:p>
            <w:r/>
            <w:r>
              <w:rPr>
                <w:b/>
                <w:color w:val="FFFFFF"/>
                <w:sz w:val="16"/>
              </w:rPr>
              <w:t>Meaning</w:t>
            </w:r>
          </w:p>
        </w:tc>
        <w:tc>
          <w:tcPr>
            <w:tcW w:type="dxa" w:w="3384"/>
            <w:vAlign w:val="center"/>
            <w:shd w:fill="1F4E78"/>
          </w:tcPr>
          <w:p>
            <w:r/>
            <w:r>
              <w:rPr>
                <w:b/>
                <w:color w:val="FFFFFF"/>
                <w:sz w:val="16"/>
              </w:rPr>
              <w:t>Recommended use</w:t>
            </w:r>
          </w:p>
        </w:tc>
      </w:tr>
      <w:tr>
        <w:tc>
          <w:tcPr>
            <w:tcW w:type="dxa" w:w="1800"/>
            <w:vAlign w:val="center"/>
          </w:tcPr>
          <w:p>
            <w:r/>
            <w:r>
              <w:rPr>
                <w:b w:val="0"/>
                <w:sz w:val="16"/>
              </w:rPr>
              <w:t>All tracks</w:t>
            </w:r>
          </w:p>
        </w:tc>
        <w:tc>
          <w:tcPr>
            <w:tcW w:type="dxa" w:w="4752"/>
            <w:vAlign w:val="center"/>
          </w:tcPr>
          <w:p>
            <w:r/>
            <w:r>
              <w:rPr>
                <w:b w:val="0"/>
                <w:sz w:val="16"/>
              </w:rPr>
              <w:t>Every completed cross-slice track, including technical failures.</w:t>
            </w:r>
          </w:p>
        </w:tc>
        <w:tc>
          <w:tcPr>
            <w:tcW w:type="dxa" w:w="3384"/>
            <w:vAlign w:val="center"/>
          </w:tcPr>
          <w:p>
            <w:r/>
            <w:r>
              <w:rPr>
                <w:b w:val="0"/>
                <w:sz w:val="16"/>
              </w:rPr>
              <w:t>Audit and troubleshooting only.</w:t>
            </w:r>
          </w:p>
        </w:tc>
      </w:tr>
      <w:tr>
        <w:tc>
          <w:tcPr>
            <w:tcW w:type="dxa" w:w="1800"/>
            <w:vAlign w:val="center"/>
            <w:shd w:fill="F3F6F8"/>
          </w:tcPr>
          <w:p>
            <w:r/>
            <w:r>
              <w:rPr>
                <w:b w:val="0"/>
                <w:sz w:val="16"/>
              </w:rPr>
              <w:t>Technical-valid / biological candidates</w:t>
            </w:r>
          </w:p>
        </w:tc>
        <w:tc>
          <w:tcPr>
            <w:tcW w:type="dxa" w:w="4752"/>
            <w:vAlign w:val="center"/>
            <w:shd w:fill="F3F6F8"/>
          </w:tcPr>
          <w:p>
            <w:r/>
            <w:r>
              <w:rPr>
                <w:b w:val="0"/>
                <w:sz w:val="16"/>
              </w:rPr>
              <w:t>Tracks without hard technical failures.</w:t>
            </w:r>
          </w:p>
        </w:tc>
        <w:tc>
          <w:tcPr>
            <w:tcW w:type="dxa" w:w="3384"/>
            <w:vAlign w:val="center"/>
            <w:shd w:fill="F3F6F8"/>
          </w:tcPr>
          <w:p>
            <w:r/>
            <w:r>
              <w:rPr>
                <w:b w:val="0"/>
                <w:sz w:val="16"/>
              </w:rPr>
              <w:t>Primary WT-versus-mutant comparison population.</w:t>
            </w:r>
          </w:p>
        </w:tc>
      </w:tr>
      <w:tr>
        <w:tc>
          <w:tcPr>
            <w:tcW w:type="dxa" w:w="1800"/>
            <w:vAlign w:val="center"/>
          </w:tcPr>
          <w:p>
            <w:r/>
            <w:r>
              <w:rPr>
                <w:b w:val="0"/>
                <w:sz w:val="16"/>
              </w:rPr>
              <w:t>Morphology-warning</w:t>
            </w:r>
          </w:p>
        </w:tc>
        <w:tc>
          <w:tcPr>
            <w:tcW w:type="dxa" w:w="4752"/>
            <w:vAlign w:val="center"/>
          </w:tcPr>
          <w:p>
            <w:r/>
            <w:r>
              <w:rPr>
                <w:b w:val="0"/>
                <w:sz w:val="16"/>
              </w:rPr>
              <w:t>Technical-valid tracks with unusual length, thickness, taper, tortuosity, or related morphology.</w:t>
            </w:r>
          </w:p>
        </w:tc>
        <w:tc>
          <w:tcPr>
            <w:tcW w:type="dxa" w:w="3384"/>
            <w:vAlign w:val="center"/>
          </w:tcPr>
          <w:p>
            <w:r/>
            <w:r>
              <w:rPr>
                <w:b w:val="0"/>
                <w:sz w:val="16"/>
              </w:rPr>
              <w:t>Retain and report; visually review warning burden.</w:t>
            </w:r>
          </w:p>
        </w:tc>
      </w:tr>
      <w:tr>
        <w:tc>
          <w:tcPr>
            <w:tcW w:type="dxa" w:w="1800"/>
            <w:vAlign w:val="center"/>
            <w:shd w:fill="F3F6F8"/>
          </w:tcPr>
          <w:p>
            <w:r/>
            <w:r>
              <w:rPr>
                <w:b w:val="0"/>
                <w:sz w:val="16"/>
              </w:rPr>
              <w:t>Reference-morphology pass</w:t>
            </w:r>
          </w:p>
        </w:tc>
        <w:tc>
          <w:tcPr>
            <w:tcW w:type="dxa" w:w="4752"/>
            <w:vAlign w:val="center"/>
            <w:shd w:fill="F3F6F8"/>
          </w:tcPr>
          <w:p>
            <w:r/>
            <w:r>
              <w:rPr>
                <w:b w:val="0"/>
                <w:sz w:val="16"/>
              </w:rPr>
              <w:t>Technical-valid subset matching the configured reference morphology.</w:t>
            </w:r>
          </w:p>
        </w:tc>
        <w:tc>
          <w:tcPr>
            <w:tcW w:type="dxa" w:w="3384"/>
            <w:vAlign w:val="center"/>
            <w:shd w:fill="F3F6F8"/>
          </w:tcPr>
          <w:p>
            <w:r/>
            <w:r>
              <w:rPr>
                <w:b w:val="0"/>
                <w:sz w:val="16"/>
              </w:rPr>
              <w:t>Diagnostic sensitivity subset, not biological ground truth.</w:t>
            </w:r>
          </w:p>
        </w:tc>
      </w:tr>
      <w:tr>
        <w:tc>
          <w:tcPr>
            <w:tcW w:type="dxa" w:w="1800"/>
            <w:vAlign w:val="center"/>
          </w:tcPr>
          <w:p>
            <w:r/>
            <w:r>
              <w:rPr>
                <w:b w:val="0"/>
                <w:sz w:val="16"/>
              </w:rPr>
              <w:t>Technical failures</w:t>
            </w:r>
          </w:p>
        </w:tc>
        <w:tc>
          <w:tcPr>
            <w:tcW w:type="dxa" w:w="4752"/>
            <w:vAlign w:val="center"/>
          </w:tcPr>
          <w:p>
            <w:r/>
            <w:r>
              <w:rPr>
                <w:b w:val="0"/>
                <w:sz w:val="16"/>
              </w:rPr>
              <w:t>Clear merge, unrecoverable tracking/label inconsistency, or other hard failure.</w:t>
            </w:r>
          </w:p>
        </w:tc>
        <w:tc>
          <w:tcPr>
            <w:tcW w:type="dxa" w:w="3384"/>
            <w:vAlign w:val="center"/>
          </w:tcPr>
          <w:p>
            <w:r/>
            <w:r>
              <w:rPr>
                <w:b w:val="0"/>
                <w:sz w:val="16"/>
              </w:rPr>
              <w:t>Exclude from primary morphology estimates but preserve in output.</w:t>
            </w:r>
          </w:p>
        </w:tc>
      </w:tr>
    </w:tbl>
    <w:p>
      <w:pPr>
        <w:pStyle w:val="Heading1"/>
      </w:pPr>
      <w:r>
        <w:t>8. Software Outputs and Quantitative Summaries</w:t>
      </w:r>
    </w:p>
    <w:p>
      <w:r>
        <w:t>For biological analysis, use the estimated unique-nucleus count and the one-row-per-track morphology table. Per-plane counts describe segmentation through Z and are diagnostic only; they must not be added and interpreted as unique nuclei. QC annotations stay attached to each track so sensitivity analyses can be performed without creating competing result populations.</w:t>
      </w:r>
    </w:p>
    <w:p>
      <w:pPr>
        <w:jc w:val="center"/>
      </w:pPr>
      <w:r>
        <w:drawing>
          <wp:inline xmlns:a="http://schemas.openxmlformats.org/drawingml/2006/main" xmlns:pic="http://schemas.openxmlformats.org/drawingml/2006/picture">
            <wp:extent cx="6172200" cy="4629150"/>
            <wp:docPr id="10" name="Picture 10"/>
            <wp:cNvGraphicFramePr>
              <a:graphicFrameLocks noChangeAspect="1"/>
            </wp:cNvGraphicFramePr>
            <a:graphic>
              <a:graphicData uri="http://schemas.openxmlformats.org/drawingml/2006/picture">
                <pic:pic>
                  <pic:nvPicPr>
                    <pic:cNvPr id="0" name="figure_06_example_statistics.png"/>
                    <pic:cNvPicPr/>
                  </pic:nvPicPr>
                  <pic:blipFill>
                    <a:blip r:embed="rId20"/>
                    <a:stretch>
                      <a:fillRect/>
                    </a:stretch>
                  </pic:blipFill>
                  <pic:spPr>
                    <a:xfrm>
                      <a:off x="0" y="0"/>
                      <a:ext cx="6172200" cy="4629150"/>
                    </a:xfrm>
                    <a:prstGeom prst="rect"/>
                  </pic:spPr>
                </pic:pic>
              </a:graphicData>
            </a:graphic>
          </wp:inline>
        </w:drawing>
      </w:r>
    </w:p>
    <w:p>
      <w:pPr>
        <w:jc w:val="center"/>
      </w:pPr>
      <w:r>
        <w:rPr>
          <w:b/>
          <w:i/>
          <w:color w:val="1F4E78"/>
          <w:sz w:val="18"/>
        </w:rPr>
        <w:t>Figure 10. Example software-report output: plane-level detection counts, 2D length and width distributions, and classical/U-Net provenance. These plots demonstrate reporting and are not a substitute for the tracked unique-nucleus result.</w:t>
      </w:r>
    </w:p>
    <w:p>
      <w:pPr>
        <w:pStyle w:val="ListBullet"/>
        <w:spacing w:after="40"/>
      </w:pPr>
      <w:r>
        <w:t>spermatid_measurements: technical plane-level detections used to inspect segmentation; not the unique-nucleus count.</w:t>
      </w:r>
    </w:p>
    <w:p>
      <w:pPr>
        <w:pStyle w:val="ListBullet"/>
        <w:spacing w:after="40"/>
      </w:pPr>
      <w:r>
        <w:t>measurements_with_tracks: plane-level provenance showing which detections were joined.</w:t>
      </w:r>
    </w:p>
    <w:p>
      <w:pPr>
        <w:pStyle w:val="ListBullet"/>
        <w:spacing w:after="40"/>
      </w:pPr>
      <w:r>
        <w:t>track_summary_all: reconstruction audit table, including hard technical failures.</w:t>
      </w:r>
    </w:p>
    <w:p>
      <w:pPr>
        <w:pStyle w:val="ListBullet"/>
        <w:spacing w:after="40"/>
      </w:pPr>
      <w:r>
        <w:t>track_summary_technical_valid: primary one-row-per-estimated-nucleus table for biological analysis.</w:t>
      </w:r>
    </w:p>
    <w:p>
      <w:pPr>
        <w:pStyle w:val="ListBullet"/>
        <w:spacing w:after="40"/>
      </w:pPr>
      <w:r>
        <w:t>Reference-morphology and morphology-warning fields: QC annotations for review and sensitivity analysis, not separate biological populations.</w:t>
      </w:r>
    </w:p>
    <w:p>
      <w:pPr>
        <w:pStyle w:val="ListBullet"/>
        <w:spacing w:after="40"/>
      </w:pPr>
      <w:r>
        <w:t>PDF summary: the recommended first result for a biologist, including the estimated unique-nucleus count, morphology summaries, sampled exposure, and QC warnings.</w:t>
      </w:r>
    </w:p>
    <w:p>
      <w:pPr>
        <w:pStyle w:val="Heading1"/>
      </w:pPr>
      <w:r>
        <w:t>9. Multi-Sample Studies and ROI Normalization</w:t>
      </w:r>
    </w:p>
    <w:p>
      <w:r>
        <w:t>Each biological specimen is processed independently with its own image directory, ROI, Z range, XY calibration, and Z spacing. The manager writes one attempt directory per specimen and then aggregates specimen-level summaries. Individual tracks are not treated as biological replicates; the specimen is the replicate for group comparisons.</w:t>
      </w:r>
    </w:p>
    <w:p>
      <w:pPr>
        <w:jc w:val="center"/>
      </w:pPr>
      <w:r>
        <w:drawing>
          <wp:inline xmlns:a="http://schemas.openxmlformats.org/drawingml/2006/main" xmlns:pic="http://schemas.openxmlformats.org/drawingml/2006/picture">
            <wp:extent cx="6172200" cy="3399941"/>
            <wp:docPr id="11" name="Picture 11"/>
            <wp:cNvGraphicFramePr>
              <a:graphicFrameLocks noChangeAspect="1"/>
            </wp:cNvGraphicFramePr>
            <a:graphic>
              <a:graphicData uri="http://schemas.openxmlformats.org/drawingml/2006/picture">
                <pic:pic>
                  <pic:nvPicPr>
                    <pic:cNvPr id="0" name="figure_07_multisample_study_manager.png"/>
                    <pic:cNvPicPr/>
                  </pic:nvPicPr>
                  <pic:blipFill>
                    <a:blip r:embed="rId21"/>
                    <a:stretch>
                      <a:fillRect/>
                    </a:stretch>
                  </pic:blipFill>
                  <pic:spPr>
                    <a:xfrm>
                      <a:off x="0" y="0"/>
                      <a:ext cx="6172200" cy="3399941"/>
                    </a:xfrm>
                    <a:prstGeom prst="rect"/>
                  </pic:spPr>
                </pic:pic>
              </a:graphicData>
            </a:graphic>
          </wp:inline>
        </w:drawing>
      </w:r>
    </w:p>
    <w:p>
      <w:pPr>
        <w:jc w:val="center"/>
      </w:pPr>
      <w:r>
        <w:rPr>
          <w:b/>
          <w:i/>
          <w:color w:val="1F4E78"/>
          <w:sz w:val="18"/>
        </w:rPr>
        <w:t>Figure 11. Multi-sample study manager with independently identified WT and SATNull specimens. Each row records its own image directory, ROI, analyzed Z range, calibration, status, and output location.</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ROI area</w:t>
            </w:r>
          </w:p>
        </w:tc>
        <w:tc>
          <w:tcPr>
            <w:tcW w:type="dxa" w:w="5083"/>
          </w:tcPr>
          <w:p>
            <w:r/>
            <w:r>
              <w:rPr>
                <w:rFonts w:ascii="Consolas" w:hAnsi="Consolas"/>
                <w:b/>
                <w:sz w:val="18"/>
              </w:rPr>
              <w:t>ROI_area_um2 = ROI_pixel_count x XY_um_per_pixel^2</w:t>
            </w:r>
          </w:p>
          <w:p>
            <w:pPr>
              <w:spacing w:after="0"/>
            </w:pPr>
            <w:r>
              <w:rPr>
                <w:sz w:val="17"/>
              </w:rPr>
              <w:t>Records how much specimen area was sampled in each image plane.</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Sampled depth</w:t>
            </w:r>
          </w:p>
        </w:tc>
        <w:tc>
          <w:tcPr>
            <w:tcW w:type="dxa" w:w="5083"/>
          </w:tcPr>
          <w:p>
            <w:r/>
            <w:r>
              <w:rPr>
                <w:rFonts w:ascii="Consolas" w:hAnsi="Consolas"/>
                <w:b/>
                <w:sz w:val="18"/>
              </w:rPr>
              <w:t>sampled_depth_um = included_slice_count x Z_um_per_slice</w:t>
            </w:r>
          </w:p>
          <w:p>
            <w:pPr>
              <w:spacing w:after="0"/>
            </w:pPr>
            <w:r>
              <w:rPr>
                <w:sz w:val="17"/>
              </w:rPr>
              <w:t>Uses sampled slab thickness. Stack endpoint span is reported separately as (slices - 1) x Z spacing.</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Sampled ROI volume</w:t>
            </w:r>
          </w:p>
        </w:tc>
        <w:tc>
          <w:tcPr>
            <w:tcW w:type="dxa" w:w="5083"/>
          </w:tcPr>
          <w:p>
            <w:r/>
            <w:r>
              <w:rPr>
                <w:rFonts w:ascii="Consolas" w:hAnsi="Consolas"/>
                <w:b/>
                <w:sz w:val="18"/>
              </w:rPr>
              <w:t>sampled_volume_um3 = ROI_area_um2 x sampled_depth_um</w:t>
            </w:r>
          </w:p>
          <w:p>
            <w:pPr>
              <w:spacing w:after="0"/>
            </w:pPr>
            <w:r>
              <w:rPr>
                <w:sz w:val="17"/>
              </w:rPr>
              <w:t>Used for exposure-normalized count rates, with an explicit Z-boundary censoring warning.</w:t>
            </w:r>
          </w:p>
        </w:tc>
      </w:tr>
    </w:tbl>
    <w:tbl>
      <w:tblPr>
        <w:tblStyle w:val="TableGrid"/>
        <w:tblW w:type="auto" w:w="0"/>
        <w:jc w:val="center"/>
        <w:tblLook w:firstColumn="1" w:firstRow="1" w:lastColumn="0" w:lastRow="0" w:noHBand="0" w:noVBand="1" w:val="04A0"/>
      </w:tblPr>
      <w:tblGrid>
        <w:gridCol w:w="5083"/>
        <w:gridCol w:w="5083"/>
      </w:tblGrid>
      <w:tr>
        <w:tc>
          <w:tcPr>
            <w:tcW w:type="dxa" w:w="5083"/>
            <w:vAlign w:val="center"/>
            <w:shd w:fill="0F766E"/>
          </w:tcPr>
          <w:p>
            <w:r/>
            <w:r>
              <w:rPr>
                <w:b/>
                <w:color w:val="FFFFFF"/>
                <w:sz w:val="18"/>
              </w:rPr>
              <w:t>Normalized counts</w:t>
            </w:r>
          </w:p>
        </w:tc>
        <w:tc>
          <w:tcPr>
            <w:tcW w:type="dxa" w:w="5083"/>
          </w:tcPr>
          <w:p>
            <w:r/>
            <w:r>
              <w:rPr>
                <w:rFonts w:ascii="Consolas" w:hAnsi="Consolas"/>
                <w:b/>
                <w:sz w:val="18"/>
              </w:rPr>
              <w:t>tracks_per_1000_um2 = tracks / ROI_area_um2 x 1000</w:t>
              <w:br/>
              <w:t>tracks_per_100000_um3 = tracks / sampled_volume_um3 x 100000</w:t>
            </w:r>
          </w:p>
          <w:p>
            <w:pPr>
              <w:spacing w:after="0"/>
            </w:pPr>
            <w:r>
              <w:rPr>
                <w:sz w:val="17"/>
              </w:rPr>
              <w:t>These rates correct unequal sampled exposure; they do not correct biological differences in tissue packing, staining, or acquisition quality.</w:t>
            </w:r>
          </w:p>
        </w:tc>
      </w:tr>
    </w:tbl>
    <w:p>
      <w:r>
        <w:t>The study output includes specimen_summary.csv, group_summary.csv, study_track_records.csv, study_manifest.csv, study_run_state.json, and normalization_qc.json. The normalization QC warns when ROI area or sampled volume differs greatly across specimens, exposure is invalid, or many tracks touch a Z boundary.</w:t>
      </w:r>
    </w:p>
    <w:p>
      <w:pPr>
        <w:pStyle w:val="Heading1"/>
      </w:pPr>
      <w:r>
        <w:t>10. Reproducibility and Interpretation</w:t>
      </w:r>
    </w:p>
    <w:tbl>
      <w:tblPr>
        <w:tblStyle w:val="TableGrid"/>
        <w:tblW w:type="auto" w:w="0"/>
        <w:jc w:val="center"/>
        <w:tblLook w:firstColumn="1" w:firstRow="1" w:lastColumn="0" w:lastRow="0" w:noHBand="0" w:noVBand="1" w:val="04A0"/>
      </w:tblPr>
      <w:tblGrid>
        <w:gridCol w:w="5083"/>
        <w:gridCol w:w="5083"/>
      </w:tblGrid>
      <w:tr>
        <w:tc>
          <w:tcPr>
            <w:tcW w:type="dxa" w:w="3240"/>
            <w:vAlign w:val="center"/>
            <w:shd w:fill="1F4E78"/>
          </w:tcPr>
          <w:p>
            <w:r/>
            <w:r>
              <w:rPr>
                <w:b/>
                <w:color w:val="FFFFFF"/>
                <w:sz w:val="16"/>
              </w:rPr>
              <w:t>Record for every study</w:t>
            </w:r>
          </w:p>
        </w:tc>
        <w:tc>
          <w:tcPr>
            <w:tcW w:type="dxa" w:w="6696"/>
            <w:vAlign w:val="center"/>
            <w:shd w:fill="1F4E78"/>
          </w:tcPr>
          <w:p>
            <w:r/>
            <w:r>
              <w:rPr>
                <w:b/>
                <w:color w:val="FFFFFF"/>
                <w:sz w:val="16"/>
              </w:rPr>
              <w:t>Why it matters</w:t>
            </w:r>
          </w:p>
        </w:tc>
      </w:tr>
      <w:tr>
        <w:tc>
          <w:tcPr>
            <w:tcW w:type="dxa" w:w="3240"/>
            <w:vAlign w:val="center"/>
          </w:tcPr>
          <w:p>
            <w:r/>
            <w:r>
              <w:rPr>
                <w:b w:val="0"/>
                <w:sz w:val="16"/>
              </w:rPr>
              <w:t>Raw image paths and specimen IDs</w:t>
            </w:r>
          </w:p>
        </w:tc>
        <w:tc>
          <w:tcPr>
            <w:tcW w:type="dxa" w:w="6696"/>
            <w:vAlign w:val="center"/>
          </w:tcPr>
          <w:p>
            <w:r/>
            <w:r>
              <w:rPr>
                <w:b w:val="0"/>
                <w:sz w:val="16"/>
              </w:rPr>
              <w:t>Separates biological replicates and prevents mixed output folders.</w:t>
            </w:r>
          </w:p>
        </w:tc>
      </w:tr>
      <w:tr>
        <w:tc>
          <w:tcPr>
            <w:tcW w:type="dxa" w:w="3240"/>
            <w:vAlign w:val="center"/>
            <w:shd w:fill="F3F6F8"/>
          </w:tcPr>
          <w:p>
            <w:r/>
            <w:r>
              <w:rPr>
                <w:b w:val="0"/>
                <w:sz w:val="16"/>
              </w:rPr>
              <w:t>ROI file and ROI pixel count</w:t>
            </w:r>
          </w:p>
        </w:tc>
        <w:tc>
          <w:tcPr>
            <w:tcW w:type="dxa" w:w="6696"/>
            <w:vAlign w:val="center"/>
            <w:shd w:fill="F3F6F8"/>
          </w:tcPr>
          <w:p>
            <w:r/>
            <w:r>
              <w:rPr>
                <w:b w:val="0"/>
                <w:sz w:val="16"/>
              </w:rPr>
              <w:t>Defines sampled tissue and normalization exposure.</w:t>
            </w:r>
          </w:p>
        </w:tc>
      </w:tr>
      <w:tr>
        <w:tc>
          <w:tcPr>
            <w:tcW w:type="dxa" w:w="3240"/>
            <w:vAlign w:val="center"/>
          </w:tcPr>
          <w:p>
            <w:r/>
            <w:r>
              <w:rPr>
                <w:b w:val="0"/>
                <w:sz w:val="16"/>
              </w:rPr>
              <w:t>XY pixel size and Z spacing</w:t>
            </w:r>
          </w:p>
        </w:tc>
        <w:tc>
          <w:tcPr>
            <w:tcW w:type="dxa" w:w="6696"/>
            <w:vAlign w:val="center"/>
          </w:tcPr>
          <w:p>
            <w:r/>
            <w:r>
              <w:rPr>
                <w:b w:val="0"/>
                <w:sz w:val="16"/>
              </w:rPr>
              <w:t>Scales every length, width, volume, angle, and normalized count.</w:t>
            </w:r>
          </w:p>
        </w:tc>
      </w:tr>
      <w:tr>
        <w:tc>
          <w:tcPr>
            <w:tcW w:type="dxa" w:w="3240"/>
            <w:vAlign w:val="center"/>
            <w:shd w:fill="F3F6F8"/>
          </w:tcPr>
          <w:p>
            <w:r/>
            <w:r>
              <w:rPr>
                <w:b w:val="0"/>
                <w:sz w:val="16"/>
              </w:rPr>
              <w:t>Pipeline version and tuned parameter JSON</w:t>
            </w:r>
          </w:p>
        </w:tc>
        <w:tc>
          <w:tcPr>
            <w:tcW w:type="dxa" w:w="6696"/>
            <w:vAlign w:val="center"/>
            <w:shd w:fill="F3F6F8"/>
          </w:tcPr>
          <w:p>
            <w:r/>
            <w:r>
              <w:rPr>
                <w:b w:val="0"/>
                <w:sz w:val="16"/>
              </w:rPr>
              <w:t>Makes segmentation and tracking behavior reproducible.</w:t>
            </w:r>
          </w:p>
        </w:tc>
      </w:tr>
      <w:tr>
        <w:tc>
          <w:tcPr>
            <w:tcW w:type="dxa" w:w="3240"/>
            <w:vAlign w:val="center"/>
          </w:tcPr>
          <w:p>
            <w:r/>
            <w:r>
              <w:rPr>
                <w:b w:val="0"/>
                <w:sz w:val="16"/>
              </w:rPr>
              <w:t>U-Net checkpoint and probability thresholds</w:t>
            </w:r>
          </w:p>
        </w:tc>
        <w:tc>
          <w:tcPr>
            <w:tcW w:type="dxa" w:w="6696"/>
            <w:vAlign w:val="center"/>
          </w:tcPr>
          <w:p>
            <w:r/>
            <w:r>
              <w:rPr>
                <w:b w:val="0"/>
                <w:sz w:val="16"/>
              </w:rPr>
              <w:t>Defines AI evidence, rescue sensitivity, and instance splitting.</w:t>
            </w:r>
          </w:p>
        </w:tc>
      </w:tr>
      <w:tr>
        <w:tc>
          <w:tcPr>
            <w:tcW w:type="dxa" w:w="3240"/>
            <w:vAlign w:val="center"/>
            <w:shd w:fill="F3F6F8"/>
          </w:tcPr>
          <w:p>
            <w:r/>
            <w:r>
              <w:rPr>
                <w:b w:val="0"/>
                <w:sz w:val="16"/>
              </w:rPr>
              <w:t>Detection source and audit flags</w:t>
            </w:r>
          </w:p>
        </w:tc>
        <w:tc>
          <w:tcPr>
            <w:tcW w:type="dxa" w:w="6696"/>
            <w:vAlign w:val="center"/>
            <w:shd w:fill="F3F6F8"/>
          </w:tcPr>
          <w:p>
            <w:r>
              <w:t>Keeps classical/U-Net provenance and QC annotations auditable without creating competing biological populations.</w:t>
            </w:r>
          </w:p>
        </w:tc>
      </w:tr>
      <w:tr>
        <w:tc>
          <w:tcPr>
            <w:tcW w:type="dxa" w:w="3240"/>
            <w:vAlign w:val="center"/>
          </w:tcPr>
          <w:p>
            <w:r/>
            <w:r>
              <w:rPr>
                <w:b w:val="0"/>
                <w:sz w:val="16"/>
              </w:rPr>
              <w:t>Acquisition class and microscope settings</w:t>
            </w:r>
          </w:p>
        </w:tc>
        <w:tc>
          <w:tcPr>
            <w:tcW w:type="dxa" w:w="6696"/>
            <w:vAlign w:val="center"/>
          </w:tcPr>
          <w:p>
            <w:r/>
            <w:r>
              <w:rPr>
                <w:b w:val="0"/>
                <w:sz w:val="16"/>
              </w:rPr>
              <w:t>Prevents interpretation of optical differences as genotype effects.</w:t>
            </w:r>
          </w:p>
        </w:tc>
      </w:tr>
      <w:tr>
        <w:tc>
          <w:tcPr>
            <w:tcW w:type="dxa" w:w="3240"/>
            <w:vAlign w:val="center"/>
            <w:shd w:fill="F3F6F8"/>
          </w:tcPr>
          <w:p>
            <w:r/>
            <w:r>
              <w:rPr>
                <w:b w:val="0"/>
                <w:sz w:val="16"/>
              </w:rPr>
              <w:t>Normalization and Z-boundary QC</w:t>
            </w:r>
          </w:p>
        </w:tc>
        <w:tc>
          <w:tcPr>
            <w:tcW w:type="dxa" w:w="6696"/>
            <w:vAlign w:val="center"/>
            <w:shd w:fill="F3F6F8"/>
          </w:tcPr>
          <w:p>
            <w:r/>
            <w:r>
              <w:rPr>
                <w:b w:val="0"/>
                <w:sz w:val="16"/>
              </w:rPr>
              <w:t>Identifies unequal exposure and truncated stacks.</w:t>
            </w:r>
          </w:p>
        </w:tc>
      </w:tr>
    </w:tbl>
    <w:p>
      <w:pPr>
        <w:pStyle w:val="Heading1"/>
      </w:pPr>
      <w:r>
        <w:t>11. Important Limitations</w:t>
      </w:r>
    </w:p>
    <w:p>
      <w:pPr>
        <w:pStyle w:val="ListBullet"/>
        <w:spacing w:after="40"/>
      </w:pPr>
      <w:r>
        <w:t>A 2.5D U-Net uses local Z context but does not itself create unique 3D nuclei; cross-slice tracking is still required.</w:t>
      </w:r>
    </w:p>
    <w:p>
      <w:pPr>
        <w:pStyle w:val="ListBullet"/>
        <w:spacing w:after="40"/>
      </w:pPr>
      <w:r>
        <w:t>The U-Net was trained on a limited annotated dataset. New acquisition classes require representative visual validation and may require fine-tuning.</w:t>
      </w:r>
    </w:p>
    <w:p>
      <w:pPr>
        <w:pStyle w:val="ListBullet"/>
        <w:spacing w:after="40"/>
      </w:pPr>
      <w:r>
        <w:t>Apparent width, projected area, volume, and effective thickness are sensitive to PSF, staining, saturation, and thresholding.</w:t>
      </w:r>
    </w:p>
    <w:p>
      <w:pPr>
        <w:pStyle w:val="ListBullet"/>
        <w:spacing w:after="40"/>
      </w:pPr>
      <w:r>
        <w:t>The reported 3D length is a calibrated hypotenuse estimate, not a full 3D voxel centerline arc.</w:t>
      </w:r>
    </w:p>
    <w:p>
      <w:pPr>
        <w:pStyle w:val="ListBullet"/>
        <w:spacing w:after="40"/>
      </w:pPr>
      <w:r>
        <w:t>Tracks touching the first or last acquired Z plane may be truncated; their counts and morphology need censoring review.</w:t>
      </w:r>
    </w:p>
    <w:p>
      <w:pPr>
        <w:pStyle w:val="ListBullet"/>
        <w:spacing w:after="40"/>
      </w:pPr>
      <w:r>
        <w:t>ROI normalization corrects sampled exposure, not biological tissue density or staining efficiency.</w:t>
      </w:r>
    </w:p>
    <w:p>
      <w:pPr>
        <w:pStyle w:val="ListBullet"/>
        <w:spacing w:after="40"/>
      </w:pPr>
      <w:r>
        <w:t>WT-versus-mutant inference should use specimens as replicates, report sample size and effect sizes, and avoid treating thousands of tracks as independent animals.</w:t>
      </w:r>
    </w:p>
    <w:p>
      <w:pPr>
        <w:pStyle w:val="ListBullet"/>
        <w:spacing w:after="40"/>
      </w:pPr>
      <w:r>
        <w:t>Visual review panels remain essential when applying the pipeline to a new microscope, magnification, channel, genotype, or preparation.</w:t>
      </w:r>
    </w:p>
    <w:p>
      <w:pPr>
        <w:pStyle w:val="Heading1"/>
      </w:pPr>
      <w:r>
        <w:t>12. Recommended New-Dataset Workflow</w:t>
      </w:r>
    </w:p>
    <w:p>
      <w:pPr>
        <w:pStyle w:val="ListNumber"/>
      </w:pPr>
      <w:r>
        <w:t>Organize one top-level image directory per biological specimen and retain the microscope metadata.</w:t>
      </w:r>
    </w:p>
    <w:p>
      <w:pPr>
        <w:pStyle w:val="ListNumber"/>
      </w:pPr>
      <w:r>
        <w:t>Create or load one ROI per specimen; confirm its contour on early, middle, and late planes.</w:t>
      </w:r>
    </w:p>
    <w:p>
      <w:pPr>
        <w:pStyle w:val="ListNumber"/>
      </w:pPr>
      <w:r>
        <w:t>Enter the correct XY pixel size and Z spacing for each acquisition.</w:t>
      </w:r>
    </w:p>
    <w:p>
      <w:pPr>
        <w:pStyle w:val="ListNumber"/>
      </w:pPr>
      <w:r>
        <w:t>Run a representative-slice smoke test before the complete stack.</w:t>
      </w:r>
    </w:p>
    <w:p>
      <w:pPr>
        <w:pStyle w:val="ListNumber"/>
      </w:pPr>
      <w:r>
        <w:t>Inspect raw, preprocessing, probability, accepted, rejected, and tracking overlays.</w:t>
      </w:r>
    </w:p>
    <w:p>
      <w:pPr>
        <w:pStyle w:val="ListNumber"/>
      </w:pPr>
      <w:r>
        <w:t>Tune segmentation and U-Net rescue only on representative development images; keep held-out specimens for validation.</w:t>
      </w:r>
    </w:p>
    <w:p>
      <w:pPr>
        <w:pStyle w:val="ListNumber"/>
      </w:pPr>
      <w:r>
        <w:t>Run the multi-sample manager so every specimen receives an independent attempt directory.</w:t>
      </w:r>
    </w:p>
    <w:p>
      <w:pPr>
        <w:pStyle w:val="ListNumber"/>
      </w:pPr>
      <w:r>
        <w:t>Review normalization_qc.json and Z-boundary warnings before comparing groups.</w:t>
      </w:r>
    </w:p>
    <w:p>
      <w:pPr>
        <w:pStyle w:val="ListNumber"/>
      </w:pPr>
      <w:r>
        <w:t>Use the estimated unique-nucleus population for the primary comparison. Review morphology, boundary, and tracking annotations as sensitivity analyses rather than treating them as separate counts.</w:t>
      </w:r>
    </w:p>
    <w:p>
      <w:pPr>
        <w:pStyle w:val="ListNumber"/>
      </w:pPr>
      <w:r>
        <w:t>Archive the manifest, parameter JSON, U-Net checkpoint identifier, reports, and code version with the study.</w:t>
      </w:r>
    </w:p>
    <w:p>
      <w:pPr>
        <w:pStyle w:val="Heading1"/>
      </w:pPr>
      <w:r>
        <w:t>Appendix A. Demonstration Run Provenance</w:t>
      </w:r>
    </w:p>
    <w:tbl>
      <w:tblPr>
        <w:tblStyle w:val="TableGrid"/>
        <w:tblW w:type="auto" w:w="0"/>
        <w:jc w:val="center"/>
        <w:tblLook w:firstColumn="1" w:firstRow="1" w:lastColumn="0" w:lastRow="0" w:noHBand="0" w:noVBand="1" w:val="04A0"/>
      </w:tblPr>
      <w:tblGrid>
        <w:gridCol w:w="5083"/>
        <w:gridCol w:w="5083"/>
      </w:tblGrid>
      <w:tr>
        <w:tc>
          <w:tcPr>
            <w:tcW w:type="dxa" w:w="2448"/>
            <w:vAlign w:val="center"/>
            <w:shd w:fill="1F4E78"/>
          </w:tcPr>
          <w:p>
            <w:r/>
            <w:r>
              <w:rPr>
                <w:b/>
                <w:color w:val="FFFFFF"/>
                <w:sz w:val="16"/>
              </w:rPr>
              <w:t>Item</w:t>
            </w:r>
          </w:p>
        </w:tc>
        <w:tc>
          <w:tcPr>
            <w:tcW w:type="dxa" w:w="7488"/>
            <w:vAlign w:val="center"/>
            <w:shd w:fill="1F4E78"/>
          </w:tcPr>
          <w:p>
            <w:r/>
            <w:r>
              <w:rPr>
                <w:b/>
                <w:color w:val="FFFFFF"/>
                <w:sz w:val="16"/>
              </w:rPr>
              <w:t>Recorded value</w:t>
            </w:r>
          </w:p>
        </w:tc>
      </w:tr>
      <w:tr>
        <w:tc>
          <w:tcPr>
            <w:tcW w:type="dxa" w:w="2448"/>
            <w:vAlign w:val="center"/>
          </w:tcPr>
          <w:p>
            <w:r/>
            <w:r>
              <w:rPr>
                <w:b w:val="0"/>
                <w:sz w:val="16"/>
              </w:rPr>
              <w:t>Pipeline</w:t>
            </w:r>
          </w:p>
        </w:tc>
        <w:tc>
          <w:tcPr>
            <w:tcW w:type="dxa" w:w="7488"/>
            <w:vAlign w:val="center"/>
          </w:tcPr>
          <w:p>
            <w:r/>
            <w:r>
              <w:rPr>
                <w:b w:val="0"/>
                <w:sz w:val="16"/>
              </w:rPr>
              <w:t>C:\Users\dmishra\Desktop\sperm_project\sperm_segmentation_saturnv5.7.py</w:t>
            </w:r>
          </w:p>
        </w:tc>
      </w:tr>
      <w:tr>
        <w:tc>
          <w:tcPr>
            <w:tcW w:type="dxa" w:w="2448"/>
            <w:vAlign w:val="center"/>
            <w:shd w:fill="F3F6F8"/>
          </w:tcPr>
          <w:p>
            <w:r/>
            <w:r>
              <w:rPr>
                <w:b w:val="0"/>
                <w:sz w:val="16"/>
              </w:rPr>
              <w:t>Dataset</w:t>
            </w:r>
          </w:p>
        </w:tc>
        <w:tc>
          <w:tcPr>
            <w:tcW w:type="dxa" w:w="7488"/>
            <w:vAlign w:val="center"/>
            <w:shd w:fill="F3F6F8"/>
          </w:tcPr>
          <w:p>
            <w:r/>
            <w:r>
              <w:rPr>
                <w:b w:val="0"/>
                <w:sz w:val="16"/>
              </w:rPr>
              <w:t>C:\Users\dmishra\Desktop\sperm images</w:t>
            </w:r>
          </w:p>
        </w:tc>
      </w:tr>
      <w:tr>
        <w:tc>
          <w:tcPr>
            <w:tcW w:type="dxa" w:w="2448"/>
            <w:vAlign w:val="center"/>
          </w:tcPr>
          <w:p>
            <w:r/>
            <w:r>
              <w:rPr>
                <w:b w:val="0"/>
                <w:sz w:val="16"/>
              </w:rPr>
              <w:t>ROI</w:t>
            </w:r>
          </w:p>
        </w:tc>
        <w:tc>
          <w:tcPr>
            <w:tcW w:type="dxa" w:w="7488"/>
            <w:vAlign w:val="center"/>
          </w:tcPr>
          <w:p>
            <w:r/>
            <w:r>
              <w:rPr>
                <w:b w:val="0"/>
                <w:sz w:val="16"/>
              </w:rPr>
              <w:t>C:\Users\dmishra\Desktop\sperm images\roi_z28.1.npy</w:t>
            </w:r>
          </w:p>
        </w:tc>
      </w:tr>
      <w:tr>
        <w:tc>
          <w:tcPr>
            <w:tcW w:type="dxa" w:w="2448"/>
            <w:vAlign w:val="center"/>
            <w:shd w:fill="F3F6F8"/>
          </w:tcPr>
          <w:p>
            <w:r/>
            <w:r>
              <w:rPr>
                <w:b w:val="0"/>
                <w:sz w:val="16"/>
              </w:rPr>
              <w:t>Tuned parameters</w:t>
            </w:r>
          </w:p>
        </w:tc>
        <w:tc>
          <w:tcPr>
            <w:tcW w:type="dxa" w:w="7488"/>
            <w:vAlign w:val="center"/>
            <w:shd w:fill="F3F6F8"/>
          </w:tcPr>
          <w:p>
            <w:r/>
            <w:r>
              <w:rPr>
                <w:b w:val="0"/>
                <w:sz w:val="16"/>
              </w:rPr>
              <w:t>C:\Users\dmishra\Desktop\sperm_project\parameter_tuning_results_v5_7\unet_rescue_cached\best_unet_rescue_params_v5_7_001.json</w:t>
            </w:r>
          </w:p>
        </w:tc>
      </w:tr>
      <w:tr>
        <w:tc>
          <w:tcPr>
            <w:tcW w:type="dxa" w:w="2448"/>
            <w:vAlign w:val="center"/>
          </w:tcPr>
          <w:p>
            <w:r/>
            <w:r>
              <w:rPr>
                <w:b w:val="0"/>
                <w:sz w:val="16"/>
              </w:rPr>
              <w:t>U-Net checkpoint</w:t>
            </w:r>
          </w:p>
        </w:tc>
        <w:tc>
          <w:tcPr>
            <w:tcW w:type="dxa" w:w="7488"/>
            <w:vAlign w:val="center"/>
          </w:tcPr>
          <w:p>
            <w:r/>
            <w:r>
              <w:rPr>
                <w:b w:val="0"/>
                <w:sz w:val="16"/>
              </w:rPr>
              <w:t>C:\Users\dmishra\Downloads\unet25d_output_kaggle_resume\checkpoints_resatt_partial_annotated2_resume\best.pt</w:t>
            </w:r>
          </w:p>
        </w:tc>
      </w:tr>
      <w:tr>
        <w:tc>
          <w:tcPr>
            <w:tcW w:type="dxa" w:w="2448"/>
            <w:vAlign w:val="center"/>
            <w:shd w:fill="F3F6F8"/>
          </w:tcPr>
          <w:p>
            <w:r/>
            <w:r>
              <w:rPr>
                <w:b w:val="0"/>
                <w:sz w:val="16"/>
              </w:rPr>
              <w:t>Selected slices</w:t>
            </w:r>
          </w:p>
        </w:tc>
        <w:tc>
          <w:tcPr>
            <w:tcW w:type="dxa" w:w="7488"/>
            <w:vAlign w:val="center"/>
            <w:shd w:fill="F3F6F8"/>
          </w:tcPr>
          <w:p>
            <w:r/>
            <w:r>
              <w:rPr>
                <w:b w:val="0"/>
                <w:sz w:val="16"/>
              </w:rPr>
              <w:t>34, 35, 36, 37</w:t>
            </w:r>
          </w:p>
        </w:tc>
      </w:tr>
      <w:tr>
        <w:tc>
          <w:tcPr>
            <w:tcW w:type="dxa" w:w="2448"/>
            <w:vAlign w:val="center"/>
          </w:tcPr>
          <w:p>
            <w:r/>
            <w:r>
              <w:rPr>
                <w:b w:val="0"/>
                <w:sz w:val="16"/>
              </w:rPr>
              <w:t>ROI pixels</w:t>
            </w:r>
          </w:p>
        </w:tc>
        <w:tc>
          <w:tcPr>
            <w:tcW w:type="dxa" w:w="7488"/>
            <w:vAlign w:val="center"/>
          </w:tcPr>
          <w:p>
            <w:r/>
            <w:r>
              <w:rPr>
                <w:b w:val="0"/>
                <w:sz w:val="16"/>
              </w:rPr>
              <w:t>284,436</w:t>
            </w:r>
          </w:p>
        </w:tc>
      </w:tr>
      <w:tr>
        <w:tc>
          <w:tcPr>
            <w:tcW w:type="dxa" w:w="2448"/>
            <w:vAlign w:val="center"/>
            <w:shd w:fill="F3F6F8"/>
          </w:tcPr>
          <w:p>
            <w:r/>
            <w:r>
              <w:rPr>
                <w:b w:val="0"/>
                <w:sz w:val="16"/>
              </w:rPr>
              <w:t>Illustrative accepted 2D detections</w:t>
            </w:r>
          </w:p>
        </w:tc>
        <w:tc>
          <w:tcPr>
            <w:tcW w:type="dxa" w:w="7488"/>
            <w:vAlign w:val="center"/>
            <w:shd w:fill="F3F6F8"/>
          </w:tcPr>
          <w:p>
            <w:r/>
            <w:r>
              <w:rPr>
                <w:b w:val="0"/>
                <w:sz w:val="16"/>
              </w:rPr>
              <w:t>1,434 (1,036 classical; 398 U-Net rescue)</w:t>
            </w:r>
          </w:p>
        </w:tc>
      </w:tr>
    </w:tbl>
    <w:p>
      <w:pPr>
        <w:pStyle w:val="Heading1"/>
      </w:pPr>
      <w:r>
        <w:t>Appendix B. Terminology</w:t>
      </w:r>
    </w:p>
    <w:tbl>
      <w:tblPr>
        <w:tblStyle w:val="TableGrid"/>
        <w:tblW w:type="auto" w:w="0"/>
        <w:jc w:val="center"/>
        <w:tblLook w:firstColumn="1" w:firstRow="1" w:lastColumn="0" w:lastRow="0" w:noHBand="0" w:noVBand="1" w:val="04A0"/>
      </w:tblPr>
      <w:tblGrid>
        <w:gridCol w:w="5083"/>
        <w:gridCol w:w="5083"/>
      </w:tblGrid>
      <w:tr>
        <w:tc>
          <w:tcPr>
            <w:tcW w:type="dxa" w:w="2088"/>
            <w:vAlign w:val="center"/>
            <w:shd w:fill="1F4E78"/>
          </w:tcPr>
          <w:p>
            <w:r/>
            <w:r>
              <w:rPr>
                <w:b/>
                <w:color w:val="FFFFFF"/>
                <w:sz w:val="16"/>
              </w:rPr>
              <w:t>Term</w:t>
            </w:r>
          </w:p>
        </w:tc>
        <w:tc>
          <w:tcPr>
            <w:tcW w:type="dxa" w:w="7848"/>
            <w:vAlign w:val="center"/>
            <w:shd w:fill="1F4E78"/>
          </w:tcPr>
          <w:p>
            <w:r/>
            <w:r>
              <w:rPr>
                <w:b/>
                <w:color w:val="FFFFFF"/>
                <w:sz w:val="16"/>
              </w:rPr>
              <w:t>Operational meaning in Saturn v5.7</w:t>
            </w:r>
          </w:p>
        </w:tc>
      </w:tr>
      <w:tr>
        <w:tc>
          <w:tcPr>
            <w:tcW w:type="dxa" w:w="2088"/>
            <w:vAlign w:val="center"/>
          </w:tcPr>
          <w:p>
            <w:r/>
            <w:r>
              <w:rPr>
                <w:b w:val="0"/>
                <w:sz w:val="16"/>
              </w:rPr>
              <w:t>Detection</w:t>
            </w:r>
          </w:p>
        </w:tc>
        <w:tc>
          <w:tcPr>
            <w:tcW w:type="dxa" w:w="7848"/>
            <w:vAlign w:val="center"/>
          </w:tcPr>
          <w:p>
            <w:r/>
            <w:r>
              <w:rPr>
                <w:b w:val="0"/>
                <w:sz w:val="16"/>
              </w:rPr>
              <w:t>One accepted 2D centerline on one Z plane.</w:t>
            </w:r>
          </w:p>
        </w:tc>
      </w:tr>
      <w:tr>
        <w:tc>
          <w:tcPr>
            <w:tcW w:type="dxa" w:w="2088"/>
            <w:vAlign w:val="center"/>
            <w:shd w:fill="F3F6F8"/>
          </w:tcPr>
          <w:p>
            <w:r/>
            <w:r>
              <w:rPr>
                <w:b w:val="0"/>
                <w:sz w:val="16"/>
              </w:rPr>
              <w:t>Track</w:t>
            </w:r>
          </w:p>
        </w:tc>
        <w:tc>
          <w:tcPr>
            <w:tcW w:type="dxa" w:w="7848"/>
            <w:vAlign w:val="center"/>
            <w:shd w:fill="F3F6F8"/>
          </w:tcPr>
          <w:p>
            <w:r>
              <w:t>A set of linked plane-level detections interpreted as one estimated unique nucleus across Z.</w:t>
            </w:r>
          </w:p>
        </w:tc>
      </w:tr>
      <w:tr>
        <w:tc>
          <w:tcPr>
            <w:tcW w:type="dxa" w:w="2088"/>
            <w:vAlign w:val="center"/>
          </w:tcPr>
          <w:p>
            <w:r/>
            <w:r>
              <w:rPr>
                <w:b w:val="0"/>
                <w:sz w:val="16"/>
              </w:rPr>
              <w:t>Classical</w:t>
            </w:r>
          </w:p>
        </w:tc>
        <w:tc>
          <w:tcPr>
            <w:tcW w:type="dxa" w:w="7848"/>
            <w:vAlign w:val="center"/>
          </w:tcPr>
          <w:p>
            <w:r/>
            <w:r>
              <w:rPr>
                <w:b w:val="0"/>
                <w:sz w:val="16"/>
              </w:rPr>
              <w:t>Detection produced by ridge, mask, skeleton, and morphology processing.</w:t>
            </w:r>
          </w:p>
        </w:tc>
      </w:tr>
      <w:tr>
        <w:tc>
          <w:tcPr>
            <w:tcW w:type="dxa" w:w="2088"/>
            <w:vAlign w:val="center"/>
            <w:shd w:fill="F3F6F8"/>
          </w:tcPr>
          <w:p>
            <w:r/>
            <w:r>
              <w:rPr>
                <w:b w:val="0"/>
                <w:sz w:val="16"/>
              </w:rPr>
              <w:t>U-Net rescue</w:t>
            </w:r>
          </w:p>
        </w:tc>
        <w:tc>
          <w:tcPr>
            <w:tcW w:type="dxa" w:w="7848"/>
            <w:vAlign w:val="center"/>
            <w:shd w:fill="F3F6F8"/>
          </w:tcPr>
          <w:p>
            <w:r/>
            <w:r>
              <w:rPr>
                <w:b w:val="0"/>
                <w:sz w:val="16"/>
              </w:rPr>
              <w:t>Detection recovered from model probability evidence after instance splitting and biological measurement checks.</w:t>
            </w:r>
          </w:p>
        </w:tc>
      </w:tr>
      <w:tr>
        <w:tc>
          <w:tcPr>
            <w:tcW w:type="dxa" w:w="2088"/>
            <w:vAlign w:val="center"/>
          </w:tcPr>
          <w:p>
            <w:r/>
            <w:r>
              <w:rPr>
                <w:b w:val="0"/>
                <w:sz w:val="16"/>
              </w:rPr>
              <w:t>ROI normalization</w:t>
            </w:r>
          </w:p>
        </w:tc>
        <w:tc>
          <w:tcPr>
            <w:tcW w:type="dxa" w:w="7848"/>
            <w:vAlign w:val="center"/>
          </w:tcPr>
          <w:p>
            <w:r/>
            <w:r>
              <w:rPr>
                <w:b w:val="0"/>
                <w:sz w:val="16"/>
              </w:rPr>
              <w:t>Counts scaled by sampled ROI area or sampled ROI volume.</w:t>
            </w:r>
          </w:p>
        </w:tc>
      </w:tr>
      <w:tr>
        <w:tc>
          <w:tcPr>
            <w:tcW w:type="dxa" w:w="2088"/>
            <w:vAlign w:val="center"/>
            <w:shd w:fill="F3F6F8"/>
          </w:tcPr>
          <w:p>
            <w:r/>
            <w:r>
              <w:rPr>
                <w:b w:val="0"/>
                <w:sz w:val="16"/>
              </w:rPr>
              <w:t>Technical-valid</w:t>
            </w:r>
          </w:p>
        </w:tc>
        <w:tc>
          <w:tcPr>
            <w:tcW w:type="dxa" w:w="7848"/>
            <w:vAlign w:val="center"/>
            <w:shd w:fill="F3F6F8"/>
          </w:tcPr>
          <w:p>
            <w:r>
              <w:t>A reconstructed nucleus without a hard technical failure. This is the single primary estimated-nucleus population.</w:t>
            </w:r>
          </w:p>
        </w:tc>
      </w:tr>
      <w:tr>
        <w:tc>
          <w:tcPr>
            <w:tcW w:type="dxa" w:w="2088"/>
            <w:vAlign w:val="center"/>
          </w:tcPr>
          <w:p>
            <w:r/>
            <w:r>
              <w:rPr>
                <w:b w:val="0"/>
                <w:sz w:val="16"/>
              </w:rPr>
              <w:t>Reference morphology</w:t>
            </w:r>
          </w:p>
        </w:tc>
        <w:tc>
          <w:tcPr>
            <w:tcW w:type="dxa" w:w="7848"/>
            <w:vAlign w:val="center"/>
          </w:tcPr>
          <w:p>
            <w:r>
              <w:t>Optional review annotation for nuclei matching configured reference-shape limits; it is not a second population to add to the count.</w:t>
            </w:r>
          </w:p>
        </w:tc>
      </w:tr>
    </w:tbl>
    <w:p>
      <w:r>
        <w:br w:type="page"/>
      </w:r>
    </w:p>
    <w:p>
      <w:pPr>
        <w:pStyle w:val="Heading1"/>
      </w:pPr>
      <w:r>
        <w:rPr>
          <w:color w:val="1F4E79"/>
        </w:rPr>
        <w:t>13. What Changed in v5.7.1: Measuring Width From the Signal</w:t>
      </w:r>
    </w:p>
    <w:p>
      <w:pPr>
        <w:spacing w:after="120"/>
      </w:pPr>
      <w:r>
        <w:t>Everything above still describes how the workflow runs. This section covers what changed in September 2026, and it matters because it changes what the width and count numbers mean. The short version is that the computer was measuring the outline it had drawn around each nucleus rather than the nucleus itself, and it was treating some clumps of nuclei as single objects.</w:t>
      </w:r>
    </w:p>
    <w:p>
      <w:pPr>
        <w:pStyle w:val="Heading2"/>
      </w:pPr>
      <w:r>
        <w:rPr>
          <w:color w:val="1F4E79"/>
        </w:rPr>
        <w:t>13.1 What a nucleus actually looks like</w:t>
      </w:r>
    </w:p>
    <w:p>
      <w:pPr>
        <w:spacing w:after="120"/>
      </w:pPr>
      <w:r>
        <w:t>These are real sperm nuclei from one optical slice. Each panel is the same size. The top row is the raw image; the bottom row adds the outline the computer drew and the line along which the nucleus is measured.</w:t>
      </w:r>
    </w:p>
    <w:p>
      <w:pPr>
        <w:jc w:val="center"/>
      </w:pPr>
      <w:r>
        <w:drawing>
          <wp:inline xmlns:a="http://schemas.openxmlformats.org/drawingml/2006/main" xmlns:pic="http://schemas.openxmlformats.org/drawingml/2006/picture">
            <wp:extent cx="6035040" cy="2596830"/>
            <wp:docPr id="12" name="Picture 12"/>
            <wp:cNvGraphicFramePr>
              <a:graphicFrameLocks noChangeAspect="1"/>
            </wp:cNvGraphicFramePr>
            <a:graphic>
              <a:graphicData uri="http://schemas.openxmlformats.org/drawingml/2006/picture">
                <pic:pic>
                  <pic:nvPicPr>
                    <pic:cNvPr id="0" name="v5_fig00_clean_examples.png"/>
                    <pic:cNvPicPr/>
                  </pic:nvPicPr>
                  <pic:blipFill>
                    <a:blip r:embed="rId22"/>
                    <a:stretch>
                      <a:fillRect/>
                    </a:stretch>
                  </pic:blipFill>
                  <pic:spPr>
                    <a:xfrm>
                      <a:off x="0" y="0"/>
                      <a:ext cx="6035040" cy="2596830"/>
                    </a:xfrm>
                    <a:prstGeom prst="rect"/>
                  </pic:spPr>
                </pic:pic>
              </a:graphicData>
            </a:graphic>
          </wp:inline>
        </w:drawing>
      </w:r>
    </w:p>
    <w:p>
      <w:pPr>
        <w:spacing w:after="280"/>
        <w:jc w:val="center"/>
      </w:pPr>
      <w:r>
        <w:rPr>
          <w:i/>
          <w:color w:val="6B7280"/>
          <w:sz w:val="17"/>
        </w:rPr>
        <w:t>Figure 13.1. Six clean, well-separated nuclei. The orange outline sits noticeably outside the bright glow of the nucleus.</w:t>
      </w:r>
    </w:p>
    <w:p>
      <w:pPr>
        <w:spacing w:before="120" w:after="200"/>
      </w:pPr>
      <w:r>
        <w:rPr>
          <w:b/>
          <w:color w:val="1F4E79"/>
        </w:rPr>
        <w:t>That gap between the orange outline and the bright glow is the whole problem.</w:t>
      </w:r>
    </w:p>
    <w:p>
      <w:pPr>
        <w:pStyle w:val="Heading2"/>
      </w:pPr>
      <w:r>
        <w:rPr>
          <w:color w:val="1F4E79"/>
        </w:rPr>
        <w:t>13.2 Two ways of measuring width disagree</w:t>
      </w:r>
    </w:p>
    <w:p>
      <w:pPr>
        <w:spacing w:after="120"/>
      </w:pPr>
      <w:r>
        <w:t>We can measure width two ways. The old way measures across the outline the computer drew. The new way measures across the actual brightness of the nucleus, taking the width at half of its peak brightness. The two do not agree, and they do not disagree by the same amount in every sample, which is the part that breaks a comparison between genotypes.</w:t>
      </w:r>
    </w:p>
    <w:p>
      <w:pPr>
        <w:jc w:val="center"/>
      </w:pPr>
      <w:r>
        <w:drawing>
          <wp:inline xmlns:a="http://schemas.openxmlformats.org/drawingml/2006/main" xmlns:pic="http://schemas.openxmlformats.org/drawingml/2006/picture">
            <wp:extent cx="6035040" cy="2259256"/>
            <wp:docPr id="13" name="Picture 13"/>
            <wp:cNvGraphicFramePr>
              <a:graphicFrameLocks noChangeAspect="1"/>
            </wp:cNvGraphicFramePr>
            <a:graphic>
              <a:graphicData uri="http://schemas.openxmlformats.org/drawingml/2006/picture">
                <pic:pic>
                  <pic:nvPicPr>
                    <pic:cNvPr id="0" name="v5_fig01_mask_versus_signal.png"/>
                    <pic:cNvPicPr/>
                  </pic:nvPicPr>
                  <pic:blipFill>
                    <a:blip r:embed="rId23"/>
                    <a:stretch>
                      <a:fillRect/>
                    </a:stretch>
                  </pic:blipFill>
                  <pic:spPr>
                    <a:xfrm>
                      <a:off x="0" y="0"/>
                      <a:ext cx="6035040" cy="2259256"/>
                    </a:xfrm>
                    <a:prstGeom prst="rect"/>
                  </pic:spPr>
                </pic:pic>
              </a:graphicData>
            </a:graphic>
          </wp:inline>
        </w:drawing>
      </w:r>
    </w:p>
    <w:p>
      <w:pPr>
        <w:spacing w:after="280"/>
        <w:jc w:val="center"/>
      </w:pPr>
      <w:r>
        <w:rPr>
          <w:i/>
          <w:color w:val="6B7280"/>
          <w:sz w:val="17"/>
        </w:rPr>
        <w:t>Figure 13.2. The outline reports roughly twice the width of the glow, and the factor differs between the two samples.</w:t>
      </w:r>
    </w:p>
    <w:p>
      <w:pPr>
        <w:spacing w:after="120"/>
      </w:pPr>
      <w:r>
        <w:t>If the outline were simply too wide by a fixed amount, we could correct for it. It is not fixed: it was 2.12 times too wide in one sample and 2.29 in the other. That difference between samples is larger than the difference we would be trying to detect between genotypes.</w:t>
      </w:r>
    </w:p>
    <w:p>
      <w:pPr>
        <w:pStyle w:val="Heading2"/>
      </w:pPr>
      <w:r>
        <w:rPr>
          <w:color w:val="1F4E79"/>
        </w:rPr>
        <w:t>13.3 Why the outline is too wide</w:t>
      </w:r>
    </w:p>
    <w:p>
      <w:pPr>
        <w:spacing w:after="120"/>
      </w:pPr>
      <w:r>
        <w:t>This is not a fault in the model. The model was trained on outlines drawn by hand, and those hand-drawn outlines are about two and a half times wider than the nucleus appears in the image. A very thin, faint object is hard to trace tightly by hand, so the training outlines are generous. The model learned that convention faithfully.</w:t>
      </w:r>
    </w:p>
    <w:p>
      <w:pPr>
        <w:jc w:val="center"/>
      </w:pPr>
      <w:r>
        <w:drawing>
          <wp:inline xmlns:a="http://schemas.openxmlformats.org/drawingml/2006/main" xmlns:pic="http://schemas.openxmlformats.org/drawingml/2006/picture">
            <wp:extent cx="6035040" cy="2425235"/>
            <wp:docPr id="14" name="Picture 14"/>
            <wp:cNvGraphicFramePr>
              <a:graphicFrameLocks noChangeAspect="1"/>
            </wp:cNvGraphicFramePr>
            <a:graphic>
              <a:graphicData uri="http://schemas.openxmlformats.org/drawingml/2006/picture">
                <pic:pic>
                  <pic:nvPicPr>
                    <pic:cNvPr id="0" name="v5_fig02_annotation_convention.png"/>
                    <pic:cNvPicPr/>
                  </pic:nvPicPr>
                  <pic:blipFill>
                    <a:blip r:embed="rId24"/>
                    <a:stretch>
                      <a:fillRect/>
                    </a:stretch>
                  </pic:blipFill>
                  <pic:spPr>
                    <a:xfrm>
                      <a:off x="0" y="0"/>
                      <a:ext cx="6035040" cy="2425235"/>
                    </a:xfrm>
                    <a:prstGeom prst="rect"/>
                  </pic:spPr>
                </pic:pic>
              </a:graphicData>
            </a:graphic>
          </wp:inline>
        </w:drawing>
      </w:r>
    </w:p>
    <w:p>
      <w:pPr>
        <w:spacing w:after="280"/>
        <w:jc w:val="center"/>
      </w:pPr>
      <w:r>
        <w:rPr>
          <w:i/>
          <w:color w:val="6B7280"/>
          <w:sz w:val="17"/>
        </w:rPr>
        <w:t>Figure 13.3. The model reproduces the width it was taught, not the width of the nucleus.</w:t>
      </w:r>
    </w:p>
    <w:p>
      <w:pPr>
        <w:pStyle w:val="Heading2"/>
      </w:pPr>
      <w:r>
        <w:rPr>
          <w:color w:val="1F4E79"/>
        </w:rPr>
        <w:t>13.4 What the microscope can and cannot resolve</w:t>
      </w:r>
    </w:p>
    <w:p>
      <w:pPr>
        <w:spacing w:after="120"/>
      </w:pPr>
      <w:r>
        <w:t>There is a hard limit underneath all of this. At the settings used, one pixel is 0.378 microns across, while a sperm nucleus is roughly half a micron wide. A nucleus is therefore only about one and a third pixels wide, which is too few to measure a width properly. The Z step is not the problem and should be left as it is.</w:t>
      </w:r>
    </w:p>
    <w:p>
      <w:pPr>
        <w:jc w:val="center"/>
      </w:pPr>
      <w:r>
        <w:drawing>
          <wp:inline xmlns:a="http://schemas.openxmlformats.org/drawingml/2006/main" xmlns:pic="http://schemas.openxmlformats.org/drawingml/2006/picture">
            <wp:extent cx="6035040" cy="2199951"/>
            <wp:docPr id="15" name="Picture 15"/>
            <wp:cNvGraphicFramePr>
              <a:graphicFrameLocks noChangeAspect="1"/>
            </wp:cNvGraphicFramePr>
            <a:graphic>
              <a:graphicData uri="http://schemas.openxmlformats.org/drawingml/2006/picture">
                <pic:pic>
                  <pic:nvPicPr>
                    <pic:cNvPr id="0" name="v5_fig03_sampling_limit.png"/>
                    <pic:cNvPicPr/>
                  </pic:nvPicPr>
                  <pic:blipFill>
                    <a:blip r:embed="rId25"/>
                    <a:stretch>
                      <a:fillRect/>
                    </a:stretch>
                  </pic:blipFill>
                  <pic:spPr>
                    <a:xfrm>
                      <a:off x="0" y="0"/>
                      <a:ext cx="6035040" cy="2199951"/>
                    </a:xfrm>
                    <a:prstGeom prst="rect"/>
                  </pic:spPr>
                </pic:pic>
              </a:graphicData>
            </a:graphic>
          </wp:inline>
        </w:drawing>
      </w:r>
    </w:p>
    <w:p>
      <w:pPr>
        <w:spacing w:after="280"/>
        <w:jc w:val="center"/>
      </w:pPr>
      <w:r>
        <w:rPr>
          <w:i/>
          <w:color w:val="6B7280"/>
          <w:sz w:val="17"/>
        </w:rPr>
        <w:t>Figure 13.4. Sideways sampling is the limit. Below about one micron, real differences in width are squashed into a much smaller measured difference.</w:t>
      </w:r>
    </w:p>
    <w:p>
      <w:pPr>
        <w:spacing w:before="120" w:after="200"/>
      </w:pPr>
      <w:r>
        <w:rPr>
          <w:b/>
          <w:color w:val="1F4E79"/>
        </w:rPr>
        <w:t>Comparing genotypes against each other is valid. Quoting an absolute nucleus diameter in microns is not.</w:t>
      </w:r>
    </w:p>
    <w:p>
      <w:pPr>
        <w:spacing w:after="120"/>
      </w:pPr>
      <w:r>
        <w:t>For future imaging, increasing the zoom to about 3 would make a nucleus span roughly five pixels instead of one, which would turn width into a measurement rather than a comparison. Recording in 12-bit rather than 8-bit and using line averaging of two to four would also help. Laser power, gain, pinhole and zoom must stay identical across every specimen in a study.</w:t>
      </w:r>
    </w:p>
    <w:p>
      <w:pPr>
        <w:pStyle w:val="Heading2"/>
      </w:pPr>
      <w:r>
        <w:rPr>
          <w:color w:val="1F4E79"/>
        </w:rPr>
        <w:t>13.5 A second, more sensitive measure</w:t>
      </w:r>
    </w:p>
    <w:p>
      <w:pPr>
        <w:spacing w:after="120"/>
      </w:pPr>
      <w:r>
        <w:t>Alongside the width of the glow we now also record its total brightness. Blurring spreads light out but does not destroy it, so total brightness reflects how much material is present and does not get squashed the way width does. It is far more sensitive to a real change in size.</w:t>
      </w:r>
    </w:p>
    <w:p>
      <w:pPr>
        <w:jc w:val="center"/>
      </w:pPr>
      <w:r>
        <w:drawing>
          <wp:inline xmlns:a="http://schemas.openxmlformats.org/drawingml/2006/main" xmlns:pic="http://schemas.openxmlformats.org/drawingml/2006/picture">
            <wp:extent cx="6035040" cy="2199951"/>
            <wp:docPr id="16" name="Picture 16"/>
            <wp:cNvGraphicFramePr>
              <a:graphicFrameLocks noChangeAspect="1"/>
            </wp:cNvGraphicFramePr>
            <a:graphic>
              <a:graphicData uri="http://schemas.openxmlformats.org/drawingml/2006/picture">
                <pic:pic>
                  <pic:nvPicPr>
                    <pic:cNvPr id="0" name="v5_fig04_two_measures.png"/>
                    <pic:cNvPicPr/>
                  </pic:nvPicPr>
                  <pic:blipFill>
                    <a:blip r:embed="rId26"/>
                    <a:stretch>
                      <a:fillRect/>
                    </a:stretch>
                  </pic:blipFill>
                  <pic:spPr>
                    <a:xfrm>
                      <a:off x="0" y="0"/>
                      <a:ext cx="6035040" cy="2199951"/>
                    </a:xfrm>
                    <a:prstGeom prst="rect"/>
                  </pic:spPr>
                </pic:pic>
              </a:graphicData>
            </a:graphic>
          </wp:inline>
        </w:drawing>
      </w:r>
    </w:p>
    <w:p>
      <w:pPr>
        <w:spacing w:after="280"/>
        <w:jc w:val="center"/>
      </w:pPr>
      <w:r>
        <w:rPr>
          <w:i/>
          <w:color w:val="6B7280"/>
          <w:sz w:val="17"/>
        </w:rPr>
        <w:t>Figure 13.5. Total brightness is far better at detecting a real change, but it is also fooled by a brighter stain. Width is not.</w:t>
      </w:r>
    </w:p>
    <w:p>
      <w:pPr>
        <w:spacing w:after="120"/>
      </w:pPr>
      <w:r>
        <w:t>Because this study has no separate staining control, total brightness cannot be used on its own to claim a biological difference: a brighter stain would look the same as a bigger nucleus. It is recorded as a supporting check. When it agrees with the width measurement that is reassuring, and when it disagrees that is a signal to look closer.</w:t>
      </w:r>
    </w:p>
    <w:p>
      <w:pPr>
        <w:pStyle w:val="Heading2"/>
      </w:pPr>
      <w:r>
        <w:rPr>
          <w:color w:val="1F4E79"/>
        </w:rPr>
        <w:t>13.6 Nuclei that were being counted as one</w:t>
      </w:r>
    </w:p>
    <w:p>
      <w:pPr>
        <w:spacing w:after="120"/>
      </w:pPr>
      <w:r>
        <w:t>Separately, the software was treating some groups of touching nuclei as a single object. The old rule only called something a clump if it was longer than 20 microns, but a typical nucleus here is about 8 microns, so two stuck end to end come to roughly 16 and slipped under the threshold. The rule now looks at the shape instead: if the skeleton of an object branches, or if a cut across it shows two separate peaks of brightness, it is treated as more than one nucleus and separated.</w:t>
      </w:r>
    </w:p>
    <w:p>
      <w:pPr>
        <w:jc w:val="center"/>
      </w:pPr>
      <w:r>
        <w:drawing>
          <wp:inline xmlns:a="http://schemas.openxmlformats.org/drawingml/2006/main" xmlns:pic="http://schemas.openxmlformats.org/drawingml/2006/picture">
            <wp:extent cx="6035040" cy="1707699"/>
            <wp:docPr id="17" name="Picture 17"/>
            <wp:cNvGraphicFramePr>
              <a:graphicFrameLocks noChangeAspect="1"/>
            </wp:cNvGraphicFramePr>
            <a:graphic>
              <a:graphicData uri="http://schemas.openxmlformats.org/drawingml/2006/picture">
                <pic:pic>
                  <pic:nvPicPr>
                    <pic:cNvPr id="0" name="v5_fig05_merge_correction.png"/>
                    <pic:cNvPicPr/>
                  </pic:nvPicPr>
                  <pic:blipFill>
                    <a:blip r:embed="rId27"/>
                    <a:stretch>
                      <a:fillRect/>
                    </a:stretch>
                  </pic:blipFill>
                  <pic:spPr>
                    <a:xfrm>
                      <a:off x="0" y="0"/>
                      <a:ext cx="6035040" cy="1707699"/>
                    </a:xfrm>
                    <a:prstGeom prst="rect"/>
                  </pic:spPr>
                </pic:pic>
              </a:graphicData>
            </a:graphic>
          </wp:inline>
        </w:drawing>
      </w:r>
    </w:p>
    <w:p>
      <w:pPr>
        <w:spacing w:after="280"/>
        <w:jc w:val="center"/>
      </w:pPr>
      <w:r>
        <w:rPr>
          <w:i/>
          <w:color w:val="6B7280"/>
          <w:sz w:val="17"/>
        </w:rPr>
        <w:t>Figure 13.6. The old length cut-off sat above where clumps of two nuclei actually fall, so almost none were caught.</w:t>
      </w:r>
    </w:p>
    <w:p>
      <w:pPr>
        <w:spacing w:before="120" w:after="200"/>
      </w:pPr>
      <w:r>
        <w:rPr>
          <w:b/>
          <w:color w:val="1F4E79"/>
        </w:rPr>
        <w:t>Counts rose by about 10 percent, and by more in KJ than in WT, so the old undercounting was not affecting both groups equally.</w:t>
      </w:r>
    </w:p>
    <w:p>
      <w:pPr>
        <w:spacing w:after="120"/>
      </w:pPr>
      <w:r>
        <w:t>An object is only separated when the shape gives a reason to. If the pieces that would result do not look like plausible nuclei, the object is left exactly as it was. Nothing is deleted and no pixel is added or removed.</w:t>
      </w:r>
    </w:p>
    <w:p>
      <w:pPr>
        <w:pStyle w:val="Heading2"/>
      </w:pPr>
      <w:r>
        <w:rPr>
          <w:color w:val="1F4E79"/>
        </w:rPr>
        <w:t>13.7 When a width cannot be measured</w:t>
      </w:r>
    </w:p>
    <w:p>
      <w:pPr>
        <w:spacing w:after="120"/>
      </w:pPr>
      <w:r>
        <w:t>About a fifth of objects are skipped for width, most often because a neighbouring nucleus is too close for a clean measurement. Skipping them is deliberate: a contaminated measurement is worse than none. The risk is that skipping could quietly favour one genotype, so it was checked across all 35 specimens.</w:t>
      </w:r>
    </w:p>
    <w:p>
      <w:pPr>
        <w:jc w:val="center"/>
      </w:pPr>
      <w:r>
        <w:drawing>
          <wp:inline xmlns:a="http://schemas.openxmlformats.org/drawingml/2006/main" xmlns:pic="http://schemas.openxmlformats.org/drawingml/2006/picture">
            <wp:extent cx="6035040" cy="2199951"/>
            <wp:docPr id="18" name="Picture 18"/>
            <wp:cNvGraphicFramePr>
              <a:graphicFrameLocks noChangeAspect="1"/>
            </wp:cNvGraphicFramePr>
            <a:graphic>
              <a:graphicData uri="http://schemas.openxmlformats.org/drawingml/2006/picture">
                <pic:pic>
                  <pic:nvPicPr>
                    <pic:cNvPr id="0" name="v5_fig06_availability_bias.png"/>
                    <pic:cNvPicPr/>
                  </pic:nvPicPr>
                  <pic:blipFill>
                    <a:blip r:embed="rId28"/>
                    <a:stretch>
                      <a:fillRect/>
                    </a:stretch>
                  </pic:blipFill>
                  <pic:spPr>
                    <a:xfrm>
                      <a:off x="0" y="0"/>
                      <a:ext cx="6035040" cy="2199951"/>
                    </a:xfrm>
                    <a:prstGeom prst="rect"/>
                  </pic:spPr>
                </pic:pic>
              </a:graphicData>
            </a:graphic>
          </wp:inline>
        </w:drawing>
      </w:r>
    </w:p>
    <w:p>
      <w:pPr>
        <w:spacing w:after="280"/>
        <w:jc w:val="center"/>
      </w:pPr>
      <w:r>
        <w:rPr>
          <w:i/>
          <w:color w:val="6B7280"/>
          <w:sz w:val="17"/>
        </w:rPr>
        <w:t>Figure 13.7. The same fraction is skipped in both groups, so the comparison is not distorted by it.</w:t>
      </w:r>
    </w:p>
    <w:p>
      <w:pPr>
        <w:pStyle w:val="Heading2"/>
      </w:pPr>
      <w:r>
        <w:rPr>
          <w:color w:val="1F4E79"/>
        </w:rPr>
        <w:t>13.8 What this means for interpreting results</w:t>
      </w:r>
    </w:p>
    <w:p>
      <w:pPr>
        <w:pStyle w:val="ListBullet"/>
      </w:pPr>
      <w:r>
        <w:t>Width is a comparison between groups. It is not an absolute measurement of how wide a nucleus is, and should never be quoted as one.</w:t>
      </w:r>
    </w:p>
    <w:p>
      <w:pPr>
        <w:pStyle w:val="ListBullet"/>
      </w:pPr>
      <w:r>
        <w:t>Length, counts, tracking and Z extent are unaffected by the width problem and can be read as before.</w:t>
      </w:r>
    </w:p>
    <w:p>
      <w:pPr>
        <w:pStyle w:val="ListBullet"/>
      </w:pPr>
      <w:r>
        <w:t>Counts are about 10 percent higher than in earlier reports because clumped nuclei are now separated. Older count numbers should not be compared directly against new ones.</w:t>
      </w:r>
    </w:p>
    <w:p>
      <w:pPr>
        <w:pStyle w:val="ListBullet"/>
      </w:pPr>
      <w:r>
        <w:t>Total brightness is a supporting check only, because this study has no staining control.</w:t>
      </w:r>
    </w:p>
    <w:p>
      <w:pPr>
        <w:pStyle w:val="ListBullet"/>
      </w:pPr>
      <w:r>
        <w:t>None of this has been through independent review yet. The software blocks the biological comparison report until it has.</w:t>
      </w:r>
    </w:p>
    <w:p>
      <w:pPr>
        <w:spacing w:after="120"/>
      </w:pPr>
      <w:r>
        <w:t>Generated 2026-09-15. Every figure in this section was produced from real measurements on the KJ and WT specimens and is recorded in the project audit evidence.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Saturn v5.7 illustrated analysis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Saturn v5.7 | Illustrated sperm-nucleus segmentation and comparative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Saturn v5.7 Illustrated Technical Workflow</dc:title>
  <dc:subject>Technical workflow for ROI-aware hybrid sperm-nucleus segmentation and reconstruction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