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6070B" w14:textId="244BD6E7" w:rsidR="00FA5785" w:rsidRPr="00AA6A7B" w:rsidRDefault="00FA5785" w:rsidP="0038260F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lk144496572"/>
      <w:bookmarkStart w:id="1" w:name="_Hlk122303844"/>
      <w:bookmarkEnd w:id="0"/>
      <w:bookmarkEnd w:id="1"/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>ĐẠI HỌC QUỐC GIA THÀNH PHỐ HỒ CHÍ MINH</w:t>
      </w:r>
    </w:p>
    <w:p w14:paraId="1688E96C" w14:textId="77777777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>TRƯỜNG ĐẠI HỌC KHOA HỌC TỰ NHIÊN</w:t>
      </w:r>
    </w:p>
    <w:p w14:paraId="1D6F7F19" w14:textId="77777777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>KHOA CÔNG NGHỆ THÔNG TIN</w:t>
      </w:r>
    </w:p>
    <w:p w14:paraId="596B91A9" w14:textId="77777777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A6A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DA9E14" wp14:editId="40EF4B3E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1912620" cy="1821180"/>
            <wp:effectExtent l="0" t="0" r="0" b="0"/>
            <wp:wrapTopAndBottom/>
            <wp:docPr id="1614693314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A7B">
        <w:rPr>
          <w:rFonts w:ascii="Segoe UI Symbol" w:eastAsia="Times New Roman" w:hAnsi="Segoe UI Symbol" w:cs="Segoe UI Symbol"/>
          <w:b/>
          <w:sz w:val="40"/>
          <w:szCs w:val="40"/>
        </w:rPr>
        <w:t>🙡🕮🙣</w:t>
      </w:r>
    </w:p>
    <w:p w14:paraId="197F5F71" w14:textId="10AC6733" w:rsidR="00FA5785" w:rsidRPr="00983672" w:rsidRDefault="00983672" w:rsidP="00382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CASE STUDY BYJU’S</w:t>
      </w:r>
    </w:p>
    <w:p w14:paraId="6F7B94D9" w14:textId="0E0D629C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MÔN : </w:t>
      </w:r>
      <w:r w:rsidR="00951F79" w:rsidRPr="00AA6A7B">
        <w:rPr>
          <w:rFonts w:ascii="Times New Roman" w:eastAsia="Times New Roman" w:hAnsi="Times New Roman" w:cs="Times New Roman"/>
          <w:bCs/>
          <w:sz w:val="32"/>
          <w:szCs w:val="32"/>
        </w:rPr>
        <w:t>KHỞI NGHIỆP</w:t>
      </w:r>
      <w:r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4084BCE6" w14:textId="3E4B1B58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Lớp </w:t>
      </w:r>
      <w:r w:rsidR="00A71192" w:rsidRPr="00AA6A7B">
        <w:rPr>
          <w:rFonts w:ascii="Times New Roman" w:eastAsia="Times New Roman" w:hAnsi="Times New Roman" w:cs="Times New Roman"/>
          <w:bCs/>
          <w:sz w:val="32"/>
          <w:szCs w:val="32"/>
        </w:rPr>
        <w:t>K</w:t>
      </w:r>
      <w:r w:rsidR="00A34A37"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hởi </w:t>
      </w:r>
      <w:r w:rsidR="00A71192" w:rsidRPr="00AA6A7B">
        <w:rPr>
          <w:rFonts w:ascii="Times New Roman" w:eastAsia="Times New Roman" w:hAnsi="Times New Roman" w:cs="Times New Roman"/>
          <w:bCs/>
          <w:sz w:val="32"/>
          <w:szCs w:val="32"/>
        </w:rPr>
        <w:t>N</w:t>
      </w:r>
      <w:r w:rsidR="00A34A37" w:rsidRPr="00AA6A7B">
        <w:rPr>
          <w:rFonts w:ascii="Times New Roman" w:eastAsia="Times New Roman" w:hAnsi="Times New Roman" w:cs="Times New Roman"/>
          <w:bCs/>
          <w:sz w:val="32"/>
          <w:szCs w:val="32"/>
        </w:rPr>
        <w:t>ghiệp - 21CLC</w:t>
      </w:r>
    </w:p>
    <w:p w14:paraId="3F4F881D" w14:textId="78A780E8" w:rsidR="00FA5785" w:rsidRPr="00AA6A7B" w:rsidRDefault="00FA5785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GVLT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>Đinh Bá Tiến</w:t>
      </w:r>
    </w:p>
    <w:p w14:paraId="6925A217" w14:textId="70BE8DCF" w:rsidR="00FA5785" w:rsidRPr="00AA6A7B" w:rsidRDefault="00FA5785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>Đậu Ngọc Hà Dương</w:t>
      </w:r>
    </w:p>
    <w:p w14:paraId="582CCD8A" w14:textId="2A0F6516" w:rsidR="00951F79" w:rsidRPr="00AA6A7B" w:rsidRDefault="00951F79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Phạm Hoàng Hải</w:t>
      </w:r>
    </w:p>
    <w:p w14:paraId="1CF7CCB0" w14:textId="4DC17016" w:rsidR="00951F79" w:rsidRPr="00AA6A7B" w:rsidRDefault="00951F79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Trần Duy Hoàng</w:t>
      </w:r>
    </w:p>
    <w:p w14:paraId="60686744" w14:textId="4029D4A8" w:rsidR="00951F79" w:rsidRPr="00AA6A7B" w:rsidRDefault="00951F79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Đỗ Nguyên Kha</w:t>
      </w:r>
    </w:p>
    <w:p w14:paraId="5ADD98F0" w14:textId="6264D403" w:rsidR="00951F79" w:rsidRPr="00AA6A7B" w:rsidRDefault="00951F79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Ngô Ngọc Đăng Khoa</w:t>
      </w:r>
    </w:p>
    <w:p w14:paraId="617694EC" w14:textId="2A425C50" w:rsidR="000963F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Thành phố Hồ Chí Minh, tháng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r w:rsidR="00983672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7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 năm 202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>4.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  <w:id w:val="1326324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A62EAD" w14:textId="3C8AA363" w:rsidR="00F01157" w:rsidRPr="008C2EA5" w:rsidRDefault="00F01157" w:rsidP="00F01157">
          <w:pPr>
            <w:pStyle w:val="TOCHeading"/>
            <w:jc w:val="center"/>
            <w:rPr>
              <w:b/>
              <w:bCs/>
              <w:sz w:val="40"/>
              <w:szCs w:val="40"/>
            </w:rPr>
          </w:pPr>
          <w:proofErr w:type="spellStart"/>
          <w:r w:rsidRPr="008C2EA5">
            <w:rPr>
              <w:b/>
              <w:bCs/>
              <w:sz w:val="40"/>
              <w:szCs w:val="40"/>
            </w:rPr>
            <w:t>Mục</w:t>
          </w:r>
          <w:proofErr w:type="spellEnd"/>
          <w:r w:rsidRPr="008C2EA5">
            <w:rPr>
              <w:b/>
              <w:bCs/>
              <w:sz w:val="40"/>
              <w:szCs w:val="40"/>
            </w:rPr>
            <w:t xml:space="preserve"> </w:t>
          </w:r>
          <w:proofErr w:type="spellStart"/>
          <w:r w:rsidRPr="008C2EA5">
            <w:rPr>
              <w:b/>
              <w:bCs/>
              <w:sz w:val="40"/>
              <w:szCs w:val="40"/>
            </w:rPr>
            <w:t>lục</w:t>
          </w:r>
          <w:proofErr w:type="spellEnd"/>
        </w:p>
        <w:p w14:paraId="4D509B4E" w14:textId="392E89AB" w:rsidR="00657E28" w:rsidRPr="00657E28" w:rsidRDefault="00F011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r w:rsidRPr="00F01157">
            <w:rPr>
              <w:sz w:val="28"/>
              <w:szCs w:val="28"/>
            </w:rPr>
            <w:fldChar w:fldCharType="begin"/>
          </w:r>
          <w:r w:rsidRPr="00F01157">
            <w:rPr>
              <w:sz w:val="28"/>
              <w:szCs w:val="28"/>
            </w:rPr>
            <w:instrText xml:space="preserve"> TOC \o "1-3" \h \z \u </w:instrText>
          </w:r>
          <w:r w:rsidRPr="00F01157">
            <w:rPr>
              <w:sz w:val="28"/>
              <w:szCs w:val="28"/>
            </w:rPr>
            <w:fldChar w:fldCharType="separate"/>
          </w:r>
          <w:hyperlink w:anchor="_Toc171886111" w:history="1">
            <w:r w:rsidR="00657E28"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I.</w:t>
            </w:r>
            <w:r w:rsidR="00657E28"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="00657E28"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Giới thiệu</w:t>
            </w:r>
            <w:r w:rsidR="00657E28" w:rsidRPr="00657E28">
              <w:rPr>
                <w:noProof/>
                <w:webHidden/>
                <w:sz w:val="28"/>
                <w:szCs w:val="28"/>
              </w:rPr>
              <w:tab/>
            </w:r>
            <w:r w:rsidR="00657E28"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="00657E28" w:rsidRPr="00657E28">
              <w:rPr>
                <w:noProof/>
                <w:webHidden/>
                <w:sz w:val="28"/>
                <w:szCs w:val="28"/>
              </w:rPr>
              <w:instrText xml:space="preserve"> PAGEREF _Toc171886111 \h </w:instrText>
            </w:r>
            <w:r w:rsidR="00657E28" w:rsidRPr="00657E28">
              <w:rPr>
                <w:noProof/>
                <w:webHidden/>
                <w:sz w:val="28"/>
                <w:szCs w:val="28"/>
              </w:rPr>
            </w:r>
            <w:r w:rsidR="00657E28"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3</w:t>
            </w:r>
            <w:r w:rsidR="00657E28"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2E11E" w14:textId="1ECC66BF" w:rsidR="00657E28" w:rsidRPr="00657E28" w:rsidRDefault="00657E2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12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II.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Lịch sử Công ty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_Toc171886112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3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3174F" w14:textId="4CDE9C2B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13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III.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Mô hình kinh doanh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_Toc171886113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4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2229E" w14:textId="6964B6F0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14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IV.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Sản phẩm và dịch vụ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_Toc171886114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4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6D70C" w14:textId="22A1EA4A" w:rsidR="00657E28" w:rsidRPr="00657E28" w:rsidRDefault="00657E2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15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Thị trường và khách hàng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_Toc171886115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5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4C46C" w14:textId="4F60ABC5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16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VI.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Cạnh tranh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_Toc171886116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5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02DA3" w14:textId="09C30D54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17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VII.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Chiến lược kinh doanh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_Toc171886117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5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3AE38" w14:textId="114743D6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18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VIII.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Tài chính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_Toc171886118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6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F5251" w14:textId="4D1D9E31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19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IX.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Quản lý và nhân sự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_Toc171886119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6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5BB34" w14:textId="3E0130BB" w:rsidR="00657E28" w:rsidRPr="00657E28" w:rsidRDefault="00657E2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20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Công nghệ và đổi mới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_Toc171886120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6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B8233" w14:textId="6A0BEA22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21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XI.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Các yếu tố rủi ro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_Toc171886121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7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E9CDE" w14:textId="432E249B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22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XII.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Triển vọng và dự báo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_Toc171886122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7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4CF48" w14:textId="7E3348A1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23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XIII.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Những Bài Học và Nhận Định Cá Nhân Từ Byju’s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_Toc171886123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8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0E6CF" w14:textId="22A798E1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24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XIV.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Kết luận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_Toc171886124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10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34B2B" w14:textId="3C343204" w:rsidR="00657E28" w:rsidRPr="00657E28" w:rsidRDefault="00657E28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71886125" w:history="1"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XV.</w:t>
            </w:r>
            <w:r w:rsidRPr="00657E2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Pr="00657E2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Tài liệu tham khảo</w:t>
            </w:r>
            <w:r w:rsidRPr="00657E28">
              <w:rPr>
                <w:noProof/>
                <w:webHidden/>
                <w:sz w:val="28"/>
                <w:szCs w:val="28"/>
              </w:rPr>
              <w:tab/>
            </w:r>
            <w:r w:rsidRPr="00657E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7E28">
              <w:rPr>
                <w:noProof/>
                <w:webHidden/>
                <w:sz w:val="28"/>
                <w:szCs w:val="28"/>
              </w:rPr>
              <w:instrText xml:space="preserve"> PAGEREF _Toc171886125 \h </w:instrText>
            </w:r>
            <w:r w:rsidRPr="00657E28">
              <w:rPr>
                <w:noProof/>
                <w:webHidden/>
                <w:sz w:val="28"/>
                <w:szCs w:val="28"/>
              </w:rPr>
            </w:r>
            <w:r w:rsidRPr="00657E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B77">
              <w:rPr>
                <w:noProof/>
                <w:webHidden/>
                <w:sz w:val="28"/>
                <w:szCs w:val="28"/>
              </w:rPr>
              <w:t>10</w:t>
            </w:r>
            <w:r w:rsidRPr="00657E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97FAF" w14:textId="0907A4C3" w:rsidR="00F01157" w:rsidRDefault="00F01157">
          <w:r w:rsidRPr="00F0115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A6910C9" w14:textId="77777777" w:rsidR="00F01157" w:rsidRDefault="00F01157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478895DD" w14:textId="77777777" w:rsidR="00F01157" w:rsidRDefault="00F01157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7623B134" w14:textId="77777777" w:rsidR="00F01157" w:rsidRDefault="00F01157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3081D8EA" w14:textId="77777777" w:rsidR="00F01157" w:rsidRDefault="00F01157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325D14C6" w14:textId="77777777" w:rsidR="00F01157" w:rsidRDefault="00F01157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0F8AC857" w14:textId="77777777" w:rsidR="00F01157" w:rsidRDefault="00F01157" w:rsidP="00F01157">
      <w:pPr>
        <w:spacing w:line="360" w:lineRule="auto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20E140B0" w14:textId="77777777" w:rsidR="00CC0901" w:rsidRPr="00F01157" w:rsidRDefault="00CC0901" w:rsidP="00F01157">
      <w:pPr>
        <w:spacing w:line="360" w:lineRule="auto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3"/>
        <w:tblW w:w="9445" w:type="dxa"/>
        <w:tblLayout w:type="fixed"/>
        <w:tblLook w:val="04A0" w:firstRow="1" w:lastRow="0" w:firstColumn="1" w:lastColumn="0" w:noHBand="0" w:noVBand="1"/>
      </w:tblPr>
      <w:tblGrid>
        <w:gridCol w:w="1642"/>
        <w:gridCol w:w="3843"/>
        <w:gridCol w:w="3960"/>
      </w:tblGrid>
      <w:tr w:rsidR="007E7825" w:rsidRPr="00AA6A7B" w14:paraId="720DD2D0" w14:textId="77777777" w:rsidTr="002233B9">
        <w:trPr>
          <w:trHeight w:val="437"/>
        </w:trPr>
        <w:tc>
          <w:tcPr>
            <w:tcW w:w="1642" w:type="dxa"/>
          </w:tcPr>
          <w:p w14:paraId="3807B417" w14:textId="77777777" w:rsidR="007E7825" w:rsidRPr="00AA6A7B" w:rsidRDefault="007E7825" w:rsidP="003826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MSSV</w:t>
            </w:r>
          </w:p>
        </w:tc>
        <w:tc>
          <w:tcPr>
            <w:tcW w:w="3843" w:type="dxa"/>
          </w:tcPr>
          <w:p w14:paraId="1A94A781" w14:textId="77777777" w:rsidR="007E7825" w:rsidRPr="00AA6A7B" w:rsidRDefault="007E7825" w:rsidP="003826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960" w:type="dxa"/>
          </w:tcPr>
          <w:p w14:paraId="53EACED6" w14:textId="77777777" w:rsidR="007E7825" w:rsidRPr="00AA6A7B" w:rsidRDefault="007E7825" w:rsidP="003826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</w:tr>
      <w:tr w:rsidR="0012369A" w:rsidRPr="00AA6A7B" w14:paraId="3013CB5D" w14:textId="77777777" w:rsidTr="002233B9">
        <w:trPr>
          <w:trHeight w:val="581"/>
        </w:trPr>
        <w:tc>
          <w:tcPr>
            <w:tcW w:w="1642" w:type="dxa"/>
          </w:tcPr>
          <w:p w14:paraId="175D650F" w14:textId="3A0BD749" w:rsidR="0012369A" w:rsidRPr="0012369A" w:rsidRDefault="0012369A" w:rsidP="0012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2369A">
              <w:rPr>
                <w:rFonts w:ascii="Times New Roman" w:hAnsi="Times New Roman" w:cs="Times New Roman"/>
                <w:sz w:val="28"/>
                <w:szCs w:val="28"/>
              </w:rPr>
              <w:t>20127318</w:t>
            </w:r>
          </w:p>
        </w:tc>
        <w:tc>
          <w:tcPr>
            <w:tcW w:w="3843" w:type="dxa"/>
          </w:tcPr>
          <w:p w14:paraId="74FAAEB6" w14:textId="32F8C0A8" w:rsidR="0012369A" w:rsidRPr="0012369A" w:rsidRDefault="0012369A" w:rsidP="0012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2369A">
              <w:rPr>
                <w:rFonts w:ascii="Times New Roman" w:hAnsi="Times New Roman" w:cs="Times New Roman"/>
                <w:sz w:val="28"/>
                <w:szCs w:val="28"/>
              </w:rPr>
              <w:t>Phan Trí Tài</w:t>
            </w:r>
          </w:p>
        </w:tc>
        <w:tc>
          <w:tcPr>
            <w:tcW w:w="3960" w:type="dxa"/>
          </w:tcPr>
          <w:p w14:paraId="500D7A25" w14:textId="0858A608" w:rsidR="0012369A" w:rsidRPr="0012369A" w:rsidRDefault="0012369A" w:rsidP="0012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69A">
              <w:rPr>
                <w:rFonts w:ascii="Times New Roman" w:hAnsi="Times New Roman" w:cs="Times New Roman"/>
                <w:sz w:val="28"/>
                <w:szCs w:val="28"/>
              </w:rPr>
              <w:t>pttai20@clc.fitus.edu.vn</w:t>
            </w:r>
          </w:p>
        </w:tc>
      </w:tr>
    </w:tbl>
    <w:p w14:paraId="6213E0D7" w14:textId="77777777" w:rsidR="00893443" w:rsidRPr="00893443" w:rsidRDefault="00893443" w:rsidP="008934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A57DC9" w14:textId="2A09158F" w:rsidR="00893443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2" w:name="_Toc171886111"/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Giới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thiệu</w:t>
      </w:r>
      <w:bookmarkEnd w:id="2"/>
      <w:proofErr w:type="spellEnd"/>
    </w:p>
    <w:p w14:paraId="2C346A9D" w14:textId="39BADBEE" w:rsidR="00095687" w:rsidRDefault="00F01157" w:rsidP="00F011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(EdTech)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Ấn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2011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Raveendran. Công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dành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giảng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dạy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hút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đẩy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chóng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A0BD5C" w14:textId="77777777" w:rsidR="008C2EA5" w:rsidRPr="008C2EA5" w:rsidRDefault="008C2EA5" w:rsidP="008C2E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A11A8B" w14:textId="07842FC6" w:rsidR="00095687" w:rsidRPr="00F01157" w:rsidRDefault="00095687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3" w:name="_Toc171886112"/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Lịch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sử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Công ty</w:t>
      </w:r>
      <w:bookmarkEnd w:id="3"/>
    </w:p>
    <w:p w14:paraId="71EADEAD" w14:textId="77777777" w:rsidR="00095687" w:rsidRPr="006C7E68" w:rsidRDefault="00095687" w:rsidP="0009568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BYJU's qua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6D844A" w14:textId="77777777" w:rsidR="00095687" w:rsidRPr="006C7E68" w:rsidRDefault="00095687" w:rsidP="000956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2011 -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Byju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Raveendran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BYJU's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2011.</w:t>
      </w:r>
    </w:p>
    <w:p w14:paraId="3678E506" w14:textId="77777777" w:rsidR="00095687" w:rsidRPr="006C7E68" w:rsidRDefault="00095687" w:rsidP="000956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2015 - Ra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mắt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"BYJU’S - The Learning App."</w:t>
      </w:r>
    </w:p>
    <w:p w14:paraId="56F6DE5C" w14:textId="77777777" w:rsidR="00095687" w:rsidRPr="006C7E68" w:rsidRDefault="00095687" w:rsidP="000956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2016 -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Sequoia Capital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Sofina,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quỹ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BD5EB0" w14:textId="77777777" w:rsidR="00095687" w:rsidRPr="006C7E68" w:rsidRDefault="00095687" w:rsidP="000956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2017 -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Ấn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E67C07" w14:textId="77777777" w:rsidR="00095687" w:rsidRPr="006C7E68" w:rsidRDefault="00095687" w:rsidP="000956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2018 - Đạt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mốc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triệu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900,000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30D636" w14:textId="77777777" w:rsidR="00095687" w:rsidRPr="006C7E68" w:rsidRDefault="00095687" w:rsidP="000956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2019 - Mua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Osmo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cường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969BE7" w14:textId="77777777" w:rsidR="00095687" w:rsidRPr="006C7E68" w:rsidRDefault="00095687" w:rsidP="000956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2020 -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ty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gấp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đôi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triệu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3.5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triệu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E7AEEE" w14:textId="77777777" w:rsidR="00095687" w:rsidRPr="006C7E68" w:rsidRDefault="00095687" w:rsidP="000956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2021 - Mua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ty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6E4EA5" w14:textId="0AEC2D67" w:rsidR="00095687" w:rsidRDefault="00095687" w:rsidP="008C2E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E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2022 - Định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vượt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22 </w:t>
      </w:r>
      <w:proofErr w:type="spellStart"/>
      <w:r w:rsidRPr="006C7E68"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 w:rsidRPr="006C7E68">
        <w:rPr>
          <w:rFonts w:ascii="Times New Roman" w:hAnsi="Times New Roman" w:cs="Times New Roman"/>
          <w:sz w:val="28"/>
          <w:szCs w:val="28"/>
          <w:lang w:val="en-US"/>
        </w:rPr>
        <w:t xml:space="preserve"> USD.</w:t>
      </w:r>
    </w:p>
    <w:p w14:paraId="25E508D0" w14:textId="77777777" w:rsidR="008C2EA5" w:rsidRPr="008C2EA5" w:rsidRDefault="008C2EA5" w:rsidP="008C2EA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5C67F71" w14:textId="398CC652" w:rsidR="00893443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4" w:name="_Toc171886113"/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M</w:t>
      </w:r>
      <w:r w:rsidR="00795DF8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ô</w:t>
      </w:r>
      <w:proofErr w:type="spellEnd"/>
      <w:r w:rsidR="00795DF8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795DF8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hình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795DF8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k</w:t>
      </w:r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inh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doanh</w:t>
      </w:r>
      <w:bookmarkEnd w:id="4"/>
      <w:proofErr w:type="spellEnd"/>
    </w:p>
    <w:p w14:paraId="3847AC7B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K-12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luyện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Công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mức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tùy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0FA8D75" w14:textId="3C4B855A" w:rsidR="0009568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nguồn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lộ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BDAC7" w14:textId="77777777" w:rsidR="008C2EA5" w:rsidRPr="008C2EA5" w:rsidRDefault="008C2EA5" w:rsidP="008C2E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A19B495" w14:textId="1F91EE2C" w:rsidR="00893443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5" w:name="_Toc171886114"/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Sản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phẩm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F0115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ịch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vụ</w:t>
      </w:r>
      <w:bookmarkEnd w:id="5"/>
      <w:proofErr w:type="spellEnd"/>
    </w:p>
    <w:p w14:paraId="70F39F88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2D91BE9" w14:textId="77777777" w:rsidR="00F01157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K-12,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khoa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Anh. </w:t>
      </w:r>
    </w:p>
    <w:p w14:paraId="37B2ACEE" w14:textId="14F7D5FE" w:rsidR="00F01157" w:rsidRPr="00F01157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giảng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video,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trò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chơi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3F5887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8B024D" w14:textId="292CE9EE" w:rsidR="00F01157" w:rsidRPr="00F01157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0901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Learning App</w:t>
      </w:r>
      <w:r w:rsidR="00CC0901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B3C234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Gia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0EDB906" w14:textId="302CFF8F" w:rsidR="008C2EA5" w:rsidRDefault="00F01157" w:rsidP="008C2EA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Online Tutoring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buổi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kèm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172EB9" w14:textId="77777777" w:rsidR="008C2EA5" w:rsidRPr="008C2EA5" w:rsidRDefault="008C2EA5" w:rsidP="008C2E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F50E2F" w14:textId="6C5196AA" w:rsidR="00893443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6" w:name="_Toc171886115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Thị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F0115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k</w:t>
      </w:r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hách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F0115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hàng</w:t>
      </w:r>
      <w:bookmarkEnd w:id="6"/>
      <w:proofErr w:type="spellEnd"/>
    </w:p>
    <w:p w14:paraId="43FF5C4F" w14:textId="2B15DD47" w:rsidR="00893443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Thị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K-12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huynh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tâm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Ấn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Công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cận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mua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chất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cận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9AB759" w14:textId="77777777" w:rsidR="008C2EA5" w:rsidRPr="008C2EA5" w:rsidRDefault="008C2EA5" w:rsidP="008C2E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685175E" w14:textId="5A970BFA" w:rsidR="00893443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7" w:name="_Toc171886116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Cạnh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tranh</w:t>
      </w:r>
      <w:bookmarkEnd w:id="7"/>
      <w:proofErr w:type="spellEnd"/>
    </w:p>
    <w:p w14:paraId="7F3EFC4D" w14:textId="46385464" w:rsidR="00893443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EdTech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Các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Coursera, Udacity, Khan Academy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edX.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nhờ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loạt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phong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phú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FADA35" w14:textId="77777777" w:rsidR="008C2EA5" w:rsidRPr="008C2EA5" w:rsidRDefault="008C2EA5" w:rsidP="008C2E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DF978DA" w14:textId="5A3980B7" w:rsidR="00095687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8" w:name="_Toc171886117"/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Chiến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lược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09568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kinh</w:t>
      </w:r>
      <w:proofErr w:type="spellEnd"/>
      <w:r w:rsidR="0009568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09568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doanh</w:t>
      </w:r>
      <w:bookmarkEnd w:id="8"/>
      <w:proofErr w:type="spellEnd"/>
    </w:p>
    <w:p w14:paraId="3D738D15" w14:textId="0D93C159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Công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mua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nỗ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lợi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2D3934" w14:textId="77777777" w:rsidR="008C2EA5" w:rsidRPr="008C2EA5" w:rsidRDefault="008C2EA5" w:rsidP="008C2E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F5ED792" w14:textId="7F2F9952" w:rsidR="00893443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9" w:name="_Toc171886118"/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Tài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chính</w:t>
      </w:r>
      <w:bookmarkEnd w:id="9"/>
      <w:proofErr w:type="spellEnd"/>
    </w:p>
    <w:p w14:paraId="40BCC67A" w14:textId="279178EA" w:rsidR="00795DF8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kể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triệu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USD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2018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300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triệu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USD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2019. Công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kể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vòng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vốn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1,5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USD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2021 do UBS Group AG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mức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16,5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USD.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marketing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640E98" w14:textId="77777777" w:rsidR="008C2EA5" w:rsidRPr="008C2EA5" w:rsidRDefault="008C2EA5" w:rsidP="008C2E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D09C601" w14:textId="1609BD0D" w:rsidR="00893443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0" w:name="_Toc171886119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Quản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lý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F0115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n</w:t>
      </w:r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hân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sự</w:t>
      </w:r>
      <w:bookmarkEnd w:id="10"/>
      <w:proofErr w:type="spellEnd"/>
    </w:p>
    <w:p w14:paraId="56E77A6B" w14:textId="2102B8F2" w:rsidR="00893443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ngũ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dắt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Raveendran,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đẩy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tầm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nhìn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ty. Công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lao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1FD0A6" w14:textId="77777777" w:rsidR="008C2EA5" w:rsidRPr="008C2EA5" w:rsidRDefault="008C2EA5" w:rsidP="008C2E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9503DEE" w14:textId="3CED4141" w:rsidR="00893443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1" w:name="_Toc171886120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Công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F0115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đ</w:t>
      </w:r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ổi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mới</w:t>
      </w:r>
      <w:bookmarkEnd w:id="11"/>
      <w:proofErr w:type="spellEnd"/>
    </w:p>
    <w:p w14:paraId="25AE455E" w14:textId="45DF41D2" w:rsidR="00893443" w:rsidRP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tuệ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(AI)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(ML)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Công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trò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chơi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liền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mạch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tâm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lợi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58EE5E" w14:textId="478CBFA5" w:rsidR="00F01157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2" w:name="_Toc171886121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Các </w:t>
      </w:r>
      <w:proofErr w:type="spellStart"/>
      <w:r w:rsidR="0009568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y</w:t>
      </w:r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ếu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tố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F0115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r</w:t>
      </w:r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ủi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ro</w:t>
      </w:r>
      <w:bookmarkEnd w:id="12"/>
      <w:proofErr w:type="spellEnd"/>
    </w:p>
    <w:p w14:paraId="7331620C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14AAC1" w14:textId="651BB666" w:rsidR="00F01157" w:rsidRPr="00F01157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ngành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chặt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tuân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hưởng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ty.</w:t>
      </w:r>
    </w:p>
    <w:p w14:paraId="424290A7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171A7C" w14:textId="7C401A6C" w:rsidR="00F01157" w:rsidRPr="00F01157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Công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giữ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thoái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mức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7851F8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36C021" w14:textId="5704E955" w:rsidR="00F01157" w:rsidRPr="00F01157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khốc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liệt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EdTech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mất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811FF9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B79781" w14:textId="72ADC590" w:rsidR="00893443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cẩn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thận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chất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lợi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916226" w14:textId="77777777" w:rsidR="008C2EA5" w:rsidRPr="008C2EA5" w:rsidRDefault="008C2EA5" w:rsidP="008C2E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04A0B6" w14:textId="58F7A175" w:rsidR="00F01157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3" w:name="_Toc171886122"/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Triển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vọng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F01157"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ự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báo</w:t>
      </w:r>
      <w:bookmarkEnd w:id="13"/>
      <w:proofErr w:type="spellEnd"/>
    </w:p>
    <w:p w14:paraId="177CC197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A559E6" w14:textId="3E1DC78A" w:rsidR="00F01157" w:rsidRPr="00F01157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nhắm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khúc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xâm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. Nhu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kiến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mang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tiềm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3837EF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Thách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57BD81" w14:textId="62B7A4C0" w:rsidR="00F01157" w:rsidRPr="00F01157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1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Công ty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thách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tuân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5D418B" w14:textId="77777777" w:rsidR="00F01157" w:rsidRDefault="00F01157" w:rsidP="00F011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A801A8" w14:textId="5D8C531C" w:rsidR="00893443" w:rsidRDefault="00F01157" w:rsidP="00F0115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bền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sz w:val="28"/>
          <w:szCs w:val="28"/>
          <w:lang w:val="en-US"/>
        </w:rPr>
        <w:t>vững</w:t>
      </w:r>
      <w:proofErr w:type="spellEnd"/>
      <w:r w:rsidRPr="00F01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1DD3A2" w14:textId="48B1F071" w:rsidR="00C67383" w:rsidRPr="00C67383" w:rsidRDefault="00C67383" w:rsidP="00657E28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4" w:name="_Toc171886123"/>
      <w:proofErr w:type="spellStart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>Những</w:t>
      </w:r>
      <w:proofErr w:type="spellEnd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>Bài</w:t>
      </w:r>
      <w:proofErr w:type="spellEnd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Học </w:t>
      </w:r>
      <w:proofErr w:type="spellStart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>Nhận</w:t>
      </w:r>
      <w:proofErr w:type="spellEnd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Định </w:t>
      </w:r>
      <w:proofErr w:type="spellStart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>Cá</w:t>
      </w:r>
      <w:proofErr w:type="spellEnd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>Nhân</w:t>
      </w:r>
      <w:proofErr w:type="spellEnd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>Từ</w:t>
      </w:r>
      <w:proofErr w:type="spellEnd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36"/>
          <w:szCs w:val="36"/>
          <w:lang w:val="en-US"/>
        </w:rPr>
        <w:t>Byju’s</w:t>
      </w:r>
      <w:bookmarkEnd w:id="14"/>
      <w:proofErr w:type="spellEnd"/>
    </w:p>
    <w:p w14:paraId="4B5B3CA9" w14:textId="5E8CE73A" w:rsidR="00C67383" w:rsidRPr="00C67383" w:rsidRDefault="00C67383" w:rsidP="00C673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Tầm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</w:p>
    <w:p w14:paraId="6C56C70E" w14:textId="00821233" w:rsidR="00C67383" w:rsidRPr="00C67383" w:rsidRDefault="00C67383" w:rsidP="00C673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luôn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tuệ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(AI)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(ML)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lộ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áp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cải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thiện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lợi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rõ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rệt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1F432B" w14:textId="1F688C41" w:rsidR="00C67383" w:rsidRP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cốt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lõi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ngành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. Công ty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áp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lợi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vượt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trội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60B5CB" w14:textId="77777777" w:rsidR="00C67383" w:rsidRP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A5F150" w14:textId="6A0D92DF" w:rsidR="00C67383" w:rsidRPr="00C67383" w:rsidRDefault="00C67383" w:rsidP="00C673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</w:p>
    <w:p w14:paraId="7A6F7862" w14:textId="6BCC576A" w:rsidR="00C67383" w:rsidRPr="00C67383" w:rsidRDefault="00C67383" w:rsidP="00C673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chóng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môi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luyện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dục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K-12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sư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07418E" w14:textId="7BECEE4A" w:rsid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sống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. Công ty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luôn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sẵn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sàng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cải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đáp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A430F8" w14:textId="77777777" w:rsidR="00C67383" w:rsidRP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589AFE" w14:textId="3D7F0149" w:rsidR="00C67383" w:rsidRPr="00C67383" w:rsidRDefault="00C67383" w:rsidP="00C673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thương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</w:p>
    <w:p w14:paraId="29294A3D" w14:textId="35F94FE5" w:rsidR="00C67383" w:rsidRPr="00C67383" w:rsidRDefault="00C67383" w:rsidP="00C673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thương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quảng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nổi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Disney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IPL.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thương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D3D149" w14:textId="15DFE57D" w:rsid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: Marketing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thương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chìa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hút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giữ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chân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ty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nổi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bật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8CB303" w14:textId="77777777" w:rsidR="00C67383" w:rsidRP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6B8C35" w14:textId="0D4A886D" w:rsidR="00C67383" w:rsidRPr="00C67383" w:rsidRDefault="00C67383" w:rsidP="00C673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Tầm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hút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</w:p>
    <w:p w14:paraId="179B1DBA" w14:textId="69858210" w:rsidR="00C67383" w:rsidRP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hút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nguồn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marketing. Các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đóng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vai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trò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đẩy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chóng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ty.</w:t>
      </w:r>
    </w:p>
    <w:p w14:paraId="30B6942D" w14:textId="7DC811DA" w:rsid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hút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nguồn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. Công ty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hấp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minh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tiềm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hút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E1A62E" w14:textId="77777777" w:rsidR="00C67383" w:rsidRP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6C1A1A" w14:textId="6A403B6C" w:rsidR="00C67383" w:rsidRPr="00C67383" w:rsidRDefault="00C67383" w:rsidP="00C673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Tầm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bền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vững</w:t>
      </w:r>
      <w:proofErr w:type="spellEnd"/>
    </w:p>
    <w:p w14:paraId="7E48E74D" w14:textId="1FECC706" w:rsidR="00C67383" w:rsidRPr="00E44111" w:rsidRDefault="00C67383" w:rsidP="00E4411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lastRenderedPageBreak/>
        <w:t>Byju’s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luôn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bền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vững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cẩn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thận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ty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dài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111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E441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2BB949" w14:textId="262A75A2" w:rsidR="00C67383" w:rsidRPr="00C67383" w:rsidRDefault="00C67383" w:rsidP="00C67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bền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vững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cẩn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thận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lâu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dài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ty. Công ty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tránh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383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C67383">
        <w:rPr>
          <w:rFonts w:ascii="Times New Roman" w:hAnsi="Times New Roman" w:cs="Times New Roman"/>
          <w:sz w:val="28"/>
          <w:szCs w:val="28"/>
          <w:lang w:val="en-US"/>
        </w:rPr>
        <w:t xml:space="preserve"> ro.</w:t>
      </w:r>
    </w:p>
    <w:p w14:paraId="7F4DBEA5" w14:textId="77777777" w:rsidR="008C2EA5" w:rsidRPr="008C2EA5" w:rsidRDefault="008C2EA5" w:rsidP="008C2E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67A9AC" w14:textId="77777777" w:rsidR="00F01157" w:rsidRPr="00F01157" w:rsidRDefault="00893443" w:rsidP="00F01157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5" w:name="_Toc171886124"/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Kết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luận</w:t>
      </w:r>
      <w:bookmarkEnd w:id="15"/>
      <w:proofErr w:type="spellEnd"/>
    </w:p>
    <w:p w14:paraId="45FD87B3" w14:textId="02FA79EA" w:rsidR="00F01157" w:rsidRPr="001961C9" w:rsidRDefault="00F01157" w:rsidP="001961C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Byju’s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ngành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EdTech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sáng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nỗ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. Công ty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đạt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đáng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kể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thách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C9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1961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06387A" w14:textId="77777777" w:rsidR="008C2EA5" w:rsidRPr="008C2EA5" w:rsidRDefault="008C2EA5" w:rsidP="008C2E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DB5598" w14:textId="53710E39" w:rsidR="00795DF8" w:rsidRPr="001961C9" w:rsidRDefault="00893443" w:rsidP="001961C9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6" w:name="_Toc171886125"/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Tài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liệu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tham</w:t>
      </w:r>
      <w:proofErr w:type="spellEnd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01157">
        <w:rPr>
          <w:rFonts w:ascii="Times New Roman" w:hAnsi="Times New Roman" w:cs="Times New Roman"/>
          <w:b/>
          <w:bCs/>
          <w:sz w:val="36"/>
          <w:szCs w:val="36"/>
          <w:lang w:val="en-US"/>
        </w:rPr>
        <w:t>khảo</w:t>
      </w:r>
      <w:bookmarkEnd w:id="16"/>
      <w:proofErr w:type="spellEnd"/>
    </w:p>
    <w:p w14:paraId="1F1315B1" w14:textId="6A10F9A1" w:rsidR="00795DF8" w:rsidRDefault="00000000" w:rsidP="00795D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795DF8" w:rsidRPr="00BB67F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https://en.wikipedia.org/wiki/Byju's</w:t>
        </w:r>
      </w:hyperlink>
      <w:r w:rsidR="00795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C56F58" w14:textId="16A4E79D" w:rsidR="00795DF8" w:rsidRDefault="00000000" w:rsidP="00795D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795DF8" w:rsidRPr="00BB67F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https://www.linkedin.com/pulse/rise-fall-byjus-comprehensive-case-study-rafsan-billah-lx7bc/</w:t>
        </w:r>
      </w:hyperlink>
      <w:r w:rsidR="00795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86A44F" w14:textId="07FF607E" w:rsidR="00795DF8" w:rsidRPr="00795DF8" w:rsidRDefault="00000000" w:rsidP="00795D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795DF8" w:rsidRPr="00BB67F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https://www.cvs.edu.in/upload/LECTURE-04-05-2020.pdf</w:t>
        </w:r>
      </w:hyperlink>
      <w:r w:rsidR="00795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95DF8" w:rsidRPr="00795DF8" w:rsidSect="00951F7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FCD79" w14:textId="77777777" w:rsidR="007B3818" w:rsidRPr="00AA6A7B" w:rsidRDefault="007B3818" w:rsidP="00951F79">
      <w:pPr>
        <w:spacing w:after="0" w:line="240" w:lineRule="auto"/>
      </w:pPr>
      <w:r w:rsidRPr="00AA6A7B">
        <w:separator/>
      </w:r>
    </w:p>
  </w:endnote>
  <w:endnote w:type="continuationSeparator" w:id="0">
    <w:p w14:paraId="2BFF118E" w14:textId="77777777" w:rsidR="007B3818" w:rsidRPr="00AA6A7B" w:rsidRDefault="007B3818" w:rsidP="00951F79">
      <w:pPr>
        <w:spacing w:after="0" w:line="240" w:lineRule="auto"/>
      </w:pPr>
      <w:r w:rsidRPr="00AA6A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C0504" w14:textId="77777777" w:rsidR="007B3818" w:rsidRPr="00AA6A7B" w:rsidRDefault="007B3818" w:rsidP="00951F79">
      <w:pPr>
        <w:spacing w:after="0" w:line="240" w:lineRule="auto"/>
      </w:pPr>
      <w:r w:rsidRPr="00AA6A7B">
        <w:separator/>
      </w:r>
    </w:p>
  </w:footnote>
  <w:footnote w:type="continuationSeparator" w:id="0">
    <w:p w14:paraId="12F3BEBA" w14:textId="77777777" w:rsidR="007B3818" w:rsidRPr="00AA6A7B" w:rsidRDefault="007B3818" w:rsidP="00951F79">
      <w:pPr>
        <w:spacing w:after="0" w:line="240" w:lineRule="auto"/>
      </w:pPr>
      <w:r w:rsidRPr="00AA6A7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2322"/>
    <w:multiLevelType w:val="hybridMultilevel"/>
    <w:tmpl w:val="4B820E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36CA"/>
    <w:multiLevelType w:val="hybridMultilevel"/>
    <w:tmpl w:val="FF609A8C"/>
    <w:lvl w:ilvl="0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F7A25"/>
    <w:multiLevelType w:val="hybridMultilevel"/>
    <w:tmpl w:val="89724DB6"/>
    <w:lvl w:ilvl="0" w:tplc="8746F00C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1350D"/>
    <w:multiLevelType w:val="hybridMultilevel"/>
    <w:tmpl w:val="4CE6659A"/>
    <w:lvl w:ilvl="0" w:tplc="85208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21E54"/>
    <w:multiLevelType w:val="hybridMultilevel"/>
    <w:tmpl w:val="D8E20944"/>
    <w:lvl w:ilvl="0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269AC"/>
    <w:multiLevelType w:val="hybridMultilevel"/>
    <w:tmpl w:val="7CBEF4B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772ED"/>
    <w:multiLevelType w:val="hybridMultilevel"/>
    <w:tmpl w:val="562C5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E618FB"/>
    <w:multiLevelType w:val="hybridMultilevel"/>
    <w:tmpl w:val="EF48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35677"/>
    <w:multiLevelType w:val="hybridMultilevel"/>
    <w:tmpl w:val="7C0EC1A0"/>
    <w:lvl w:ilvl="0" w:tplc="DDBAE57C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90F58"/>
    <w:multiLevelType w:val="hybridMultilevel"/>
    <w:tmpl w:val="CEC29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06322"/>
    <w:multiLevelType w:val="hybridMultilevel"/>
    <w:tmpl w:val="507C035A"/>
    <w:lvl w:ilvl="0" w:tplc="35EE3B10">
      <w:start w:val="202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8201470">
    <w:abstractNumId w:val="4"/>
  </w:num>
  <w:num w:numId="2" w16cid:durableId="1921600381">
    <w:abstractNumId w:val="5"/>
  </w:num>
  <w:num w:numId="3" w16cid:durableId="164051348">
    <w:abstractNumId w:val="1"/>
  </w:num>
  <w:num w:numId="4" w16cid:durableId="545026179">
    <w:abstractNumId w:val="0"/>
  </w:num>
  <w:num w:numId="5" w16cid:durableId="507334352">
    <w:abstractNumId w:val="3"/>
  </w:num>
  <w:num w:numId="6" w16cid:durableId="1247491743">
    <w:abstractNumId w:val="6"/>
  </w:num>
  <w:num w:numId="7" w16cid:durableId="1607687126">
    <w:abstractNumId w:val="8"/>
  </w:num>
  <w:num w:numId="8" w16cid:durableId="1260329388">
    <w:abstractNumId w:val="10"/>
  </w:num>
  <w:num w:numId="9" w16cid:durableId="68045176">
    <w:abstractNumId w:val="2"/>
  </w:num>
  <w:num w:numId="10" w16cid:durableId="1941454056">
    <w:abstractNumId w:val="7"/>
  </w:num>
  <w:num w:numId="11" w16cid:durableId="1184955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64"/>
    <w:rsid w:val="00007D3D"/>
    <w:rsid w:val="00013F5B"/>
    <w:rsid w:val="000424EE"/>
    <w:rsid w:val="00055F98"/>
    <w:rsid w:val="00095687"/>
    <w:rsid w:val="000963FB"/>
    <w:rsid w:val="00096DD3"/>
    <w:rsid w:val="000E063C"/>
    <w:rsid w:val="0012369A"/>
    <w:rsid w:val="0014414C"/>
    <w:rsid w:val="001628BC"/>
    <w:rsid w:val="001659E4"/>
    <w:rsid w:val="001961C9"/>
    <w:rsid w:val="001A03FF"/>
    <w:rsid w:val="001D29A2"/>
    <w:rsid w:val="001D3DA3"/>
    <w:rsid w:val="001F1DCB"/>
    <w:rsid w:val="002068EB"/>
    <w:rsid w:val="00255A64"/>
    <w:rsid w:val="00262017"/>
    <w:rsid w:val="002621DE"/>
    <w:rsid w:val="002A7083"/>
    <w:rsid w:val="002C0B6D"/>
    <w:rsid w:val="002D2C17"/>
    <w:rsid w:val="002D327E"/>
    <w:rsid w:val="0032003F"/>
    <w:rsid w:val="00342AA6"/>
    <w:rsid w:val="003730F7"/>
    <w:rsid w:val="0038260F"/>
    <w:rsid w:val="003946F2"/>
    <w:rsid w:val="00395E26"/>
    <w:rsid w:val="004336EA"/>
    <w:rsid w:val="00444C4A"/>
    <w:rsid w:val="00474C9A"/>
    <w:rsid w:val="004877E9"/>
    <w:rsid w:val="00487B1F"/>
    <w:rsid w:val="004F3DB9"/>
    <w:rsid w:val="005354B6"/>
    <w:rsid w:val="0055249D"/>
    <w:rsid w:val="005807EF"/>
    <w:rsid w:val="005F3CD6"/>
    <w:rsid w:val="005F432F"/>
    <w:rsid w:val="00651014"/>
    <w:rsid w:val="00657E28"/>
    <w:rsid w:val="00672333"/>
    <w:rsid w:val="006806A6"/>
    <w:rsid w:val="006C7E68"/>
    <w:rsid w:val="006D0F16"/>
    <w:rsid w:val="00706602"/>
    <w:rsid w:val="00756E3D"/>
    <w:rsid w:val="00760C18"/>
    <w:rsid w:val="00772223"/>
    <w:rsid w:val="0077752C"/>
    <w:rsid w:val="00793A5D"/>
    <w:rsid w:val="00795DF8"/>
    <w:rsid w:val="00797474"/>
    <w:rsid w:val="007B3818"/>
    <w:rsid w:val="007C2F2A"/>
    <w:rsid w:val="007E6E09"/>
    <w:rsid w:val="007E7825"/>
    <w:rsid w:val="00815D17"/>
    <w:rsid w:val="0083168F"/>
    <w:rsid w:val="00834A66"/>
    <w:rsid w:val="00851FED"/>
    <w:rsid w:val="00882B37"/>
    <w:rsid w:val="00893443"/>
    <w:rsid w:val="008C2EA5"/>
    <w:rsid w:val="008F50AA"/>
    <w:rsid w:val="008F51C5"/>
    <w:rsid w:val="00920626"/>
    <w:rsid w:val="00926735"/>
    <w:rsid w:val="009271E7"/>
    <w:rsid w:val="00942D04"/>
    <w:rsid w:val="00946148"/>
    <w:rsid w:val="00951F79"/>
    <w:rsid w:val="00976557"/>
    <w:rsid w:val="00983672"/>
    <w:rsid w:val="00A16520"/>
    <w:rsid w:val="00A23FF0"/>
    <w:rsid w:val="00A34A37"/>
    <w:rsid w:val="00A34EE7"/>
    <w:rsid w:val="00A42A95"/>
    <w:rsid w:val="00A53C48"/>
    <w:rsid w:val="00A71192"/>
    <w:rsid w:val="00A84528"/>
    <w:rsid w:val="00AA59FB"/>
    <w:rsid w:val="00AA6A7B"/>
    <w:rsid w:val="00AC00EA"/>
    <w:rsid w:val="00B122E8"/>
    <w:rsid w:val="00B34712"/>
    <w:rsid w:val="00B772B4"/>
    <w:rsid w:val="00B82F60"/>
    <w:rsid w:val="00B83B77"/>
    <w:rsid w:val="00BA5B44"/>
    <w:rsid w:val="00BD1809"/>
    <w:rsid w:val="00BE25F2"/>
    <w:rsid w:val="00C03553"/>
    <w:rsid w:val="00C54C40"/>
    <w:rsid w:val="00C67383"/>
    <w:rsid w:val="00C72715"/>
    <w:rsid w:val="00C75876"/>
    <w:rsid w:val="00C93C23"/>
    <w:rsid w:val="00CC0901"/>
    <w:rsid w:val="00D46466"/>
    <w:rsid w:val="00D562D8"/>
    <w:rsid w:val="00DE7E5B"/>
    <w:rsid w:val="00DF782D"/>
    <w:rsid w:val="00E0574B"/>
    <w:rsid w:val="00E11EAC"/>
    <w:rsid w:val="00E44111"/>
    <w:rsid w:val="00E75E05"/>
    <w:rsid w:val="00E97E5B"/>
    <w:rsid w:val="00F01157"/>
    <w:rsid w:val="00F034F9"/>
    <w:rsid w:val="00F17DCD"/>
    <w:rsid w:val="00F21988"/>
    <w:rsid w:val="00F24699"/>
    <w:rsid w:val="00F2576D"/>
    <w:rsid w:val="00F30FB7"/>
    <w:rsid w:val="00F506F6"/>
    <w:rsid w:val="00F81E66"/>
    <w:rsid w:val="00F8302E"/>
    <w:rsid w:val="00FA5785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FA43"/>
  <w15:chartTrackingRefBased/>
  <w15:docId w15:val="{31EA7F63-DB29-4606-8AC6-24098B1A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37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79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5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79"/>
    <w:rPr>
      <w:lang w:val="vi-VN"/>
    </w:rPr>
  </w:style>
  <w:style w:type="table" w:styleId="TableGrid">
    <w:name w:val="Table Grid"/>
    <w:basedOn w:val="TableNormal"/>
    <w:uiPriority w:val="39"/>
    <w:rsid w:val="007E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5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0115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11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1250">
                  <w:marLeft w:val="0"/>
                  <w:marRight w:val="0"/>
                  <w:marTop w:val="0"/>
                  <w:marBottom w:val="0"/>
                  <w:divBdr>
                    <w:top w:val="single" w:sz="6" w:space="0" w:color="88B77B"/>
                    <w:left w:val="single" w:sz="6" w:space="0" w:color="88B77B"/>
                    <w:bottom w:val="single" w:sz="6" w:space="0" w:color="88B77B"/>
                    <w:right w:val="single" w:sz="6" w:space="0" w:color="88B77B"/>
                  </w:divBdr>
                  <w:divsChild>
                    <w:div w:id="9161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5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5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vs.edu.in/upload/LECTURE-04-05-2020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ulse/rise-fall-byjus-comprehensive-case-study-rafsan-billah-lx7b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yju'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CEF6-BA6B-48ED-B140-FB210165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10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Quang Phạm</dc:creator>
  <cp:keywords/>
  <dc:description/>
  <cp:lastModifiedBy>PHAN TRÍ TÀI</cp:lastModifiedBy>
  <cp:revision>41</cp:revision>
  <cp:lastPrinted>2024-07-14T14:48:00Z</cp:lastPrinted>
  <dcterms:created xsi:type="dcterms:W3CDTF">2024-06-03T18:30:00Z</dcterms:created>
  <dcterms:modified xsi:type="dcterms:W3CDTF">2024-07-14T14:49:00Z</dcterms:modified>
</cp:coreProperties>
</file>