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A0F1A"/>
          <w:sz w:val="30"/>
          <w:szCs w:val="30"/>
        </w:rPr>
        <w:t xml:space="preserve">CONFIDENTIALITY AND INTELLECTUAL PROPERTY AGREEMENT</w:t>
      </w:r>
    </w:p>
    <w:p>
      <w:pPr>
        <w:spacing w:after="240"/>
        <w:jc w:val="center"/>
      </w:pPr>
      <w:r>
        <w:rPr>
          <w:i/>
          <w:iCs/>
          <w:color w:val="6A7482"/>
          <w:sz w:val="18"/>
          <w:szCs w:val="18"/>
        </w:rPr>
        <w:t xml:space="preserve">DRAFT for solicitor review — v1, 21 August 2026</w:t>
      </w:r>
    </w:p>
    <w:p>
      <w:pPr>
        <w:spacing w:after="140"/>
      </w:pPr>
      <w:r>
        <w:rPr>
          <w:b/>
          <w:bCs/>
        </w:rPr>
        <w:t xml:space="preserve">This Agreement</w:t>
      </w:r>
      <w:r>
        <w:t xml:space="preserve"> is dated [ DATE ] and is made between:</w:t>
      </w:r>
    </w:p>
    <w:p>
      <w:pPr>
        <w:pStyle w:val="ListParagraph"/>
        <w:numPr>
          <w:ilvl w:val="0"/>
          <w:numId w:val="2"/>
        </w:numPr>
        <w:spacing w:after="90"/>
      </w:pPr>
      <w:r>
        <w:rPr>
          <w:b/>
          <w:bCs/>
        </w:rPr>
        <w:t xml:space="preserve">MissionCTRL Ltd</w:t>
      </w:r>
      <w:r>
        <w:t xml:space="preserve">, a company registered in England &amp; Wales (Company No. 17018199) whose registered office is at 1 Empire Mews, London SW16 2BF (“MissionCTRL”); and</w:t>
      </w:r>
    </w:p>
    <w:p>
      <w:pPr>
        <w:pStyle w:val="ListParagraph"/>
        <w:numPr>
          <w:ilvl w:val="0"/>
          <w:numId w:val="2"/>
        </w:numPr>
        <w:spacing w:after="90"/>
      </w:pPr>
      <w:r>
        <w:rPr>
          <w:b/>
          <w:bCs/>
        </w:rPr>
        <w:t xml:space="preserve">Cohn Consulting Ltd</w:t>
      </w:r>
      <w:r>
        <w:t xml:space="preserve">, a company registered in England &amp; Wales (Company No. 15716424) whose registered office is at 424 Margate Road, Westwood, Ramsgate, Kent CT12 6SJ (“the Consultant”), whose principal is </w:t>
      </w:r>
      <w:r>
        <w:rPr>
          <w:b/>
          <w:bCs/>
        </w:rPr>
        <w:t xml:space="preserve">Wayne Cohn</w:t>
      </w:r>
      <w:r>
        <w:t xml:space="preserve">, who countersigns this Agreement to give the personal undertaking at clause 15.</w:t>
      </w:r>
    </w:p>
    <w:p>
      <w:pPr>
        <w:pStyle w:val="Heading1"/>
        <w:spacing w:after="120" w:before="300"/>
      </w:pPr>
      <w:r>
        <w:rPr>
          <w:b/>
          <w:bCs/>
          <w:color w:val="0A0F1A"/>
        </w:rPr>
        <w:t xml:space="preserve">Background</w:t>
      </w:r>
    </w:p>
    <w:p>
      <w:pPr>
        <w:pStyle w:val="ListParagraph"/>
        <w:numPr>
          <w:ilvl w:val="0"/>
          <w:numId w:val="2"/>
        </w:numPr>
        <w:spacing w:after="90"/>
      </w:pPr>
      <w:r>
        <w:t xml:space="preserve">MissionCTRL owns a brand strategy practice and a proprietary trust-measurement product, TrustOS, together with the methodologies, data and materials described in Schedule 1.</w:t>
      </w:r>
    </w:p>
    <w:p>
      <w:pPr>
        <w:pStyle w:val="ListParagraph"/>
        <w:numPr>
          <w:ilvl w:val="0"/>
          <w:numId w:val="2"/>
        </w:numPr>
        <w:spacing w:after="90"/>
      </w:pPr>
      <w:r>
        <w:t xml:space="preserve">The parties are discussing, and may enter into, an engagement under which the Consultant provides fractional sales and go-to-market services to MissionCTRL (the “Purpose”).</w:t>
      </w:r>
    </w:p>
    <w:p>
      <w:pPr>
        <w:pStyle w:val="ListParagraph"/>
        <w:numPr>
          <w:ilvl w:val="0"/>
          <w:numId w:val="2"/>
        </w:numPr>
        <w:spacing w:after="90"/>
      </w:pPr>
      <w:r>
        <w:t xml:space="preserve">Before and during any such engagement, MissionCTRL will give the Consultant access to confidential and proprietary material. This Agreement protects that material regardless of whether, and on what terms, a commercial engagement proceeds. It is intended to be supplemented, not replaced, by any later services agreement.</w:t>
      </w:r>
    </w:p>
    <w:p>
      <w:pPr>
        <w:pStyle w:val="Heading1"/>
        <w:spacing w:after="120" w:before="300"/>
      </w:pPr>
      <w:r>
        <w:rPr>
          <w:b/>
          <w:bCs/>
          <w:color w:val="0A0F1A"/>
        </w:rPr>
        <w:t xml:space="preserve">1. Definitions</w:t>
      </w:r>
    </w:p>
    <w:p>
      <w:pPr>
        <w:pStyle w:val="ListParagraph"/>
        <w:numPr>
          <w:ilvl w:val="0"/>
          <w:numId w:val="3"/>
        </w:numPr>
        <w:spacing w:after="120"/>
      </w:pPr>
      <w:r>
        <w:rPr>
          <w:b/>
          <w:bCs/>
        </w:rPr>
        <w:t xml:space="preserve">“Confidential Information”</w:t>
      </w:r>
      <w:r>
        <w:t xml:space="preserve"> means all information disclosed by or on behalf of MissionCTRL to the Consultant, before or after the date of this Agreement, in any form, that is marked confidential or would reasonably be regarded as confidential, including: the Protected IP (Schedule 1); pricing, discounts and commercial models; prospect, lead and client lists and research (including the output of MissionCTRL's automated prospect research); pipeline, proposal and negotiation information; product roadmaps and unreleased features; supplier and partner arrangements (including with Ferrous Labs / Entendex Ltd); and business, financial and strategic information.</w:t>
      </w:r>
    </w:p>
    <w:p>
      <w:pPr>
        <w:pStyle w:val="ListParagraph"/>
        <w:numPr>
          <w:ilvl w:val="0"/>
          <w:numId w:val="3"/>
        </w:numPr>
        <w:spacing w:after="120"/>
      </w:pPr>
      <w:r>
        <w:rPr>
          <w:b/>
          <w:bCs/>
        </w:rPr>
        <w:t xml:space="preserve">“Protected IP”</w:t>
      </w:r>
      <w:r>
        <w:t xml:space="preserve"> means the Intellectual Property Rights owned or controlled by MissionCTRL, including the items in Schedule 1.</w:t>
      </w:r>
    </w:p>
    <w:p>
      <w:pPr>
        <w:pStyle w:val="ListParagraph"/>
        <w:numPr>
          <w:ilvl w:val="0"/>
          <w:numId w:val="3"/>
        </w:numPr>
        <w:spacing w:after="120"/>
      </w:pPr>
      <w:r>
        <w:rPr>
          <w:b/>
          <w:bCs/>
        </w:rPr>
        <w:t xml:space="preserve">“Intellectual Property Rights”</w:t>
      </w:r>
      <w:r>
        <w:t xml:space="preserve"> means patents, rights to inventions, copyright and related rights, trade marks and trade names, goodwill, rights in designs, database rights, rights in confidential information (including know-how) and all other intellectual property rights, whether registered or unregistered, anywhere in the world.</w:t>
      </w:r>
    </w:p>
    <w:p>
      <w:pPr>
        <w:pStyle w:val="ListParagraph"/>
        <w:numPr>
          <w:ilvl w:val="0"/>
          <w:numId w:val="3"/>
        </w:numPr>
        <w:spacing w:after="120"/>
      </w:pPr>
      <w:r>
        <w:rPr>
          <w:b/>
          <w:bCs/>
        </w:rPr>
        <w:t xml:space="preserve">“Work Product”</w:t>
      </w:r>
      <w:r>
        <w:t xml:space="preserve"> means anything created by or on behalf of the Consultant (alone or jointly) in connection with the Purpose, including documents, scripts, playbooks, messaging, sequences, pipelines, CRM configurations, target lists derived from MissionCTRL data, and improvements or modifications to any Protected IP.</w:t>
      </w:r>
    </w:p>
    <w:p>
      <w:pPr>
        <w:pStyle w:val="Heading1"/>
        <w:spacing w:after="120" w:before="300"/>
      </w:pPr>
      <w:r>
        <w:rPr>
          <w:b/>
          <w:bCs/>
          <w:color w:val="0A0F1A"/>
        </w:rPr>
        <w:t xml:space="preserve">2. Confidentiality</w:t>
      </w:r>
    </w:p>
    <w:p>
      <w:pPr>
        <w:pStyle w:val="ListParagraph"/>
        <w:numPr>
          <w:ilvl w:val="0"/>
          <w:numId w:val="3"/>
        </w:numPr>
        <w:spacing w:after="120"/>
      </w:pPr>
      <w:r>
        <w:t xml:space="preserve">The Consultant shall keep the Confidential Information strictly confidential; use it only for the Purpose; and not disclose it to anyone except those of its officers and employees who need it for the Purpose and who are bound by written obligations no less protective than this Agreement. The Consultant is responsible for any breach by such persons.</w:t>
      </w:r>
    </w:p>
    <w:p>
      <w:pPr>
        <w:pStyle w:val="ListParagraph"/>
        <w:numPr>
          <w:ilvl w:val="0"/>
          <w:numId w:val="3"/>
        </w:numPr>
        <w:spacing w:after="120"/>
      </w:pPr>
      <w:r>
        <w:t xml:space="preserve">These obligations do not apply to information that: (a) is or becomes public other than through breach of this Agreement; (b) the Consultant can show it held lawfully before disclosure, free of duty of confidence; (c) is received lawfully from a third party free of restriction; or (d) must be disclosed by law or a regulator, provided (where lawful) MissionCTRL is given prompt notice and the disclosure is limited to what is required.</w:t>
      </w:r>
    </w:p>
    <w:p>
      <w:pPr>
        <w:pStyle w:val="ListParagraph"/>
        <w:numPr>
          <w:ilvl w:val="0"/>
          <w:numId w:val="3"/>
        </w:numPr>
        <w:spacing w:after="120"/>
      </w:pPr>
      <w:r>
        <w:t xml:space="preserve">The confidentiality obligations in this Agreement continue for </w:t>
      </w:r>
      <w:r>
        <w:rPr>
          <w:b/>
          <w:bCs/>
        </w:rPr>
        <w:t xml:space="preserve">five years</w:t>
      </w:r>
      <w:r>
        <w:t xml:space="preserve"> from the date of this Agreement, and indefinitely in respect of the Protected IP for so long as it remains a trade secret or otherwise confidential.</w:t>
      </w:r>
    </w:p>
    <w:p>
      <w:pPr>
        <w:pStyle w:val="Heading1"/>
        <w:spacing w:after="120" w:before="300"/>
      </w:pPr>
      <w:r>
        <w:rPr>
          <w:b/>
          <w:bCs/>
          <w:color w:val="0A0F1A"/>
        </w:rPr>
        <w:t xml:space="preserve">3. Ownership of existing IP</w:t>
      </w:r>
    </w:p>
    <w:p>
      <w:pPr>
        <w:pStyle w:val="ListParagraph"/>
        <w:numPr>
          <w:ilvl w:val="0"/>
          <w:numId w:val="3"/>
        </w:numPr>
        <w:spacing w:after="120"/>
      </w:pPr>
      <w:r>
        <w:t xml:space="preserve">The Protected IP is and remains the exclusive property of MissionCTRL. Nothing in this Agreement or in any engagement transfers any ownership of any Protected IP to the Consultant.</w:t>
      </w:r>
    </w:p>
    <w:p>
      <w:pPr>
        <w:pStyle w:val="ListParagraph"/>
        <w:numPr>
          <w:ilvl w:val="0"/>
          <w:numId w:val="3"/>
        </w:numPr>
        <w:spacing w:after="120"/>
      </w:pPr>
      <w:r>
        <w:t xml:space="preserve">MissionCTRL grants the Consultant a limited, non-exclusive, non-transferable, revocable licence to use the Protected IP solely for the Purpose during the term of any engagement. The licence ends automatically when the engagement (or, if none commences, the discussions) ends.</w:t>
      </w:r>
    </w:p>
    <w:p>
      <w:pPr>
        <w:pStyle w:val="Heading1"/>
        <w:spacing w:after="120" w:before="300"/>
      </w:pPr>
      <w:r>
        <w:rPr>
          <w:b/>
          <w:bCs/>
          <w:color w:val="0A0F1A"/>
        </w:rPr>
        <w:t xml:space="preserve">4. Work Product — assignment</w:t>
      </w:r>
    </w:p>
    <w:p>
      <w:pPr>
        <w:pStyle w:val="ListParagraph"/>
        <w:numPr>
          <w:ilvl w:val="0"/>
          <w:numId w:val="3"/>
        </w:numPr>
        <w:spacing w:after="120"/>
      </w:pPr>
      <w:r>
        <w:t xml:space="preserve">All Intellectual Property Rights in the Work Product vest in, and are hereby assigned to, MissionCTRL with full title guarantee, including by way of present assignment of future rights. The Consultant shall procure a written assignment in the same terms from Wayne Cohn and from any other person it uses in connection with the Purpose.</w:t>
      </w:r>
    </w:p>
    <w:p>
      <w:pPr>
        <w:pStyle w:val="ListParagraph"/>
        <w:numPr>
          <w:ilvl w:val="0"/>
          <w:numId w:val="3"/>
        </w:numPr>
        <w:spacing w:after="120"/>
      </w:pPr>
      <w:r>
        <w:t xml:space="preserve">The Consultant shall, at MissionCTRL's reasonable cost, do everything reasonably required to perfect MissionCTRL's title to the Work Product, and irrevocably waives (and shall procure the waiver of) all moral rights in the Work Product to the maximum extent permitted by law.</w:t>
      </w:r>
    </w:p>
    <w:p>
      <w:pPr>
        <w:pStyle w:val="ListParagraph"/>
        <w:numPr>
          <w:ilvl w:val="0"/>
          <w:numId w:val="3"/>
        </w:numPr>
        <w:spacing w:after="120"/>
      </w:pPr>
      <w:r>
        <w:rPr>
          <w:b/>
          <w:bCs/>
        </w:rPr>
        <w:t xml:space="preserve">Carve-out — the Consultant's own tools of the trade.</w:t>
      </w:r>
      <w:r>
        <w:t xml:space="preserve"> Nothing in this Agreement assigns, or restricts the Consultant's use of, its pre-existing general sales methodologies, frameworks, templates and know-how, or generic skills and experience, provided that they incorporate no Confidential Information and no Protected IP. Where any such pre-existing material is embedded in Work Product, the Consultant grants MissionCTRL a perpetual, irrevocable, royalty-free licence to use it as part of that Work Product.</w:t>
      </w:r>
    </w:p>
    <w:p>
      <w:pPr>
        <w:pStyle w:val="Heading1"/>
        <w:spacing w:after="120" w:before="300"/>
      </w:pPr>
      <w:r>
        <w:rPr>
          <w:b/>
          <w:bCs/>
          <w:color w:val="0A0F1A"/>
        </w:rPr>
        <w:t xml:space="preserve">5. Restrictions on use</w:t>
      </w:r>
    </w:p>
    <w:p>
      <w:pPr>
        <w:pStyle w:val="ListParagraph"/>
        <w:numPr>
          <w:ilvl w:val="0"/>
          <w:numId w:val="3"/>
        </w:numPr>
        <w:spacing w:after="120"/>
      </w:pPr>
      <w:r>
        <w:t xml:space="preserve">The Consultant shall not, and shall procure that Wayne Cohn does not, at any time: (a) use any Confidential Information or Protected IP other than for the Purpose; (b) copy, adapt, reverse engineer, or create derivative works from the Protected IP except as needed for the Purpose; (c) use any Confidential Information or Protected IP to develop, or assist anyone else to develop, any product or service that competes with TrustOS or with MissionCTRL's advisory practice; (d) file or register any Intellectual Property Right that incorporates any Protected IP; or (e) represent itself as owner of, or as having any interest in, any Protected IP.</w:t>
      </w:r>
    </w:p>
    <w:p>
      <w:pPr>
        <w:pStyle w:val="ListParagraph"/>
        <w:numPr>
          <w:ilvl w:val="0"/>
          <w:numId w:val="3"/>
        </w:numPr>
        <w:spacing w:after="120"/>
      </w:pPr>
      <w:r>
        <w:t xml:space="preserve">For clarity, clause 5 does not prevent the Consultant from providing general sales consultancy to other clients, including in adjacent markets, provided no Confidential Information or Protected IP is used or disclosed in doing so.</w:t>
      </w:r>
    </w:p>
    <w:p>
      <w:pPr>
        <w:pStyle w:val="Heading1"/>
        <w:spacing w:after="120" w:before="300"/>
      </w:pPr>
      <w:r>
        <w:rPr>
          <w:b/>
          <w:bCs/>
          <w:color w:val="0A0F1A"/>
        </w:rPr>
        <w:t xml:space="preserve">6. Non-solicitation</w:t>
      </w:r>
    </w:p>
    <w:p>
      <w:pPr>
        <w:pStyle w:val="ListParagraph"/>
        <w:numPr>
          <w:ilvl w:val="0"/>
          <w:numId w:val="3"/>
        </w:numPr>
        <w:spacing w:after="120"/>
      </w:pPr>
      <w:r>
        <w:t xml:space="preserve">During any engagement and for </w:t>
      </w:r>
      <w:r>
        <w:rPr>
          <w:b/>
          <w:bCs/>
        </w:rPr>
        <w:t xml:space="preserve">twelve months</w:t>
      </w:r>
      <w:r>
        <w:t xml:space="preserve"> after it ends, the Consultant shall not, without MissionCTRL's prior written consent, directly or indirectly: (a) solicit or accept work from any client of MissionCTRL, or any prospect with whom the Consultant had dealings or of whom it acquired knowledge through the Confidential Information, where that work is competitive with TrustOS or MissionCTRL's services; or (b) solicit or entice away any employee, contractor or partner of MissionCTRL (including personnel of Ferrous Labs engaged on TrustOS).</w:t>
      </w:r>
    </w:p>
    <w:p>
      <w:pPr>
        <w:pStyle w:val="ListParagraph"/>
        <w:numPr>
          <w:ilvl w:val="0"/>
          <w:numId w:val="3"/>
        </w:numPr>
        <w:spacing w:after="120"/>
      </w:pPr>
      <w:r>
        <w:t xml:space="preserve">Each restriction in clauses 5 and 6 is separate and severable, and is considered by the parties to be no wider than reasonably necessary to protect MissionCTRL's legitimate business interests. If any restriction is found unenforceable but would be enforceable if reduced in scope or duration, it applies with the minimum reduction needed.</w:t>
      </w:r>
    </w:p>
    <w:p>
      <w:pPr>
        <w:pStyle w:val="Heading1"/>
        <w:spacing w:after="120" w:before="300"/>
      </w:pPr>
      <w:r>
        <w:rPr>
          <w:b/>
          <w:bCs/>
          <w:color w:val="0A0F1A"/>
        </w:rPr>
        <w:t xml:space="preserve">7. Data protection</w:t>
      </w:r>
    </w:p>
    <w:p>
      <w:pPr>
        <w:pStyle w:val="ListParagraph"/>
        <w:numPr>
          <w:ilvl w:val="0"/>
          <w:numId w:val="3"/>
        </w:numPr>
        <w:spacing w:after="120"/>
      </w:pPr>
      <w:r>
        <w:t xml:space="preserve">Where the Consultant processes personal data on MissionCTRL's behalf (for example prospect or lead data), it shall do so only on MissionCTRL's documented instructions, keep it secure and confidential, assist MissionCTRL with data-subject requests, notify MissionCTRL without undue delay of any personal data breach, not engage sub-processors or transfer personal data outside the UK without consent, and delete or return it on request or at the end of the engagement. The parties shall enter into a fuller data processing agreement if and when the engagement commences.</w:t>
      </w:r>
    </w:p>
    <w:p>
      <w:pPr>
        <w:pStyle w:val="Heading1"/>
        <w:spacing w:after="120" w:before="300"/>
      </w:pPr>
      <w:r>
        <w:rPr>
          <w:b/>
          <w:bCs/>
          <w:color w:val="0A0F1A"/>
        </w:rPr>
        <w:t xml:space="preserve">8. Return and deletion</w:t>
      </w:r>
    </w:p>
    <w:p>
      <w:pPr>
        <w:pStyle w:val="ListParagraph"/>
        <w:numPr>
          <w:ilvl w:val="0"/>
          <w:numId w:val="3"/>
        </w:numPr>
        <w:spacing w:after="120"/>
      </w:pPr>
      <w:r>
        <w:t xml:space="preserve">On request, or automatically when the engagement or discussions end, the Consultant shall promptly return or permanently delete all Confidential Information and Protected IP in its possession or control (including from personal devices, cloud accounts and CRM or outreach systems under its control), and on request certify in writing that it has done so. The Consultant may retain one copy solely to the extent required by law or professional regulation, which remains subject to this Agreement.</w:t>
      </w:r>
    </w:p>
    <w:p>
      <w:pPr>
        <w:pStyle w:val="Heading1"/>
        <w:spacing w:after="120" w:before="300"/>
      </w:pPr>
      <w:r>
        <w:rPr>
          <w:b/>
          <w:bCs/>
          <w:color w:val="0A0F1A"/>
        </w:rPr>
        <w:t xml:space="preserve">9. No further rights or obligations</w:t>
      </w:r>
    </w:p>
    <w:p>
      <w:pPr>
        <w:pStyle w:val="ListParagraph"/>
        <w:numPr>
          <w:ilvl w:val="0"/>
          <w:numId w:val="3"/>
        </w:numPr>
        <w:spacing w:after="120"/>
      </w:pPr>
      <w:r>
        <w:t xml:space="preserve">This Agreement does not oblige either party to enter into any engagement, does not create any partnership, agency or employment relationship, and grants the Consultant no rights except the limited licence in clause 3.</w:t>
      </w:r>
    </w:p>
    <w:p>
      <w:pPr>
        <w:pStyle w:val="Heading1"/>
        <w:spacing w:after="120" w:before="300"/>
      </w:pPr>
      <w:r>
        <w:rPr>
          <w:b/>
          <w:bCs/>
          <w:color w:val="0A0F1A"/>
        </w:rPr>
        <w:t xml:space="preserve">10. Remedies</w:t>
      </w:r>
    </w:p>
    <w:p>
      <w:pPr>
        <w:pStyle w:val="ListParagraph"/>
        <w:numPr>
          <w:ilvl w:val="0"/>
          <w:numId w:val="3"/>
        </w:numPr>
        <w:spacing w:after="120"/>
      </w:pPr>
      <w:r>
        <w:t xml:space="preserve">The Consultant acknowledges that damages alone may not adequately compensate a breach of this Agreement and that MissionCTRL shall be entitled to seek injunctive or other equitable relief, without proof of special damage, in addition to any other remedy.</w:t>
      </w:r>
    </w:p>
    <w:p>
      <w:pPr>
        <w:pStyle w:val="Heading1"/>
        <w:spacing w:after="120" w:before="300"/>
      </w:pPr>
      <w:r>
        <w:rPr>
          <w:b/>
          <w:bCs/>
          <w:color w:val="0A0F1A"/>
        </w:rPr>
        <w:t xml:space="preserve">11. Term</w:t>
      </w:r>
    </w:p>
    <w:p>
      <w:pPr>
        <w:pStyle w:val="ListParagraph"/>
        <w:numPr>
          <w:ilvl w:val="0"/>
          <w:numId w:val="3"/>
        </w:numPr>
        <w:spacing w:after="120"/>
      </w:pPr>
      <w:r>
        <w:t xml:space="preserve">This Agreement takes effect on the date above and continues until terminated by either party on 30 days' written notice; termination does not affect clauses 2 to 8, 10 and 12 to 16, which survive, nor accrued rights.</w:t>
      </w:r>
    </w:p>
    <w:p>
      <w:pPr>
        <w:pStyle w:val="Heading1"/>
        <w:spacing w:after="120" w:before="300"/>
      </w:pPr>
      <w:r>
        <w:rPr>
          <w:b/>
          <w:bCs/>
          <w:color w:val="0A0F1A"/>
        </w:rPr>
        <w:t xml:space="preserve">12. General</w:t>
      </w:r>
    </w:p>
    <w:p>
      <w:pPr>
        <w:pStyle w:val="ListParagraph"/>
        <w:numPr>
          <w:ilvl w:val="0"/>
          <w:numId w:val="3"/>
        </w:numPr>
        <w:spacing w:after="120"/>
      </w:pPr>
      <w:r>
        <w:t xml:space="preserve">This Agreement is the entire agreement between the parties in relation to its subject matter and supersedes prior discussions about confidentiality or IP; nothing limits liability for fraud. No variation is effective unless in writing and signed by both parties. Neither party may assign this Agreement without the other's written consent, except that MissionCTRL may assign to a successor of its business. A person who is not a party (other than Wayne Cohn in respect of clause 15) has no rights under the Contracts (Rights of Third Parties) Act 1999.</w:t>
      </w:r>
    </w:p>
    <w:p>
      <w:pPr>
        <w:pStyle w:val="Heading1"/>
        <w:spacing w:after="120" w:before="300"/>
      </w:pPr>
      <w:r>
        <w:rPr>
          <w:b/>
          <w:bCs/>
          <w:color w:val="0A0F1A"/>
        </w:rPr>
        <w:t xml:space="preserve">13. Notices</w:t>
      </w:r>
    </w:p>
    <w:p>
      <w:pPr>
        <w:pStyle w:val="ListParagraph"/>
        <w:numPr>
          <w:ilvl w:val="0"/>
          <w:numId w:val="3"/>
        </w:numPr>
        <w:spacing w:after="120"/>
      </w:pPr>
      <w:r>
        <w:t xml:space="preserve">Notices shall be sent by email to hello@missionctrl.agency (MissionCTRL) and [ EMAIL ] (Consultant), and are deemed received on the next business day after sending absent a delivery failure.</w:t>
      </w:r>
    </w:p>
    <w:p>
      <w:pPr>
        <w:pStyle w:val="Heading1"/>
        <w:spacing w:after="120" w:before="300"/>
      </w:pPr>
      <w:r>
        <w:rPr>
          <w:b/>
          <w:bCs/>
          <w:color w:val="0A0F1A"/>
        </w:rPr>
        <w:t xml:space="preserve">14. Governing law</w:t>
      </w:r>
    </w:p>
    <w:p>
      <w:pPr>
        <w:pStyle w:val="ListParagraph"/>
        <w:numPr>
          <w:ilvl w:val="0"/>
          <w:numId w:val="3"/>
        </w:numPr>
        <w:spacing w:after="120"/>
      </w:pPr>
      <w:r>
        <w:t xml:space="preserve">This Agreement and any dispute arising out of it (including non-contractual disputes) are governed by the law of England and Wales, and the courts of England and Wales have exclusive jurisdiction.</w:t>
      </w:r>
    </w:p>
    <w:p>
      <w:pPr>
        <w:pStyle w:val="Heading1"/>
        <w:spacing w:after="120" w:before="300"/>
      </w:pPr>
      <w:r>
        <w:rPr>
          <w:b/>
          <w:bCs/>
          <w:color w:val="0A0F1A"/>
        </w:rPr>
        <w:t xml:space="preserve">15. Personal undertaking</w:t>
      </w:r>
    </w:p>
    <w:p>
      <w:pPr>
        <w:pStyle w:val="ListParagraph"/>
        <w:numPr>
          <w:ilvl w:val="0"/>
          <w:numId w:val="3"/>
        </w:numPr>
        <w:spacing w:after="120"/>
      </w:pPr>
      <w:r>
        <w:t xml:space="preserve">In consideration of MissionCTRL disclosing Confidential Information to the Consultant, </w:t>
      </w:r>
      <w:r>
        <w:rPr>
          <w:b/>
          <w:bCs/>
        </w:rPr>
        <w:t xml:space="preserve">Wayne Cohn</w:t>
      </w:r>
      <w:r>
        <w:t xml:space="preserve"> personally undertakes to MissionCTRL to comply with clauses 2, 4.1, 5, 6 and 8 as if he were the Consultant. This undertaking is enforceable by MissionCTRL against him directly.</w:t>
      </w:r>
    </w:p>
    <w:p>
      <w:pPr>
        <w:pageBreakBefore/>
      </w:pPr>
    </w:p>
    <w:p>
      <w:pPr>
        <w:pStyle w:val="Heading1"/>
        <w:spacing w:after="120" w:before="300"/>
      </w:pPr>
      <w:r>
        <w:rPr>
          <w:b/>
          <w:bCs/>
          <w:color w:val="0A0F1A"/>
        </w:rPr>
        <w:t xml:space="preserve">Signatures</w:t>
      </w:r>
    </w:p>
    <w:p>
      <w:pPr>
        <w:spacing w:after="140"/>
      </w:pPr>
      <w:r>
        <w:t xml:space="preserve">Signed for and on behalf of </w:t>
      </w:r>
      <w:r>
        <w:rPr>
          <w:b/>
          <w:bCs/>
        </w:rPr>
        <w:t xml:space="preserve">MissionCTRL Ltd</w:t>
      </w:r>
    </w:p>
    <w:p>
      <w:pPr>
        <w:spacing w:after="280"/>
      </w:pPr>
      <w:r>
        <w:t xml:space="preserve">Signature: _______________________    Name: Dustin Lawrence    Title: Director    Date: ____________</w:t>
      </w:r>
    </w:p>
    <w:p>
      <w:pPr>
        <w:spacing w:after="140"/>
      </w:pPr>
      <w:r>
        <w:t xml:space="preserve">Signed for and on behalf of </w:t>
      </w:r>
      <w:r>
        <w:rPr>
          <w:b/>
          <w:bCs/>
        </w:rPr>
        <w:t xml:space="preserve">Cohn Consulting Ltd</w:t>
      </w:r>
    </w:p>
    <w:p>
      <w:pPr>
        <w:spacing w:after="280"/>
      </w:pPr>
      <w:r>
        <w:t xml:space="preserve">Signature: _______________________    Name: Wayne Cohn    Title: [ Director ]    Date: ____________</w:t>
      </w:r>
    </w:p>
    <w:p>
      <w:pPr>
        <w:spacing w:after="140"/>
      </w:pPr>
      <w:r>
        <w:t xml:space="preserve">Signed by </w:t>
      </w:r>
      <w:r>
        <w:rPr>
          <w:b/>
          <w:bCs/>
        </w:rPr>
        <w:t xml:space="preserve">Wayne Cohn</w:t>
      </w:r>
      <w:r>
        <w:t xml:space="preserve"> in his personal capacity (clause 15 only)</w:t>
      </w:r>
    </w:p>
    <w:p>
      <w:pPr>
        <w:spacing w:after="280"/>
      </w:pPr>
      <w:r>
        <w:t xml:space="preserve">Signature: _______________________    Date: ____________</w:t>
      </w:r>
    </w:p>
    <w:p>
      <w:pPr>
        <w:pageBreakBefore/>
      </w:pPr>
    </w:p>
    <w:p>
      <w:pPr>
        <w:pStyle w:val="Heading1"/>
        <w:spacing w:after="120" w:before="300"/>
      </w:pPr>
      <w:r>
        <w:rPr>
          <w:b/>
          <w:bCs/>
          <w:color w:val="0A0F1A"/>
        </w:rPr>
        <w:t xml:space="preserve">Schedule 1 — Protected IP</w:t>
      </w:r>
    </w:p>
    <w:p>
      <w:pPr>
        <w:spacing w:after="140"/>
      </w:pPr>
      <w:r>
        <w:t xml:space="preserve">The Protected IP includes, without limitation:</w:t>
      </w:r>
    </w:p>
    <w:p>
      <w:pPr>
        <w:pStyle w:val="ListParagraph"/>
        <w:numPr>
          <w:ilvl w:val="0"/>
          <w:numId w:val="4"/>
        </w:numPr>
        <w:spacing w:after="70"/>
      </w:pPr>
      <w:r>
        <w:rPr>
          <w:b/>
          <w:bCs/>
        </w:rPr>
        <w:t xml:space="preserve">The Brand Effect framework</w:t>
      </w:r>
      <w:r>
        <w:t xml:space="preserve"> — the belief/say/do alignment model, its three drivers (Clarity, Connection, Confidence), the Integrity foundation, and associated visual identities and materials</w:t>
      </w:r>
    </w:p>
    <w:p>
      <w:pPr>
        <w:pStyle w:val="ListParagraph"/>
        <w:numPr>
          <w:ilvl w:val="0"/>
          <w:numId w:val="4"/>
        </w:numPr>
        <w:spacing w:after="70"/>
      </w:pPr>
      <w:r>
        <w:rPr>
          <w:b/>
          <w:bCs/>
        </w:rPr>
        <w:t xml:space="preserve">TrustOS</w:t>
      </w:r>
      <w:r>
        <w:t xml:space="preserve"> — the platform, its methodology, survey instruments and question sets, scoring models, the Trust Index, score bands and band definitions, dashboards, report formats and templates</w:t>
      </w:r>
    </w:p>
    <w:p>
      <w:pPr>
        <w:pStyle w:val="ListParagraph"/>
        <w:numPr>
          <w:ilvl w:val="0"/>
          <w:numId w:val="4"/>
        </w:numPr>
        <w:spacing w:after="70"/>
      </w:pPr>
      <w:r>
        <w:rPr>
          <w:b/>
          <w:bCs/>
        </w:rPr>
        <w:t xml:space="preserve">Research and prospecting methodology</w:t>
      </w:r>
      <w:r>
        <w:t xml:space="preserve"> — the signal taxonomy, hunt angles, scoring frameworks, sweep specifications and their outputs, including the prospect log and all target research</w:t>
      </w:r>
    </w:p>
    <w:p>
      <w:pPr>
        <w:pStyle w:val="ListParagraph"/>
        <w:numPr>
          <w:ilvl w:val="0"/>
          <w:numId w:val="4"/>
        </w:numPr>
        <w:spacing w:after="70"/>
      </w:pPr>
      <w:r>
        <w:rPr>
          <w:b/>
          <w:bCs/>
        </w:rPr>
        <w:t xml:space="preserve">Commercial materials</w:t>
      </w:r>
      <w:r>
        <w:t xml:space="preserve"> — pricing models and estimators, proposals (including the Solmax and Nourish materials), pitch narratives, messaging frameworks and sales scripts</w:t>
      </w:r>
    </w:p>
    <w:p>
      <w:pPr>
        <w:pStyle w:val="ListParagraph"/>
        <w:numPr>
          <w:ilvl w:val="0"/>
          <w:numId w:val="4"/>
        </w:numPr>
        <w:spacing w:after="70"/>
      </w:pPr>
      <w:r>
        <w:rPr>
          <w:b/>
          <w:bCs/>
        </w:rPr>
        <w:t xml:space="preserve">The brands</w:t>
      </w:r>
      <w:r>
        <w:t xml:space="preserve"> — MissionCTRL, TrustOS, associated names, marks, taglines and domain properties</w:t>
      </w:r>
    </w:p>
    <w:p>
      <w:pPr>
        <w:pStyle w:val="ListParagraph"/>
        <w:numPr>
          <w:ilvl w:val="0"/>
          <w:numId w:val="4"/>
        </w:numPr>
        <w:spacing w:after="70"/>
      </w:pPr>
      <w:r>
        <w:rPr>
          <w:b/>
          <w:bCs/>
        </w:rPr>
        <w:t xml:space="preserve">Benchmark and market intelligence</w:t>
      </w:r>
      <w:r>
        <w:t xml:space="preserve"> — the cross-sector trust benchmark and its underlying research and methodology</w:t>
      </w:r>
    </w:p>
    <w:p>
      <w:pPr>
        <w:pStyle w:val="ListParagraph"/>
        <w:numPr>
          <w:ilvl w:val="0"/>
          <w:numId w:val="4"/>
        </w:numPr>
        <w:spacing w:after="70"/>
      </w:pPr>
      <w:r>
        <w:t xml:space="preserve">All improvements, modifications and derivatives of any of the above, by whomever made</w:t>
      </w:r>
    </w:p>
    <w:sectPr>
      <w:footerReference w:type="default" r:id="rId7"/>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48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lowerLetter"/>
      <w:lvlText w:val="(%1)"/>
      <w:lvlJc w:val="left"/>
      <w:pPr>
        <w:ind w:left="892" w:hanging="431"/>
      </w:pPr>
    </w:lvl>
  </w:abstractNum>
  <w:abstractNum w:abstractNumId="4" w15:restartNumberingAfterBreak="0">
    <w:multiLevelType w:val="hybridMultilevel"/>
    <w:lvl w:ilvl="0" w15:tentative="1">
      <w:start w:val="1"/>
      <w:numFmt w:val="bullet"/>
      <w:lvlText w:val="•"/>
      <w:lvlJc w:val="left"/>
      <w:pPr>
        <w:ind w:left="720"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0"/>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A0F1A"/>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2026-08-26T12:30:40.979Z</dcterms:created>
  <dcterms:modified xsi:type="dcterms:W3CDTF">2026-08-26T12:30:40.992Z</dcterms:modified>
</cp:coreProperties>
</file>

<file path=docProps/custom.xml><?xml version="1.0" encoding="utf-8"?>
<Properties xmlns="http://schemas.openxmlformats.org/officeDocument/2006/custom-properties" xmlns:vt="http://schemas.openxmlformats.org/officeDocument/2006/docPropsVTypes"/>
</file>