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88E6A2B" w14:textId="77777777" w:rsidR="00065CE9" w:rsidRPr="00B06166" w:rsidRDefault="00065CE9" w:rsidP="00065CE9">
      <w:pPr>
        <w:contextualSpacing/>
        <w:jc w:val="center"/>
      </w:pPr>
      <w:r w:rsidRPr="00B06166">
        <w:t xml:space="preserve">Title: Seeing the Impossible: Visualizing Latent Variable Models in </w:t>
      </w:r>
      <w:proofErr w:type="spellStart"/>
      <w:r w:rsidRPr="00B06166">
        <w:t>flexplavaan</w:t>
      </w:r>
      <w:proofErr w:type="spellEnd"/>
    </w:p>
    <w:p w14:paraId="7A8BC225" w14:textId="77777777" w:rsidR="00065CE9" w:rsidRPr="00B06166" w:rsidRDefault="00065CE9" w:rsidP="00065CE9">
      <w:pPr>
        <w:contextualSpacing/>
        <w:jc w:val="center"/>
      </w:pPr>
    </w:p>
    <w:p w14:paraId="5EA3ED11" w14:textId="49DA56EB" w:rsidR="00065CE9" w:rsidRPr="00B06166" w:rsidRDefault="00C82CCC" w:rsidP="0050148E">
      <w:pPr>
        <w:spacing w:line="480" w:lineRule="auto"/>
        <w:contextualSpacing/>
      </w:pPr>
      <w:r w:rsidRPr="00B06166">
        <w:t xml:space="preserve">Latent variable models (LVMs) are powerful and flexible tools that allow users to model sophisticated relationships </w:t>
      </w:r>
      <w:r w:rsidR="00DF7F16" w:rsidRPr="00B06166">
        <w:t>involving variables that are not observed directly</w:t>
      </w:r>
      <w:r w:rsidRPr="00B06166">
        <w:t>. Unfortunately, LVMs suffer from several serious limitations. Foremost among these limitations is that there is no intuitive way to visualize</w:t>
      </w:r>
      <w:r w:rsidR="00402DE9" w:rsidRPr="00B06166">
        <w:t xml:space="preserve"> the</w:t>
      </w:r>
      <w:r w:rsidR="00E0758E" w:rsidRPr="00B06166">
        <w:t xml:space="preserve"> </w:t>
      </w:r>
      <w:r w:rsidR="00402DE9" w:rsidRPr="00B06166">
        <w:t>data from</w:t>
      </w:r>
      <w:r w:rsidRPr="00B06166">
        <w:t xml:space="preserve"> LVMs because the variables of interest are unobserved. This makes it hard to encode information from the model, diagnose local and global misfit, and evaluate model assumptions. In this paper, we introduce </w:t>
      </w:r>
      <w:proofErr w:type="spellStart"/>
      <w:r w:rsidRPr="00B06166">
        <w:t>flexplavaan</w:t>
      </w:r>
      <w:proofErr w:type="spellEnd"/>
      <w:r w:rsidRPr="00B06166">
        <w:t xml:space="preserve">, an R package designed to augment analyses in </w:t>
      </w:r>
      <w:proofErr w:type="spellStart"/>
      <w:r w:rsidRPr="00B06166">
        <w:t>lavaan</w:t>
      </w:r>
      <w:proofErr w:type="spellEnd"/>
      <w:r w:rsidRPr="00B06166">
        <w:t xml:space="preserve"> and </w:t>
      </w:r>
      <w:proofErr w:type="spellStart"/>
      <w:r w:rsidRPr="00B06166">
        <w:t>blavaan</w:t>
      </w:r>
      <w:proofErr w:type="spellEnd"/>
      <w:r w:rsidRPr="00B06166">
        <w:t xml:space="preserve">. This package provides easy-to-use visuals that make it easy to encode LVMs, evaluate model assumptions, and diagnose misfit. In this paper, we develop the logic behind LVM visualizations and illustrate how </w:t>
      </w:r>
      <w:proofErr w:type="spellStart"/>
      <w:r w:rsidRPr="00B06166">
        <w:t>flexplavaan</w:t>
      </w:r>
      <w:proofErr w:type="spellEnd"/>
      <w:r w:rsidRPr="00B06166">
        <w:t xml:space="preserve"> is able to detect misfit and violated assumptions, as well as provide guidance on how best to modify models. </w:t>
      </w:r>
    </w:p>
    <w:p w14:paraId="51CA871B" w14:textId="77777777" w:rsidR="00C72A4A" w:rsidRPr="00B06166" w:rsidRDefault="00C72A4A" w:rsidP="00C82CCC">
      <w:pPr>
        <w:contextualSpacing/>
      </w:pPr>
    </w:p>
    <w:p w14:paraId="61AE0028" w14:textId="77777777" w:rsidR="00C72A4A" w:rsidRPr="00B06166" w:rsidRDefault="00C72A4A" w:rsidP="00C82CCC">
      <w:pPr>
        <w:contextualSpacing/>
      </w:pPr>
    </w:p>
    <w:p w14:paraId="6B48E734" w14:textId="77777777" w:rsidR="008B33B7" w:rsidRPr="00B06166" w:rsidRDefault="008B33B7" w:rsidP="008B33B7">
      <w:pPr>
        <w:contextualSpacing/>
        <w:jc w:val="center"/>
        <w:rPr>
          <w:b/>
        </w:rPr>
      </w:pPr>
      <w:bookmarkStart w:id="0" w:name="_Hlk51142920"/>
      <w:r w:rsidRPr="00B06166">
        <w:rPr>
          <w:b/>
        </w:rPr>
        <w:t>Introduction</w:t>
      </w:r>
    </w:p>
    <w:p w14:paraId="25221083" w14:textId="3DB46249" w:rsidR="00F77FC5" w:rsidRDefault="00F77FC5" w:rsidP="00F77FC5">
      <w:pPr>
        <w:spacing w:line="480" w:lineRule="auto"/>
        <w:ind w:firstLine="720"/>
        <w:contextualSpacing/>
      </w:pPr>
      <w:r>
        <w:t xml:space="preserve">It is currently an unprecedented time in the social sciences; multiple scientific disciplines are reeling from a “replication crisis” </w:t>
      </w:r>
      <w:r>
        <w:fldChar w:fldCharType="begin" w:fldLock="1"/>
      </w:r>
      <w:r>
        <w:instrText>ADDIN CSL_CITATION {"citationItems":[{"id":"ITEM-1","itemData":{"DOI":"10.1177/1745691612465253","ISBN":"1745-6916\\n1745-6924","ISSN":"17456916","PMID":"26168108","abstract":"lkj this special section had a lot of incisive articles. I read the paper version. Visit http://pps.sagepub.com/content/7/6.toc if wanting to see those articles again.","author":[{"dropping-particle":"","family":"Pashler","given":"Harold","non-dropping-particle":"","parse-names":false,"suffix":""},{"dropping-particle":"","family":"Wagenmakers","given":"Eric-Jan","non-dropping-particle":"","parse-names":false,"suffix":""}],"container-title":"Perspectives on Psychological Science","id":"ITEM-1","issue":"6","issued":{"date-parts":[["2012"]]},"page":"528-530","title":"Editors' Introduction to the Special Section on Replicability in Psychological Science: A Crisis of Confidence?","type":"article-journal","volume":"7"},"uris":["http://www.mendeley.com/documents/?uuid=02ef4637-0612-41a7-bea1-1091be157a28"]},{"id":"ITEM-2","itemData":{"DOI":"10.1038/s41562-018-0399-z","ISSN":"23973374","abstract":"Being able to replicate scientific findings is crucial for scientific progress1–15. We replicate 21 systematically selected experimental studies in the social sciences published in Nature and Science between 2010 and 201516–36. The replications follow analysis plans reviewed by the original authors and pre-registered prior to the replications. The replications are high powered, with sample sizes on average about five times higher than in the original studies. We find a significant effect in the same direction as the original study for 13 (62%) studies, and the effect size of the replications is on average about 50% of the original effect size. Replicability varies between 12 (57%) and 14 (67%) studies for complementary replicability indicators. Consistent with these results, the estimated true-positive rate is 67% in a Bayesian analysis. The relative effect size of true positives is estimated to be 71%, suggesting that both false positives and inflated effect sizes of true positives contribute to imperfect reproducibility. Furthermore, we find that peer beliefs of replicability are strongly related to replicability, suggesting that the research community could predict which results would replicate and that failures to replicate were not the result of chance alone.","author":[{"dropping-particle":"","family":"Camerer","given":"Colin F.","non-dropping-particle":"","parse-names":false,"suffix":""},{"dropping-particle":"","family":"Dreber","given":"Anna","non-dropping-particle":"","parse-names":false,"suffix":""},{"dropping-particle":"","family":"Holzmeister","given":"Felix","non-dropping-particle":"","parse-names":false,"suffix":""},{"dropping-particle":"","family":"Ho","given":"Teck Hua","non-dropping-particle":"","parse-names":false,"suffix":""},{"dropping-particle":"","family":"Huber","given":"Jürgen","non-dropping-particle":"","parse-names":false,"suffix":""},{"dropping-particle":"","family":"Johannesson","given":"Magnus","non-dropping-particle":"","parse-names":false,"suffix":""},{"dropping-particle":"","family":"Kirchler","given":"Michael","non-dropping-particle":"","parse-names":false,"suffix":""},{"dropping-particle":"","family":"Nave","given":"Gideon","non-dropping-particle":"","parse-names":false,"suffix":""},{"dropping-particle":"","family":"Nosek","given":"Brian A.","non-dropping-particle":"","parse-names":false,"suffix":""},{"dropping-particle":"","family":"Pfeiffer","given":"Thomas","non-dropping-particle":"","parse-names":false,"suffix":""},{"dropping-particle":"","family":"Altmejd","given":"Adam","non-dropping-particle":"","parse-names":false,"suffix":""},{"dropping-particle":"","family":"Buttrick","given":"Nick","non-dropping-particle":"","parse-names":false,"suffix":""},{"dropping-particle":"","family":"Chan","given":"Taizan","non-dropping-particle":"","parse-names":false,"suffix":""},{"dropping-particle":"","family":"Chen","given":"Yiling","non-dropping-particle":"","parse-names":false,"suffix":""},{"dropping-particle":"","family":"Forsell","given":"Eskil","non-dropping-particle":"","parse-names":false,"suffix":""},{"dropping-particle":"","family":"Gampa","given":"Anup","non-dropping-particle":"","parse-names":false,"suffix":""},{"dropping-particle":"","family":"Heikensten","given":"Emma","non-dropping-particle":"","parse-names":false,"suffix":""},{"dropping-particle":"","family":"Hummer","given":"Lily","non-dropping-particle":"","parse-names":false,"suffix":""},{"dropping-particle":"","family":"Imai","given":"Taisuke","non-dropping-particle":"","parse-names":false,"suffix":""},{"dropping-particle":"","family":"Isaksson","given":"Siri","non-dropping-particle":"","parse-names":false,"suffix":""},{"dropping-particle":"","family":"Manfredi","given":"Dylan","non-dropping-particle":"","parse-names":false,"suffix":""},{"dropping-particle":"","family":"Rose","given":"Julia","non-dropping-particle":"","parse-names":false,"suffix":""},{"dropping-particle":"","family":"Wagenmakers","given":"Eric Jan","non-dropping-particle":"","parse-names":false,"suffix":""},{"dropping-particle":"","family":"Wu","given":"Hang","non-dropping-particle":"","parse-names":false,"suffix":""}],"container-title":"Nature Human Behaviour","id":"ITEM-2","issue":"9","issued":{"date-parts":[["2018"]]},"title":"Evaluating the replicability of social science experiments in Nature and Science between 2010 and 2015","type":"article","volume":"2"},"uris":["http://www.mendeley.com/documents/?uuid=0fa3e769-6c02-3b18-be8b-7b63f6ce2d57"]},{"id":"ITEM-3","itemData":{"DOI":"10.1371/journal.pmed.0020124","ISSN":"1549-1676","abstract":"Summary There is increasing concern that most current published research findings are false. The probability that a research claim is true may depend on study power and bias, the number of other studies on the same question, and, importantly, the ratio of true to no relationships among the relationships probed in each scientific field. In this framework, a research finding is less likely to be true when the studies conducted in a field are smaller; when effect sizes are smaller; when there is a greater number and lesser preselection of tested relationships; where there is greater flexibility in designs, definitions, outcomes, and analytical modes; when there is greater financial and other interest and prejudice; and when more teams are involved in a scientific field in chase of statistical significance. Simulations show that for most study designs and settings, it is more likely for a research claim to be false than true. Moreover, for many current scientific fields, claimed research findings may often be simply accurate measures of the prevailing bias. In this essay, I discuss the implications of these problems for the conduct and interpretation of research.","author":[{"dropping-particle":"","family":"Ioannidis","given":"John P. A.","non-dropping-particle":"","parse-names":false,"suffix":""}],"container-title":"PLoS Medicine","id":"ITEM-3","issue":"8","issued":{"date-parts":[["2005","8","30"]]},"note":"Nothing terribly unique. The author does use a 2x2 table of false positives/negatives to argue that most findings are false. That was interesting.","page":"e124","publisher":"Public Library of Science","title":"Why Most Published Research Findings Are False","type":"article-journal","volume":"2"},"uris":["http://www.mendeley.com/documents/?uuid=218a562a-5aa8-3c20-a021-f6038029aac7"]}],"mendeley":{"formattedCitation":"(Camerer et al., 2018; Ioannidis, 2005; Pashler &amp; Wagenmakers, 2012)","plainTextFormattedCitation":"(Camerer et al., 2018; Ioannidis, 2005; Pashler &amp; Wagenmakers, 2012)","previouslyFormattedCitation":"(Camerer et al., 2018; Ioannidis, 2005; Pashler &amp; Wagenmakers, 2012)"},"properties":{"noteIndex":0},"schema":"https://github.com/citation-style-language/schema/raw/master/csl-citation.json"}</w:instrText>
      </w:r>
      <w:r>
        <w:fldChar w:fldCharType="separate"/>
      </w:r>
      <w:r w:rsidRPr="00F77FC5">
        <w:rPr>
          <w:noProof/>
        </w:rPr>
        <w:t>(Camerer et al., 2018; Ioannidis, 2005; Pashler &amp; Wagenmakers, 2012)</w:t>
      </w:r>
      <w:r>
        <w:fldChar w:fldCharType="end"/>
      </w:r>
      <w:r>
        <w:t xml:space="preserve">, new norms for credibility are becoming more prevalent </w:t>
      </w:r>
      <w:r>
        <w:fldChar w:fldCharType="begin" w:fldLock="1"/>
      </w:r>
      <w:r>
        <w:instrText>ADDIN CSL_CITATION {"citationItems":[{"id":"ITEM-1","itemData":{"DOI":"10.1146/annurev-psych-122216","abstract":"In 2010-2012, a few largely coincidental events led experimental psychologists to realize that their approach to collecting, analyzing, and reporting data made it too easy to publish false-positive findings. This sparked a period of methodological reflection that we review here and call Psy-chology's Renaissance. We begin by describing how psychologists' concerns with publication bias shifted from worrying about file-drawered studies to worrying about p-hacked analyses. We then review the methodological changes that psychologists have proposed and, in some cases, embraced. In describing how the renaissance has unfolded, we attempt to describe different points of view fairly but not neutrally, so as to identify the most promising paths forward. In so doing, we champion disclosure and preregistration, express skepticism about most statistical solutions to publication bias, take positions on the analysis and interpretation of replication failures, and contend that meta-analytical thinking increases the prevalence of false positives. Our general thesis is that the scientific practices of experimental psychologists have improved dramatically. 511","author":[{"dropping-particle":"","family":"Nelson","given":"Leif D.","non-dropping-particle":"","parse-names":false,"suffix":""},{"dropping-particle":"","family":"Simmons","given":"Joseph P.","non-dropping-particle":"","parse-names":false,"suffix":""},{"dropping-particle":"","family":"Simonsohn","given":"Uri","non-dropping-particle":"","parse-names":false,"suffix":""}],"container-title":"Annual Review of Psychology","id":"ITEM-1","issued":{"date-parts":[["2018"]]},"note":"This article places an overemphasis on openness, transparency, and data policing. Yes, these will decrease false positives. However, we will soon have a second replication crisis, where we realize nothing is replicable. The problem is that this article still relies on NHST methodology which doesn’t address the issues they want to address. It is ill equipped to assess replicability or even invite a cumulative view of science. That’s what’s missing here. \n\nAgain, the authors still seem to think that one study can be conclusive. No amount of positive studies will prove an effect, nor will negative studies disprove it. Yet they treat one failed replication as inconclusive due to context dependent variables. Probably not. Probably it’s just noise.\n\nThat’s what’s missing here: they fail to account for noise. NHST sucks at recognizing noise, mostly because it’s non cumulative. Bayesian is better, but best when it’s used over multiple studies.","page":"511-545","title":"Psychology's Renaissance","type":"article-journal","volume":"69"},"uris":["http://www.mendeley.com/documents/?uuid=f23cf45f-cb70-3c60-93d2-f762fe7fedfe"]},{"id":"ITEM-2","itemData":{"DOI":"10.1073/pnas.1708274114","ISBN":"0000000167","ISSN":"0027-8424","PMID":"29531091","abstract":"Progress in science relies in part on generating hypotheses with existing observations and testing hypotheses with new observations. This distinction between postdiction and prediction is appreciated conceptually but is not respected in practice. Mistaking generation of postdictions with testing of predictions reduces the credibility of research findings. However, ordinary biases in human reasoning, such as hindsight bias, make it hard to avoid this mistake. An effective solution is to define the research questions and analysis plan before observing the research outcomes-a process called preregistration. Preregistration distinguishes analyses and outcomes that result from predictions from those that result from postdictions. A variety of practical strategies are available to make the best possible use of preregistration in circumstances that fall short of the ideal application, such as when the data are preexisting. Services are now available for preregistration across all disciplines, facilitating a rapid increase in the practice. Widespread adoption of preregistration will increase distinctiveness between hypothesis generation and hypothesis testing and will improve the credibility of research findings.","author":[{"dropping-particle":"","family":"Nosek","given":"Brian A.","non-dropping-particle":"","parse-names":false,"suffix":""},{"dropping-particle":"","family":"Ebersole","given":"Charles R.","non-dropping-particle":"","parse-names":false,"suffix":""},{"dropping-particle":"","family":"DeHaven","given":"Alexander C.","non-dropping-particle":"","parse-names":false,"suffix":""},{"dropping-particle":"","family":"Mellor","given":"David T.","non-dropping-particle":"","parse-names":false,"suffix":""}],"container-title":"Proceedings of the National Academy of Sciences","id":"ITEM-2","issued":{"date-parts":[["2018"]]},"title":"The preregistration revolution","type":"article-journal"},"uris":["http://www.mendeley.com/documents/?uuid=e9b83461-30a2-35f0-bbf9-11cf7d0966f4"]}],"mendeley":{"formattedCitation":"(Nelson, Simmons, &amp; Simonsohn, 2018; Nosek, Ebersole, DeHaven, &amp; Mellor, 2018)","plainTextFormattedCitation":"(Nelson, Simmons, &amp; Simonsohn, 2018; Nosek, Ebersole, DeHaven, &amp; Mellor, 2018)","previouslyFormattedCitation":"(Nelson, Simmons, &amp; Simonsohn, 2018; Nosek, Ebersole, DeHaven, &amp; Mellor, 2018)"},"properties":{"noteIndex":0},"schema":"https://github.com/citation-style-language/schema/raw/master/csl-citation.json"}</w:instrText>
      </w:r>
      <w:r>
        <w:fldChar w:fldCharType="separate"/>
      </w:r>
      <w:r w:rsidRPr="00F77FC5">
        <w:rPr>
          <w:noProof/>
        </w:rPr>
        <w:t>(Nelson, Simmons, &amp; Simonsohn, 2018; Nosek, Ebersole, DeHaven, &amp; Mellor, 2018)</w:t>
      </w:r>
      <w:r>
        <w:fldChar w:fldCharType="end"/>
      </w:r>
      <w:r>
        <w:t xml:space="preserve">, and the push for open science is accelerating at a rapid pace </w:t>
      </w:r>
      <w:r>
        <w:fldChar w:fldCharType="begin" w:fldLock="1"/>
      </w:r>
      <w:r>
        <w:instrText>ADDIN CSL_CITATION {"citationItems":[{"id":"ITEM-1","itemData":{"DOI":"10.1073/pnas.1708274114","ISBN":"0000000167","ISSN":"0027-8424","PMID":"29531091","abstract":"Progress in science relies in part on generating hypotheses with existing observations and testing hypotheses with new observations. This distinction between postdiction and prediction is appreciated conceptually but is not respected in practice. Mistaking generation of postdictions with testing of predictions reduces the credibility of research findings. However, ordinary biases in human reasoning, such as hindsight bias, make it hard to avoid this mistake. An effective solution is to define the research questions and analysis plan before observing the research outcomes-a process called preregistration. Preregistration distinguishes analyses and outcomes that result from predictions from those that result from postdictions. A variety of practical strategies are available to make the best possible use of preregistration in circumstances that fall short of the ideal application, such as when the data are preexisting. Services are now available for preregistration across all disciplines, facilitating a rapid increase in the practice. Widespread adoption of preregistration will increase distinctiveness between hypothesis generation and hypothesis testing and will improve the credibility of research findings.","author":[{"dropping-particle":"","family":"Nosek","given":"Brian A.","non-dropping-particle":"","parse-names":false,"suffix":""},{"dropping-particle":"","family":"Ebersole","given":"Charles R.","non-dropping-particle":"","parse-names":false,"suffix":""},{"dropping-particle":"","family":"DeHaven","given":"Alexander C.","non-dropping-particle":"","parse-names":false,"suffix":""},{"dropping-particle":"","family":"Mellor","given":"David T.","non-dropping-particle":"","parse-names":false,"suffix":""}],"container-title":"Proceedings of the National Academy of Sciences","id":"ITEM-1","issued":{"date-parts":[["2018"]]},"title":"The preregistration revolution","type":"article-journal"},"uris":["http://www.mendeley.com/documents/?uuid=e9b83461-30a2-35f0-bbf9-11cf7d0966f4"]}],"mendeley":{"formattedCitation":"(Nosek et al., 2018)","plainTextFormattedCitation":"(Nosek et al., 2018)","previouslyFormattedCitation":"(Nosek et al., 2018)"},"properties":{"noteIndex":0},"schema":"https://github.com/citation-style-language/schema/raw/master/csl-citation.json"}</w:instrText>
      </w:r>
      <w:r>
        <w:fldChar w:fldCharType="separate"/>
      </w:r>
      <w:r w:rsidRPr="00F77FC5">
        <w:rPr>
          <w:noProof/>
        </w:rPr>
        <w:t>(Nosek et al., 2018)</w:t>
      </w:r>
      <w:r>
        <w:fldChar w:fldCharType="end"/>
      </w:r>
      <w:r>
        <w:t xml:space="preserve">. Amidst this push for open science practices, some have called for greater use of visualization techniques </w:t>
      </w:r>
      <w:r>
        <w:fldChar w:fldCharType="begin" w:fldLock="1"/>
      </w:r>
      <w:r>
        <w:instrText>ADDIN CSL_CITATION {"citationItems":[{"id":"ITEM-1","itemData":{"DOI":"10.1177/1745691620917333","author":[{"dropping-particle":"","family":"Fife","given":"Dustin A.","non-dropping-particle":"","parse-names":false,"suffix":""}],"container-title":"Perspectives on Psychological Science","id":"ITEM-1","issue":"4","issued":{"date-parts":[["2020"]]},"page":"1054–1075","publisher":"PsyArXiv","title":"The Eight Steps of Data Analysis: A Graphical Framework to Promote Sound Statistical Analysis","type":"article-journal","volume":"15"},"uris":["http://www.mendeley.com/documents/?uuid=6e68e901-ebce-3fa8-a1ac-81d79a8bff57"]},{"id":"ITEM-2","itemData":{"author":[{"dropping-particle":"","family":"Fife","given":"Dustin A.","non-dropping-particle":"","parse-names":false,"suffix":""},{"dropping-particle":"","family":"Rodgers","given":"Joseph Lee","non-dropping-particle":"","parse-names":false,"suffix":""}],"container-title":"Unpublished Manuscript","id":"ITEM-2","issued":{"date-parts":[["2019"]]},"title":"Exonerating EDA: Addressing the Replication Crisis By Expanding the EDA/CDA Continuum","type":"article-journal"},"uris":["http://www.mendeley.com/documents/?uuid=aa099e53-32c3-4377-b02c-a8692733c126"]},{"id":"ITEM-3","itemData":{"DOI":"10.1177/1745691616663875","ISSN":"1745-6916","abstract":"Several calls have recently been issued to the social sciences for enhanced transparency of research processes and enhanced rigor in the methodological treatment of data and data analytics. We propose the use of graphical descriptives (GDs) as one mechanism for responding to both of these calls. GDs provide a way to visually examine data. They serve as quick and efficient tools for checking data distributions, variable relations, and the potential appropriateness of different statistical analyses (e.g., do data meet the minimum assumptions for a particular analytic method). Consequently, we believe that GDs can promote increased transparency in the journal review process, encourage best practices for data analysis, and promote a more inductive approach to understanding psychological data. We illustrate the value of potentially including GDs as a step in the peer-review process and provide a user-friendly online resource (www.graphicaldescriptives.org) for researchers interested in including data visualizations in their research. We conclude with suggestions on how GDs can be expanded and developed to enhance transparency.","author":[{"dropping-particle":"","family":"Tay","given":"Louis","non-dropping-particle":"","parse-names":false,"suffix":""},{"dropping-particle":"","family":"Parrigon","given":"Scott","non-dropping-particle":"","parse-names":false,"suffix":""},{"dropping-particle":"","family":"Huang","given":"Qiming","non-dropping-particle":"","parse-names":false,"suffix":""},{"dropping-particle":"","family":"LeBreton","given":"James M","non-dropping-particle":"","parse-names":false,"suffix":""}],"container-title":"Perspectives on Psychological Science","id":"ITEM-3","issue":"5","issued":{"date-parts":[["2016","9","1"]]},"note":"Meh. The big point of this article is that plotting data is following the call to be more transparent. But they suck at graphics and there’s nothing new here.","page":"692-701","publisher":"SAGE Publications Inc","title":"Graphical Descriptives: A Way to Improve Data Transparency and Methodological Rigor in Psychology","type":"article-journal","volume":"11"},"uris":["http://www.mendeley.com/documents/?uuid=4b57b1a5-da27-41d4-b807-eba1f3772a4b"]}],"mendeley":{"formattedCitation":"(Fife, 2020; Fife &amp; Rodgers, 2019; Tay, Parrigon, Huang, &amp; LeBreton, 2016)","plainTextFormattedCitation":"(Fife, 2020; Fife &amp; Rodgers, 2019; Tay, Parrigon, Huang, &amp; LeBreton, 2016)","previouslyFormattedCitation":"(Fife, 2020; Fife &amp; Rodgers, 2019; Tay, Parrigon, Huang, &amp; LeBreton, 2016)"},"properties":{"noteIndex":0},"schema":"https://github.com/citation-style-language/schema/raw/master/csl-citation.json"}</w:instrText>
      </w:r>
      <w:r>
        <w:fldChar w:fldCharType="separate"/>
      </w:r>
      <w:r w:rsidRPr="00F77FC5">
        <w:rPr>
          <w:noProof/>
        </w:rPr>
        <w:t>(Fife, 2020; Fife &amp; Rodgers, 2019; Tay, Parrigon, Huang, &amp; LeBreton, 2016)</w:t>
      </w:r>
      <w:r>
        <w:fldChar w:fldCharType="end"/>
      </w:r>
      <w:r>
        <w:t>. As noted by Tay, et al. (2016), “</w:t>
      </w:r>
      <w:r>
        <w:rPr>
          <w:rFonts w:ascii="Courier New" w:hAnsi="Courier New" w:cs="Courier New"/>
        </w:rPr>
        <w:t>﻿</w:t>
      </w:r>
      <w:r>
        <w:t xml:space="preserve">[visualizations]...can strengthen the quality of research by further increasing the transparency of data...” (p. 694). In other words, one of the best, and most efficient ways of making data analysis open and transparent is to </w:t>
      </w:r>
      <w:r>
        <w:rPr>
          <w:i/>
        </w:rPr>
        <w:t xml:space="preserve">display </w:t>
      </w:r>
      <w:r>
        <w:t xml:space="preserve">each and every datapoint through visualization techniques. </w:t>
      </w:r>
    </w:p>
    <w:p w14:paraId="49A1C078" w14:textId="7F0F083A" w:rsidR="00C72A4A" w:rsidRDefault="00F77FC5" w:rsidP="00F77FC5">
      <w:pPr>
        <w:spacing w:line="480" w:lineRule="auto"/>
        <w:ind w:firstLine="720"/>
        <w:contextualSpacing/>
      </w:pPr>
      <w:r>
        <w:lastRenderedPageBreak/>
        <w:t xml:space="preserve">Not only do visualizations adhere to the principles of openness and transparency, but they offer several additional advantages; they vastly improve encoding of information </w:t>
      </w:r>
      <w:r w:rsidR="00C72A4A" w:rsidRPr="00B06166">
        <w:fldChar w:fldCharType="begin" w:fldLock="1"/>
      </w:r>
      <w:r w:rsidR="00C72A4A" w:rsidRPr="00B06166">
        <w:instrText>ADDIN CSL_CITATION {"citationItems":[{"id":"ITEM-1","itemData":{"author":[{"dropping-particle":"","family":"Correll","given":"Michael A","non-dropping-particle":"","parse-names":false,"suffix":""}],"id":"ITEM-1","issued":{"date-parts":[["2015"]]},"title":"Improving Visual Statistics","type":"report"},"uris":["http://www.mendeley.com/documents/?uuid=5e1a9aaf-1fde-3856-8785-36de6039d6ae"]}],"mendeley":{"formattedCitation":"(Correll, 2015)","plainTextFormattedCitation":"(Correll, 2015)","previouslyFormattedCitation":"(Correll, 2015)"},"properties":{"noteIndex":0},"schema":"https://github.com/citation-style-language/schema/raw/master/csl-citation.json"}</w:instrText>
      </w:r>
      <w:r w:rsidR="00C72A4A" w:rsidRPr="00B06166">
        <w:fldChar w:fldCharType="separate"/>
      </w:r>
      <w:r w:rsidR="00C72A4A" w:rsidRPr="00B06166">
        <w:rPr>
          <w:noProof/>
        </w:rPr>
        <w:t>(Correll, 2015)</w:t>
      </w:r>
      <w:r w:rsidR="00C72A4A" w:rsidRPr="00B06166">
        <w:fldChar w:fldCharType="end"/>
      </w:r>
      <w:r>
        <w:t xml:space="preserve">, they highlight model misfit </w:t>
      </w:r>
      <w:r w:rsidR="00C72A4A" w:rsidRPr="00B06166">
        <w:fldChar w:fldCharType="begin" w:fldLock="1"/>
      </w:r>
      <w:r w:rsidR="00C72A4A" w:rsidRPr="00B06166">
        <w:instrText>ADDIN CSL_CITATION {"citationItems":[{"id":"ITEM-1","itemData":{"DOI":"10.1146/ANNUREV-SOC-071312-145551","abstract":"Visualizing data is central to social scientific work. Despite a promising early beginning, sociology has lagged in the use of visual tools. We review the history and current state of visualization...","author":[{"dropping-particle":"","family":"Healy","given":"Kieran","non-dropping-particle":"","parse-names":false,"suffix":""},{"dropping-particle":"","family":"Moody","given":"James","non-dropping-particle":"","parse-names":false,"suffix":""}],"container-title":"Annual Review of Sociology","id":"ITEM-1","issue":"1","issued":{"date-parts":[["2014"]]},"page":"105-128","title":"Data Visualization in Sociology","type":"article-journal","volume":"40"},"uris":["http://www.mendeley.com/documents/?uuid=d9a14e0d-e52a-3923-be90-ccfb897bde4b"]}],"mendeley":{"formattedCitation":"(Healy &amp; Moody, 2014)","plainTextFormattedCitation":"(Healy &amp; Moody, 2014)","previouslyFormattedCitation":"(Healy &amp; Moody, 2014)"},"properties":{"noteIndex":0},"schema":"https://github.com/citation-style-language/schema/raw/master/csl-citation.json"}</w:instrText>
      </w:r>
      <w:r w:rsidR="00C72A4A" w:rsidRPr="00B06166">
        <w:fldChar w:fldCharType="separate"/>
      </w:r>
      <w:r w:rsidR="00C72A4A" w:rsidRPr="00B06166">
        <w:rPr>
          <w:noProof/>
        </w:rPr>
        <w:t>(Healy &amp; Moody, 2014)</w:t>
      </w:r>
      <w:r w:rsidR="00C72A4A" w:rsidRPr="00B06166">
        <w:fldChar w:fldCharType="end"/>
      </w:r>
      <w:r>
        <w:t>, and they are an</w:t>
      </w:r>
      <w:r w:rsidR="00C72A4A" w:rsidRPr="00B06166">
        <w:t xml:space="preserve"> essential component </w:t>
      </w:r>
      <w:r>
        <w:t>in</w:t>
      </w:r>
      <w:r w:rsidR="00C72A4A" w:rsidRPr="00B06166">
        <w:t xml:space="preserve"> evaluating model assumptions </w:t>
      </w:r>
      <w:r w:rsidR="00C72A4A" w:rsidRPr="00B06166">
        <w:fldChar w:fldCharType="begin" w:fldLock="1"/>
      </w:r>
      <w:r>
        <w:instrText>ADDIN CSL_CITATION {"citationItems":[{"id":"ITEM-1","itemData":{"DOI":"10.1177/1745691616663875","ISSN":"1745-6916","abstract":"Several calls have recently been issued to the social sciences for enhanced transparency of research processes and enhanced rigor in the methodological treatment of data and data analytics. We propose the use of graphical descriptives (GDs) as one mechanism for responding to both of these calls. GDs provide a way to visually examine data. They serve as quick and efficient tools for checking data distributions, variable relations, and the potential appropriateness of different statistical analyses (e.g., do data meet the minimum assumptions for a particular analytic method). Consequently, we believe that GDs can promote increased transparency in the journal review process, encourage best practices for data analysis, and promote a more inductive approach to understanding psychological data. We illustrate the value of potentially including GDs as a step in the peer-review process and provide a user-friendly online resource (www.graphicaldescriptives.org) for researchers interested in including data visualizations in their research. We conclude with suggestions on how GDs can be expanded and developed to enhance transparency.","author":[{"dropping-particle":"","family":"Tay","given":"Louis","non-dropping-particle":"","parse-names":false,"suffix":""},{"dropping-particle":"","family":"Parrigon","given":"Scott","non-dropping-particle":"","parse-names":false,"suffix":""},{"dropping-particle":"","family":"Huang","given":"Qiming","non-dropping-particle":"","parse-names":false,"suffix":""},{"dropping-particle":"","family":"LeBreton","given":"James M","non-dropping-particle":"","parse-names":false,"suffix":""}],"container-title":"Perspectives on Psychological Science","id":"ITEM-1","issue":"5","issued":{"date-parts":[["2016","9","1"]]},"note":"Meh. The big point of this article is that plotting data is following the call to be more transparent. But they suck at graphics and there’s nothing new here.","page":"692-701","publisher":"SAGE Publications Inc","title":"Graphical Descriptives: A Way to Improve Data Transparency and Methodological Rigor in Psychology","type":"article-journal","volume":"11"},"uris":["http://www.mendeley.com/documents/?uuid=4b57b1a5-da27-41d4-b807-eba1f3772a4b"]},{"id":"ITEM-2","itemData":{"DOI":"10.1017/mor.2018.19","ISSN":"17408784","abstract":"‘The truth is under attack’, I wrote earlier this decade (Levine, 2012). As the replication crisis became apparent, the alarm was timely. But now, a counter-attack is raging. In its arsenal are replications, open data, shared instruments, pre-registration of hypotheses and now – data visualizations.","author":[{"dropping-particle":"","family":"Levine","given":"Sheen S.","non-dropping-particle":"","parse-names":false,"suffix":""}],"container-title":"Management and Organization Review","id":"ITEM-2","issue":"2","issued":{"date-parts":[["2018","6","1"]]},"note":"Gives some reasons why visuals might not be frequently used: considered less scientific, fear of deviating from convention.","page":"433-437","publisher":"Cambridge University Press","title":"Show us your data: Connect the dots, improve science","type":"article-journal","volume":"14"},"uris":["http://www.mendeley.com/documents/?uuid=61c7e6e0-53a2-34c8-8702-aeecd630c75d"]}],"mendeley":{"formattedCitation":"(Levine, 2018; Tay et al., 2016)","plainTextFormattedCitation":"(Levine, 2018; Tay et al., 2016)","previouslyFormattedCitation":"(Levine, 2018; Tay et al., 2016)"},"properties":{"noteIndex":0},"schema":"https://github.com/citation-style-language/schema/raw/master/csl-citation.json"}</w:instrText>
      </w:r>
      <w:r w:rsidR="00C72A4A" w:rsidRPr="00B06166">
        <w:fldChar w:fldCharType="separate"/>
      </w:r>
      <w:r w:rsidR="00C72A4A" w:rsidRPr="00B06166">
        <w:rPr>
          <w:noProof/>
        </w:rPr>
        <w:t>(Levine, 2018; Tay et al., 2016)</w:t>
      </w:r>
      <w:r w:rsidR="00C72A4A" w:rsidRPr="00B06166">
        <w:fldChar w:fldCharType="end"/>
      </w:r>
      <w:r>
        <w:t xml:space="preserve">. As such, we </w:t>
      </w:r>
      <w:r>
        <w:fldChar w:fldCharType="begin" w:fldLock="1"/>
      </w:r>
      <w:r w:rsidR="00FA466E">
        <w:instrText>ADDIN CSL_CITATION {"citationItems":[{"id":"ITEM-1","itemData":{"DOI":"10.1177/1745691620917333","author":[{"dropping-particle":"","family":"Fife","given":"Dustin A.","non-dropping-particle":"","parse-names":false,"suffix":""}],"container-title":"Perspectives on Psychological Science","id":"ITEM-1","issue":"4","issued":{"date-parts":[["2020"]]},"page":"1054–1075","publisher":"PsyArXiv","title":"The Eight Steps of Data Analysis: A Graphical Framework to Promote Sound Statistical Analysis","type":"article-journal","volume":"15"},"uris":["http://www.mendeley.com/documents/?uuid=6e68e901-ebce-3fa8-a1ac-81d79a8bff57"]},{"id":"ITEM-2","itemData":{"URL":"http://rpubs.com/dustinfife/528244","author":[{"dropping-particle":"","family":"Fife","given":"Dustin A.","non-dropping-particle":"","parse-names":false,"suffix":""}],"id":"ITEM-2","issued":{"date-parts":[["2019"]]},"title":"A Graphic is Worth a Thousand Test Statistics: Mapping Visuals onto Common Analyses","type":"webpage"},"prefix":"as well as others, e.g., ","uris":["http://www.mendeley.com/documents/?uuid=76c3921b-a205-4a05-a965-c1dc6bd593cb"]},{"id":"ITEM-3","itemData":{"author":[{"dropping-particle":"","family":"Wilkinson","given":"Leland","non-dropping-particle":"","parse-names":false,"suffix":""},{"dropping-particle":"","family":"Task Force on Statistical Inference","given":"","non-dropping-particle":"","parse-names":false,"suffix":""}],"container-title":"American Psychologist","id":"ITEM-3","issue":"8","issued":{"date-parts":[["1999"]]},"page":"594-601","title":"Statistical Methods in Psychology Journals: Guidelines and Explanations","type":"article-journal","volume":"54"},"uris":["http://www.mendeley.com/documents/?uuid=94e4235f-0667-3688-93ad-ab0ee63e65d9"]}],"mendeley":{"formattedCitation":"(as well as others, e.g., Fife, 2019, 2020; Wilkinson &amp; Task Force on Statistical Inference, 1999)","plainTextFormattedCitation":"(as well as others, e.g., Fife, 2019, 2020; Wilkinson &amp; Task Force on Statistical Inference, 1999)","previouslyFormattedCitation":"(as well as others, e.g., Fife, 2019, 2020; Wilkinson &amp; Task Force on Statistical Inference, 1999)"},"properties":{"noteIndex":0},"schema":"https://github.com/citation-style-language/schema/raw/master/csl-citation.json"}</w:instrText>
      </w:r>
      <w:r>
        <w:fldChar w:fldCharType="separate"/>
      </w:r>
      <w:r w:rsidRPr="00F77FC5">
        <w:rPr>
          <w:noProof/>
        </w:rPr>
        <w:t>(as well as others, e.g., Fife, 2019, 2020; Wilkinson &amp; Task Force on Statistical Inference, 1999)</w:t>
      </w:r>
      <w:r>
        <w:fldChar w:fldCharType="end"/>
      </w:r>
      <w:r>
        <w:t xml:space="preserve"> insist that </w:t>
      </w:r>
      <w:r>
        <w:rPr>
          <w:i/>
        </w:rPr>
        <w:t xml:space="preserve">every </w:t>
      </w:r>
      <w:r>
        <w:t xml:space="preserve">statistical model ought to be accompanied by a graphic. </w:t>
      </w:r>
    </w:p>
    <w:p w14:paraId="1F54AD3F" w14:textId="2E1D7261" w:rsidR="00F77FC5" w:rsidRDefault="00F77FC5" w:rsidP="00F77FC5">
      <w:pPr>
        <w:spacing w:line="480" w:lineRule="auto"/>
        <w:ind w:firstLine="720"/>
        <w:contextualSpacing/>
      </w:pPr>
      <w:r>
        <w:t xml:space="preserve">Unfortunately, this </w:t>
      </w:r>
      <w:r w:rsidR="00214846">
        <w:t>visualization requirement</w:t>
      </w:r>
      <w:r w:rsidR="00FA466E">
        <w:t xml:space="preserve"> is easier said than done. While visualizing some statistical models is trivial (e.g., regressions, t-tests, ANOVAs, multiple regression), visualizing others is not. One particularly troublesome class of models to visualize is latent variable models (LVMs). While researcher routinely visualize </w:t>
      </w:r>
      <w:r w:rsidR="00FA466E">
        <w:rPr>
          <w:i/>
        </w:rPr>
        <w:t xml:space="preserve">conceptual </w:t>
      </w:r>
      <w:r w:rsidR="00FA466E">
        <w:t xml:space="preserve">models (e.g., via path diagrams), visualizing the </w:t>
      </w:r>
      <w:r w:rsidR="00FA466E">
        <w:rPr>
          <w:i/>
        </w:rPr>
        <w:t xml:space="preserve">statistical </w:t>
      </w:r>
      <w:r w:rsidR="00FA466E">
        <w:t xml:space="preserve">models is not so easy. The former visualizations are common, while the latter are not </w:t>
      </w:r>
      <w:r w:rsidR="00FA466E">
        <w:fldChar w:fldCharType="begin" w:fldLock="1"/>
      </w:r>
      <w:r w:rsidR="00FA466E">
        <w:instrText>ADDIN CSL_CITATION {"citationItems":[{"id":"ITEM-1","itemData":{"DOI":"10.1016/j.addbeh.2018.08.030","ISSN":"18736327","abstract":"Introduction: Structural equation modeling (SEM) is a multivariate data analytic technique used in many domains of addictive behaviors research. SEM results are usually summarized and communicated through statistical tables and path diagrams, which emphasize path coefficients and global fit without showing specific quantitative values of data points that underlie the model results. Data visualization methods are often absent in SEM research, which may limit the quality and impact of SEM research by reducing data transparency, obscuring unexpected data anomalies and unmodeled heterogeneity, and inhibiting the communication of SEM research findings to research stakeholders who do not have advanced statistical training in SEM. Methods and results: In this report, we show how data visualization methods can address these limitations and improve the quality of SEM-based addictive behaviors research. We first introduce SEM and data visualization methodologies and differentiate data visualizations from model visualizations that are commonly used in SEM, such as path diagrams. We then discuss ways researchers may utilize data visualization in SEM research, including by obtaining estimates of latent variables and by visualizing multivariate relations in two-dimensional figures. R syntax is provided to help others generate data visualizations for several types of effects commonly modeled in SEM, including correlation, regression, moderation, and simple mediation. Discussion: The techniques outlined here may help spur the use of data visualization in SEM-based addictive behaviors research. Using data visualization in SEM may enhance methodological transparency and improve communication of research findings.","author":[{"dropping-particle":"","family":"Hallgren","given":"Kevin A.","non-dropping-particle":"","parse-names":false,"suffix":""},{"dropping-particle":"","family":"McCabe","given":"Connor J.","non-dropping-particle":"","parse-names":false,"suffix":""},{"dropping-particle":"","family":"King","given":"Kevin M.","non-dropping-particle":"","parse-names":false,"suffix":""},{"dropping-particle":"","family":"Atkins","given":"David C.","non-dropping-particle":"","parse-names":false,"suffix":""}],"container-title":"Addictive Behaviors","id":"ITEM-1","issue":"March 2018","issued":{"date-parts":[["2019"]]},"page":"74-82","publisher":"Elsevier","title":"Beyond path diagrams: Enhancing applied structural equation modeling research through data visualization","type":"article-journal","volume":"94"},"uris":["http://www.mendeley.com/documents/?uuid=04bfb0e3-3cef-464d-bd4f-e4a9d49b7672"]}],"mendeley":{"formattedCitation":"(Hallgren, McCabe, King, &amp; Atkins, 2019a)","plainTextFormattedCitation":"(Hallgren, McCabe, King, &amp; Atkins, 2019a)","previouslyFormattedCitation":"(Hallgren, McCabe, King, &amp; Atkins, 2019a)"},"properties":{"noteIndex":0},"schema":"https://github.com/citation-style-language/schema/raw/master/csl-citation.json"}</w:instrText>
      </w:r>
      <w:r w:rsidR="00FA466E">
        <w:fldChar w:fldCharType="separate"/>
      </w:r>
      <w:r w:rsidR="00FA466E" w:rsidRPr="00FA466E">
        <w:rPr>
          <w:noProof/>
        </w:rPr>
        <w:t>(Hallgren, McCabe, King, &amp; Atkins, 2019a)</w:t>
      </w:r>
      <w:r w:rsidR="00FA466E">
        <w:fldChar w:fldCharType="end"/>
      </w:r>
      <w:r w:rsidR="00FA466E">
        <w:t xml:space="preserve">. The reason statistical visualizations of LVM are not intuitive is because they rely on </w:t>
      </w:r>
      <w:r w:rsidR="00FA466E">
        <w:rPr>
          <w:i/>
        </w:rPr>
        <w:t xml:space="preserve">unobserved </w:t>
      </w:r>
      <w:r w:rsidR="00FA466E" w:rsidRPr="00FA466E">
        <w:t>variables</w:t>
      </w:r>
      <w:r w:rsidR="00FA466E">
        <w:t xml:space="preserve"> </w:t>
      </w:r>
      <w:r w:rsidR="00FA466E">
        <w:fldChar w:fldCharType="begin" w:fldLock="1"/>
      </w:r>
      <w:r w:rsidR="00FA466E">
        <w:instrText>ADDIN CSL_CITATION {"citationItems":[{"id":"ITEM-1","itemData":{"ISBN":"0-471-01171-1","author":[{"dropping-particle":"","family":"Bollen","given":"Kenneth A","non-dropping-particle":"","parse-names":false,"suffix":""}],"collection-title":"Wiley series in probability and mathematical statistics. {Applied} probability and statistics section; 0271-6356","id":"ITEM-1","issued":{"date-parts":[["1989"]]},"publisher":"John Wiley &amp; Sons","title":"Structural equations with latent variables.","type":"book"},"uris":["http://www.mendeley.com/documents/?uuid=4fd7a589-f492-484b-8c01-735bcb54be09"]}],"mendeley":{"formattedCitation":"(Bollen, 1989)","plainTextFormattedCitation":"(Bollen, 1989)"},"properties":{"noteIndex":0},"schema":"https://github.com/citation-style-language/schema/raw/master/csl-citation.json"}</w:instrText>
      </w:r>
      <w:r w:rsidR="00FA466E">
        <w:fldChar w:fldCharType="separate"/>
      </w:r>
      <w:r w:rsidR="00FA466E" w:rsidRPr="00FA466E">
        <w:rPr>
          <w:noProof/>
        </w:rPr>
        <w:t>(Bollen, 1989)</w:t>
      </w:r>
      <w:r w:rsidR="00FA466E">
        <w:fldChar w:fldCharType="end"/>
      </w:r>
      <w:r w:rsidR="00FA466E">
        <w:t xml:space="preserve">. If the variables of interest are unobserved, how can we possibly visualize them? </w:t>
      </w:r>
    </w:p>
    <w:p w14:paraId="4ABC6576" w14:textId="3AB9BB78" w:rsidR="00FA466E" w:rsidRPr="00FA466E" w:rsidRDefault="00FA466E" w:rsidP="00F77FC5">
      <w:pPr>
        <w:spacing w:line="480" w:lineRule="auto"/>
        <w:ind w:firstLine="720"/>
        <w:contextualSpacing/>
      </w:pPr>
      <w:r>
        <w:t xml:space="preserve">Though it is not, at first glance, easy to visualize unobserved variables, that does not mean visualizing them is any less important. On the contrary, visualizing latent variables is, perhaps </w:t>
      </w:r>
      <w:r>
        <w:rPr>
          <w:i/>
        </w:rPr>
        <w:t xml:space="preserve">more </w:t>
      </w:r>
      <w:r>
        <w:t xml:space="preserve">important </w:t>
      </w:r>
      <w:r>
        <w:rPr>
          <w:i/>
        </w:rPr>
        <w:t xml:space="preserve">because </w:t>
      </w:r>
      <w:r>
        <w:t xml:space="preserve">their presence is unobserved. In the following section, we elaborate on why visualizations are particularly crucial for LVMs. We then review previous approaches others have used for visualizing </w:t>
      </w:r>
      <w:proofErr w:type="gramStart"/>
      <w:r>
        <w:t>LVMs, and</w:t>
      </w:r>
      <w:proofErr w:type="gramEnd"/>
      <w:r>
        <w:t xml:space="preserve"> note their strengths and weaknesses. We then introduce our approach and the corresponding R package </w:t>
      </w:r>
      <w:proofErr w:type="spellStart"/>
      <w:r>
        <w:t>flexplavaan</w:t>
      </w:r>
      <w:proofErr w:type="spellEnd"/>
      <w:r>
        <w:t xml:space="preserve">, which allows users to visualize both </w:t>
      </w:r>
      <w:proofErr w:type="spellStart"/>
      <w:r>
        <w:t>lavaan</w:t>
      </w:r>
      <w:proofErr w:type="spellEnd"/>
      <w:r>
        <w:t xml:space="preserve"> and </w:t>
      </w:r>
      <w:proofErr w:type="spellStart"/>
      <w:r>
        <w:t>blavaan</w:t>
      </w:r>
      <w:proofErr w:type="spellEnd"/>
      <w:r>
        <w:t xml:space="preserve"> objects in R. We then conclude with several examples that highlight how visualizations assisted in identifying appropriate statistical models. </w:t>
      </w:r>
    </w:p>
    <w:bookmarkEnd w:id="0"/>
    <w:p w14:paraId="4F8AD10D" w14:textId="77777777" w:rsidR="008A10EA" w:rsidRPr="00B06166" w:rsidRDefault="008A10EA" w:rsidP="008A10EA"/>
    <w:p w14:paraId="1B82B944" w14:textId="0AE3ACB6" w:rsidR="008B33B7" w:rsidRPr="00B06166" w:rsidRDefault="008B33B7" w:rsidP="008B33B7">
      <w:pPr>
        <w:jc w:val="center"/>
        <w:rPr>
          <w:b/>
        </w:rPr>
      </w:pPr>
      <w:commentRangeStart w:id="1"/>
      <w:r w:rsidRPr="00B06166">
        <w:rPr>
          <w:b/>
        </w:rPr>
        <w:t xml:space="preserve">Why Visualizations </w:t>
      </w:r>
      <w:r w:rsidR="00307136" w:rsidRPr="00B06166">
        <w:rPr>
          <w:b/>
        </w:rPr>
        <w:t xml:space="preserve">are Critical for </w:t>
      </w:r>
      <w:r w:rsidRPr="00B06166">
        <w:rPr>
          <w:b/>
        </w:rPr>
        <w:t>LVMs</w:t>
      </w:r>
      <w:commentRangeEnd w:id="1"/>
      <w:r w:rsidR="00B06166">
        <w:rPr>
          <w:rStyle w:val="CommentReference"/>
        </w:rPr>
        <w:commentReference w:id="1"/>
      </w:r>
    </w:p>
    <w:p w14:paraId="4AF72B0A" w14:textId="6D3C983D" w:rsidR="00201FFB" w:rsidRDefault="00201FFB" w:rsidP="00201FFB"/>
    <w:p w14:paraId="48A95A7D" w14:textId="240150D8" w:rsidR="00F77FC5" w:rsidRDefault="00F77FC5" w:rsidP="00201FFB"/>
    <w:p w14:paraId="6187235E" w14:textId="1864B022" w:rsidR="00F77FC5" w:rsidRDefault="00F77FC5" w:rsidP="00201FFB"/>
    <w:p w14:paraId="69C5B9CD" w14:textId="77777777" w:rsidR="00F77FC5" w:rsidRPr="00B06166" w:rsidRDefault="00F77FC5" w:rsidP="00201FFB"/>
    <w:p w14:paraId="073AEFEF" w14:textId="77777777" w:rsidR="00201FFB" w:rsidRPr="00B06166" w:rsidRDefault="00201FFB" w:rsidP="008B33B7">
      <w:pPr>
        <w:jc w:val="center"/>
        <w:rPr>
          <w:b/>
        </w:rPr>
      </w:pPr>
      <w:commentRangeStart w:id="2"/>
      <w:r w:rsidRPr="00B06166">
        <w:rPr>
          <w:b/>
        </w:rPr>
        <w:t xml:space="preserve">Previous </w:t>
      </w:r>
      <w:r w:rsidR="008B33B7" w:rsidRPr="00B06166">
        <w:rPr>
          <w:b/>
        </w:rPr>
        <w:t>A</w:t>
      </w:r>
      <w:r w:rsidRPr="00B06166">
        <w:rPr>
          <w:b/>
        </w:rPr>
        <w:t>pproaches</w:t>
      </w:r>
      <w:r w:rsidR="008B33B7" w:rsidRPr="00B06166">
        <w:rPr>
          <w:b/>
        </w:rPr>
        <w:t xml:space="preserve"> to Visualizing LVMs</w:t>
      </w:r>
      <w:commentRangeEnd w:id="2"/>
      <w:r w:rsidR="00B06166">
        <w:rPr>
          <w:rStyle w:val="CommentReference"/>
        </w:rPr>
        <w:commentReference w:id="2"/>
      </w:r>
    </w:p>
    <w:p w14:paraId="13794C14" w14:textId="6175E92D" w:rsidR="00D76068" w:rsidRDefault="00D76068" w:rsidP="00D76068"/>
    <w:p w14:paraId="037F5F48" w14:textId="48771144" w:rsidR="00F77FC5" w:rsidRDefault="00F77FC5" w:rsidP="00D76068"/>
    <w:p w14:paraId="1ADE3BD1" w14:textId="77777777" w:rsidR="00F77FC5" w:rsidRPr="00B06166" w:rsidRDefault="00F77FC5" w:rsidP="00D76068"/>
    <w:p w14:paraId="7055184B" w14:textId="77777777" w:rsidR="008A10EA" w:rsidRPr="00B06166" w:rsidRDefault="00906B06" w:rsidP="008B33B7">
      <w:pPr>
        <w:jc w:val="center"/>
        <w:rPr>
          <w:b/>
        </w:rPr>
      </w:pPr>
      <w:r w:rsidRPr="00B06166">
        <w:rPr>
          <w:b/>
        </w:rPr>
        <w:t>Our Approach</w:t>
      </w:r>
      <w:r w:rsidR="00D71BCA" w:rsidRPr="00B06166">
        <w:rPr>
          <w:b/>
        </w:rPr>
        <w:t xml:space="preserve"> (Linear LVMs)</w:t>
      </w:r>
    </w:p>
    <w:p w14:paraId="0B91F620" w14:textId="77777777" w:rsidR="008B33B7" w:rsidRPr="00B06166" w:rsidRDefault="008B33B7" w:rsidP="008B33B7">
      <w:pPr>
        <w:rPr>
          <w:b/>
        </w:rPr>
      </w:pPr>
    </w:p>
    <w:p w14:paraId="799BED48" w14:textId="0D749C6C" w:rsidR="008B33B7" w:rsidRDefault="008B33B7" w:rsidP="008B33B7">
      <w:r w:rsidRPr="00B06166">
        <w:rPr>
          <w:b/>
        </w:rPr>
        <w:t>Diagnostic Plots: Trail Plots</w:t>
      </w:r>
    </w:p>
    <w:p w14:paraId="5175BC4B" w14:textId="2CC55B98" w:rsidR="00BF2B8D" w:rsidRDefault="00BF2B8D" w:rsidP="008B33B7"/>
    <w:p w14:paraId="32F13BE5" w14:textId="5E592A02" w:rsidR="00BF2B8D" w:rsidRDefault="00BF2B8D" w:rsidP="00BF2B8D">
      <w:pPr>
        <w:spacing w:line="480" w:lineRule="auto"/>
      </w:pPr>
      <w:r>
        <w:tab/>
        <w:t xml:space="preserve">To begin how to conceptualize LVMs, let us first consider how typical linear models are visualized. In a standard regression, each dot in a scatterplot represents scores on the </w:t>
      </w:r>
      <w:r>
        <w:rPr>
          <w:i/>
        </w:rPr>
        <w:t xml:space="preserve">observed </w:t>
      </w:r>
      <w:r>
        <w:t>variables. Often, analysts overl</w:t>
      </w:r>
      <w:r w:rsidR="00943A53">
        <w:t>a</w:t>
      </w:r>
      <w:r>
        <w:t xml:space="preserve">y additional symbols to represent the fit of the model (e.g., a line to </w:t>
      </w:r>
      <w:proofErr w:type="gramStart"/>
      <w:r>
        <w:t>represented</w:t>
      </w:r>
      <w:proofErr w:type="gramEnd"/>
      <w:r>
        <w:t xml:space="preserve"> the fitted regression model, or large dots to represent the mean). Sometimes additional symbols are overlaid to represent uncertainty (e.g., confidence bands for a regression line or standard error bars). See </w:t>
      </w:r>
      <w:r>
        <w:fldChar w:fldCharType="begin"/>
      </w:r>
      <w:r>
        <w:instrText xml:space="preserve"> REF _Ref48115869 \h </w:instrText>
      </w:r>
      <w:r>
        <w:fldChar w:fldCharType="separate"/>
      </w:r>
      <w:r>
        <w:t xml:space="preserve">Figure </w:t>
      </w:r>
      <w:r>
        <w:rPr>
          <w:noProof/>
        </w:rPr>
        <w:t>1</w:t>
      </w:r>
      <w:r>
        <w:fldChar w:fldCharType="end"/>
      </w:r>
      <w:r>
        <w:t xml:space="preserve"> as an example. In either case, </w:t>
      </w:r>
      <w:r w:rsidR="00D257B3">
        <w:t>the dots represent observed information, while the fitted information is conveye</w:t>
      </w:r>
      <w:r w:rsidR="00943A53">
        <w:t xml:space="preserve">d </w:t>
      </w:r>
      <w:r w:rsidR="00D257B3">
        <w:t xml:space="preserve">using other symbols. </w:t>
      </w:r>
    </w:p>
    <w:p w14:paraId="6F50F34C" w14:textId="77777777" w:rsidR="00BF2B8D" w:rsidRDefault="00BF2B8D" w:rsidP="00BF2B8D">
      <w:pPr>
        <w:keepNext/>
        <w:spacing w:line="480" w:lineRule="auto"/>
        <w:jc w:val="center"/>
      </w:pPr>
      <w:r w:rsidRPr="00BF2B8D">
        <w:rPr>
          <w:noProof/>
        </w:rPr>
        <w:drawing>
          <wp:inline distT="0" distB="0" distL="0" distR="0" wp14:anchorId="3150D542" wp14:editId="051209B1">
            <wp:extent cx="4368800" cy="2133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68800" cy="2133600"/>
                    </a:xfrm>
                    <a:prstGeom prst="rect">
                      <a:avLst/>
                    </a:prstGeom>
                  </pic:spPr>
                </pic:pic>
              </a:graphicData>
            </a:graphic>
          </wp:inline>
        </w:drawing>
      </w:r>
    </w:p>
    <w:p w14:paraId="2A57A199" w14:textId="74012C15" w:rsidR="00BF2B8D" w:rsidRPr="00BF2B8D" w:rsidRDefault="00BF2B8D" w:rsidP="00BF2B8D">
      <w:pPr>
        <w:pStyle w:val="Caption"/>
      </w:pPr>
      <w:bookmarkStart w:id="3" w:name="_Ref48115869"/>
      <w:r>
        <w:t xml:space="preserve">Figure </w:t>
      </w:r>
      <w:r w:rsidR="00413B90">
        <w:fldChar w:fldCharType="begin"/>
      </w:r>
      <w:r w:rsidR="00413B90">
        <w:instrText xml:space="preserve"> SEQ Figure \* ARABIC </w:instrText>
      </w:r>
      <w:r w:rsidR="00413B90">
        <w:fldChar w:fldCharType="separate"/>
      </w:r>
      <w:r w:rsidR="00EA0BCE">
        <w:rPr>
          <w:noProof/>
        </w:rPr>
        <w:t>1</w:t>
      </w:r>
      <w:r w:rsidR="00413B90">
        <w:rPr>
          <w:noProof/>
        </w:rPr>
        <w:fldChar w:fldCharType="end"/>
      </w:r>
      <w:bookmarkEnd w:id="3"/>
      <w:r>
        <w:t>: Example figure that shows how standard statistical models are visualized. Dots represent scores on observed variables, while other symbols (e.g., regression line, large dots) represent the fit of the model.</w:t>
      </w:r>
    </w:p>
    <w:p w14:paraId="0225F2F6" w14:textId="74C5D582" w:rsidR="00D257B3" w:rsidRDefault="00D257B3" w:rsidP="00D257B3">
      <w:pPr>
        <w:spacing w:line="480" w:lineRule="auto"/>
        <w:ind w:firstLine="720"/>
      </w:pPr>
      <w:r w:rsidRPr="00D257B3">
        <w:t xml:space="preserve">Likewise, </w:t>
      </w:r>
      <w:r>
        <w:t xml:space="preserve">visualizing LVMs ought to follow similar conventions; the dots should represent the observed information, as in Bauer </w:t>
      </w:r>
      <w:r w:rsidRPr="00D257B3">
        <w:fldChar w:fldCharType="begin" w:fldLock="1"/>
      </w:r>
      <w:r w:rsidRPr="00D257B3">
        <w:instrText>ADDIN CSL_CITATION {"citationItems":[{"id":"ITEM-1","itemData":{"DOI":"10.1037/1082-989X.10.3.305","ISSN":"1082989X","abstract":"Measurement invariance is a necessary condition for the evaluation of factor mean differences over groups or time. This article considers the potential problems that can arise for tests of measurement invariance when the true factor-to-indicator relationship is nonlinear (quadratic) and invariant but the linear factor model is nevertheless applied. The factor loadings and indicator intercepts of the linear model will diverge across groups as the factor mean difference increases. Power analyses show that even apparently small quadratic effects can result in rejection of measurement invariance at moderate sample sizes when the factor mean difference is medium to large. Recommendations include the identification of nonlinear relationships using diagnostic plots and consideration of newly developed methods for fitting nonlinear factor models. Copyright 2005 by the American Psychological Association.","author":[{"dropping-particle":"","family":"Bauer","given":"Daniel J.","non-dropping-particle":"","parse-names":false,"suffix":""}],"container-title":"Psychological Methods","id":"ITEM-1","issue":"3","issued":{"date-parts":[["2005"]]},"page":"305-316","title":"The role of nonlinear factor-to-indicator relationships in tests of measurement equivalence","type":"article-journal","volume":"10"},"suppress-author":1,"uris":["http://www.mendeley.com/documents/?uuid=36235e38-e071-4e51-88e0-169a9e429063"]}],"mendeley":{"formattedCitation":"(2005)","plainTextFormattedCitation":"(2005)","previouslyFormattedCitation":"(2005)"},"properties":{"noteIndex":0},"schema":"https://github.com/citation-style-language/schema/raw/master/csl-citation.json"}</w:instrText>
      </w:r>
      <w:r w:rsidRPr="00D257B3">
        <w:fldChar w:fldCharType="separate"/>
      </w:r>
      <w:r w:rsidRPr="00D257B3">
        <w:t>(2005)</w:t>
      </w:r>
      <w:r w:rsidRPr="00D257B3">
        <w:fldChar w:fldCharType="end"/>
      </w:r>
      <w:r>
        <w:t xml:space="preserve">. </w:t>
      </w:r>
      <w:r w:rsidR="00535177">
        <w:t xml:space="preserve">In his visuals, pairwise relationships between observed variables are represented in a scatterplot. However, Bauer’s approach did not </w:t>
      </w:r>
      <w:r w:rsidR="00535177">
        <w:lastRenderedPageBreak/>
        <w:t xml:space="preserve">overlay a model-implied fit, as we seek to do. When the line represents the model-implied fit, it denotes </w:t>
      </w:r>
      <w:r>
        <w:t xml:space="preserve">the </w:t>
      </w:r>
      <w:r>
        <w:rPr>
          <w:i/>
        </w:rPr>
        <w:t xml:space="preserve">trail </w:t>
      </w:r>
      <w:r>
        <w:t>left behind by the unobserved latent variable. As such, we call these plots “trail plots.”</w:t>
      </w:r>
    </w:p>
    <w:p w14:paraId="1F2AA820" w14:textId="05C25712" w:rsidR="00535177" w:rsidRDefault="00535177" w:rsidP="00D257B3">
      <w:pPr>
        <w:spacing w:line="480" w:lineRule="auto"/>
        <w:ind w:firstLine="720"/>
        <w:rPr>
          <w:rFonts w:eastAsiaTheme="minorEastAsia"/>
        </w:rPr>
      </w:pPr>
      <w:r>
        <w:t>How then does one identify the slope/intercept of the LVM’s model-implied fit? It is quite easy to do so when standard linear LVMs are used. Suppose we have a factor (</w:t>
      </w:r>
      <w:r w:rsidRPr="00535177">
        <w:rPr>
          <w:i/>
        </w:rPr>
        <w:t>T</w:t>
      </w:r>
      <w:r>
        <w:t xml:space="preserve">) </w:t>
      </w:r>
      <w:r w:rsidRPr="00535177">
        <w:t>with</w:t>
      </w:r>
      <w:r>
        <w:t xml:space="preserve"> three indicators (e.g.,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oMath>
      <w:r>
        <w:rPr>
          <w:rFonts w:eastAsiaTheme="minorEastAsia"/>
        </w:rPr>
        <w:t xml:space="preserve">), and we wish to visualize the pairwise </w:t>
      </w:r>
      <w:proofErr w:type="spellStart"/>
      <w:r>
        <w:rPr>
          <w:rFonts w:eastAsiaTheme="minorEastAsia"/>
        </w:rPr>
        <w:t>traceplot</w:t>
      </w:r>
      <w:proofErr w:type="spellEnd"/>
      <w:r>
        <w:rPr>
          <w:rFonts w:eastAsiaTheme="minorEastAsia"/>
        </w:rPr>
        <w:t xml:space="preserve"> between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oMath>
      <w:r>
        <w:rPr>
          <w:rFonts w:eastAsiaTheme="minorEastAsia"/>
        </w:rPr>
        <w:t>. To do so, we can simply utilize the model-implied correlation matrix:</w:t>
      </w:r>
    </w:p>
    <w:p w14:paraId="0B92FD0C" w14:textId="1E41C466" w:rsidR="00535177" w:rsidRPr="00D257B3" w:rsidRDefault="007E47F6" w:rsidP="00535177">
      <w:pPr>
        <w:spacing w:line="480" w:lineRule="auto"/>
        <w:jc w:val="center"/>
      </w:pPr>
      <m:oMathPara>
        <m:oMath>
          <m:sSub>
            <m:sSubPr>
              <m:ctrlPr>
                <w:rPr>
                  <w:rFonts w:ascii="Cambria Math" w:hAnsi="Cambria Math"/>
                  <w:i/>
                </w:rPr>
              </m:ctrlPr>
            </m:sSubPr>
            <m:e>
              <m:r>
                <w:rPr>
                  <w:rFonts w:ascii="Cambria Math" w:hAnsi="Cambria Math"/>
                </w:rPr>
                <m:t>β</m:t>
              </m:r>
            </m:e>
            <m:sub>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2</m:t>
                  </m:r>
                </m:sub>
              </m:sSub>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r</m:t>
                  </m:r>
                </m:e>
              </m:acc>
            </m:e>
            <m:sub>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2</m:t>
                  </m:r>
                </m:sub>
              </m:sSub>
            </m:sub>
          </m:sSub>
          <m:f>
            <m:fPr>
              <m:ctrlPr>
                <w:rPr>
                  <w:rFonts w:ascii="Cambria Math" w:hAnsi="Cambria Math"/>
                  <w:i/>
                </w:rPr>
              </m:ctrlPr>
            </m:fPr>
            <m:num>
              <m:sSub>
                <m:sSubPr>
                  <m:ctrlPr>
                    <w:rPr>
                      <w:rFonts w:ascii="Cambria Math" w:hAnsi="Cambria Math"/>
                      <w:i/>
                    </w:rPr>
                  </m:ctrlPr>
                </m:sSubPr>
                <m:e>
                  <m:r>
                    <w:rPr>
                      <w:rFonts w:ascii="Cambria Math" w:hAnsi="Cambria Math"/>
                    </w:rPr>
                    <m:t>s</m:t>
                  </m:r>
                </m:e>
                <m:sub>
                  <m:sSub>
                    <m:sSubPr>
                      <m:ctrlPr>
                        <w:rPr>
                          <w:rFonts w:ascii="Cambria Math" w:hAnsi="Cambria Math"/>
                          <w:i/>
                        </w:rPr>
                      </m:ctrlPr>
                    </m:sSubPr>
                    <m:e>
                      <m:r>
                        <w:rPr>
                          <w:rFonts w:ascii="Cambria Math" w:hAnsi="Cambria Math"/>
                        </w:rPr>
                        <m:t>x</m:t>
                      </m:r>
                    </m:e>
                    <m:sub>
                      <m:r>
                        <w:rPr>
                          <w:rFonts w:ascii="Cambria Math" w:hAnsi="Cambria Math"/>
                        </w:rPr>
                        <m:t>1</m:t>
                      </m:r>
                    </m:sub>
                  </m:sSub>
                </m:sub>
              </m:sSub>
            </m:num>
            <m:den>
              <m:sSub>
                <m:sSubPr>
                  <m:ctrlPr>
                    <w:rPr>
                      <w:rFonts w:ascii="Cambria Math" w:hAnsi="Cambria Math"/>
                      <w:i/>
                    </w:rPr>
                  </m:ctrlPr>
                </m:sSubPr>
                <m:e>
                  <m:r>
                    <w:rPr>
                      <w:rFonts w:ascii="Cambria Math" w:hAnsi="Cambria Math"/>
                    </w:rPr>
                    <m:t>s</m:t>
                  </m:r>
                </m:e>
                <m:sub>
                  <m:sSub>
                    <m:sSubPr>
                      <m:ctrlPr>
                        <w:rPr>
                          <w:rFonts w:ascii="Cambria Math" w:hAnsi="Cambria Math"/>
                          <w:i/>
                        </w:rPr>
                      </m:ctrlPr>
                    </m:sSubPr>
                    <m:e>
                      <m:r>
                        <w:rPr>
                          <w:rFonts w:ascii="Cambria Math" w:hAnsi="Cambria Math"/>
                        </w:rPr>
                        <m:t>x</m:t>
                      </m:r>
                    </m:e>
                    <m:sub>
                      <m:r>
                        <w:rPr>
                          <w:rFonts w:ascii="Cambria Math" w:hAnsi="Cambria Math"/>
                        </w:rPr>
                        <m:t>2</m:t>
                      </m:r>
                    </m:sub>
                  </m:sSub>
                </m:sub>
              </m:sSub>
            </m:den>
          </m:f>
          <m:r>
            <w:rPr>
              <w:rFonts w:ascii="Cambria Math" w:hAnsi="Cambria Math"/>
            </w:rPr>
            <m:t xml:space="preserve"> </m:t>
          </m:r>
        </m:oMath>
      </m:oMathPara>
    </w:p>
    <w:p w14:paraId="6F992DFC" w14:textId="3F9C9C84" w:rsidR="00BF2B8D" w:rsidRDefault="00535177" w:rsidP="00535177">
      <w:pPr>
        <w:spacing w:line="480" w:lineRule="auto"/>
        <w:rPr>
          <w:rFonts w:eastAsiaTheme="minorEastAsia"/>
        </w:rPr>
      </w:pPr>
      <w:r w:rsidRPr="00535177">
        <w:t xml:space="preserve">where </w:t>
      </w:r>
      <m:oMath>
        <m:sSub>
          <m:sSubPr>
            <m:ctrlPr>
              <w:rPr>
                <w:rFonts w:ascii="Cambria Math" w:hAnsi="Cambria Math"/>
                <w:i/>
              </w:rPr>
            </m:ctrlPr>
          </m:sSubPr>
          <m:e>
            <m:acc>
              <m:accPr>
                <m:ctrlPr>
                  <w:rPr>
                    <w:rFonts w:ascii="Cambria Math" w:hAnsi="Cambria Math"/>
                    <w:i/>
                  </w:rPr>
                </m:ctrlPr>
              </m:accPr>
              <m:e>
                <m:r>
                  <w:rPr>
                    <w:rFonts w:ascii="Cambria Math" w:hAnsi="Cambria Math"/>
                  </w:rPr>
                  <m:t>r</m:t>
                </m:r>
              </m:e>
            </m:acc>
          </m:e>
          <m:sub>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2</m:t>
                </m:r>
              </m:sub>
            </m:sSub>
          </m:sub>
        </m:sSub>
      </m:oMath>
      <w:r>
        <w:rPr>
          <w:rFonts w:eastAsiaTheme="minorEastAsia"/>
        </w:rPr>
        <w:t xml:space="preserve"> is the model-implied correlation between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s</m:t>
            </m:r>
          </m:e>
          <m: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s</m:t>
            </m:r>
          </m:e>
          <m: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sub>
        </m:sSub>
      </m:oMath>
      <w:r>
        <w:rPr>
          <w:rFonts w:eastAsiaTheme="minorEastAsia"/>
        </w:rPr>
        <w:t xml:space="preserve"> are the standard deviations of the two variables. </w:t>
      </w:r>
      <w:r w:rsidR="00EB4AD3">
        <w:rPr>
          <w:rFonts w:eastAsiaTheme="minorEastAsia"/>
        </w:rPr>
        <w:t>One can then estimate the intercept using basic algebra:</w:t>
      </w:r>
    </w:p>
    <w:p w14:paraId="762D489E" w14:textId="3D971BB8" w:rsidR="00EB4AD3" w:rsidRPr="00535177" w:rsidRDefault="007E47F6" w:rsidP="00EB4AD3">
      <w:pPr>
        <w:spacing w:line="480" w:lineRule="auto"/>
        <w:jc w:val="center"/>
      </w:pPr>
      <m:oMathPara>
        <m:oMath>
          <m:sSub>
            <m:sSubPr>
              <m:ctrlPr>
                <w:rPr>
                  <w:rFonts w:ascii="Cambria Math" w:hAnsi="Cambria Math"/>
                  <w:i/>
                </w:rPr>
              </m:ctrlPr>
            </m:sSubPr>
            <m:e>
              <m:r>
                <w:rPr>
                  <w:rFonts w:ascii="Cambria Math" w:hAnsi="Cambria Math"/>
                </w:rPr>
                <m:t>b</m:t>
              </m:r>
            </m:e>
            <m:sub>
              <m:r>
                <w:rPr>
                  <w:rFonts w:ascii="Cambria Math" w:hAnsi="Cambria Math"/>
                </w:rPr>
                <m:t>0</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1</m:t>
                  </m:r>
                </m:sub>
              </m:sSub>
            </m:e>
          </m:acc>
          <m:r>
            <w:rPr>
              <w:rFonts w:ascii="Cambria Math" w:hAnsi="Cambria Math"/>
            </w:rPr>
            <m:t>-</m:t>
          </m:r>
          <m:sSub>
            <m:sSubPr>
              <m:ctrlPr>
                <w:rPr>
                  <w:rFonts w:ascii="Cambria Math" w:hAnsi="Cambria Math"/>
                  <w:i/>
                </w:rPr>
              </m:ctrlPr>
            </m:sSubPr>
            <m:e>
              <m:r>
                <w:rPr>
                  <w:rFonts w:ascii="Cambria Math" w:hAnsi="Cambria Math"/>
                </w:rPr>
                <m:t>β</m:t>
              </m:r>
            </m:e>
            <m:sub>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2</m:t>
                  </m:r>
                </m:sub>
              </m:sSub>
            </m:sub>
          </m:sSub>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2</m:t>
              </m:r>
            </m:sub>
          </m:sSub>
        </m:oMath>
      </m:oMathPara>
    </w:p>
    <w:p w14:paraId="3FE89C55" w14:textId="77777777" w:rsidR="00EB4AD3" w:rsidRDefault="00EB4AD3" w:rsidP="008B33B7">
      <w:pPr>
        <w:rPr>
          <w:b/>
        </w:rPr>
      </w:pPr>
    </w:p>
    <w:p w14:paraId="0C6F16D7" w14:textId="0CEAC454" w:rsidR="00D7521F" w:rsidRPr="00D7521F" w:rsidRDefault="00D7521F" w:rsidP="00D7521F">
      <w:pPr>
        <w:spacing w:line="480" w:lineRule="auto"/>
      </w:pPr>
      <w:r>
        <w:fldChar w:fldCharType="begin"/>
      </w:r>
      <w:r>
        <w:instrText xml:space="preserve"> REF _Ref48117672 \h  \* MERGEFORMAT </w:instrText>
      </w:r>
      <w:r>
        <w:fldChar w:fldCharType="separate"/>
      </w:r>
      <w:r>
        <w:t xml:space="preserve">Figure </w:t>
      </w:r>
      <w:r>
        <w:rPr>
          <w:noProof/>
        </w:rPr>
        <w:t>2</w:t>
      </w:r>
      <w:r>
        <w:fldChar w:fldCharType="end"/>
      </w:r>
      <w:r>
        <w:t xml:space="preserve"> </w:t>
      </w:r>
      <w:r w:rsidRPr="00D7521F">
        <w:t>shows</w:t>
      </w:r>
      <w:r>
        <w:t xml:space="preserve"> the LVM model-implied fit in red with a regression line in blue for simulated data. Because the regression line minimizes the sum of squared errors, we would hope that the LVM fitted line (red) closely approximate the regression line. In this case, the two overlap quite extensively. On the other hand, if the two lines differ, we can be certain the LVM fails to capture the entire relationship between the two observed variables. </w:t>
      </w:r>
    </w:p>
    <w:p w14:paraId="54AD57BB" w14:textId="77777777" w:rsidR="00D7521F" w:rsidRDefault="00D7521F" w:rsidP="008B33B7">
      <w:pPr>
        <w:rPr>
          <w:b/>
        </w:rPr>
      </w:pPr>
    </w:p>
    <w:p w14:paraId="23DDCE7B" w14:textId="77777777" w:rsidR="00D7521F" w:rsidRDefault="00D7521F" w:rsidP="00D7521F">
      <w:pPr>
        <w:keepNext/>
        <w:jc w:val="center"/>
      </w:pPr>
      <w:r w:rsidRPr="00D7521F">
        <w:rPr>
          <w:b/>
          <w:noProof/>
        </w:rPr>
        <w:lastRenderedPageBreak/>
        <w:drawing>
          <wp:inline distT="0" distB="0" distL="0" distR="0" wp14:anchorId="3B4BD242" wp14:editId="5954EAB5">
            <wp:extent cx="2915216" cy="2104361"/>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16056" cy="2104967"/>
                    </a:xfrm>
                    <a:prstGeom prst="rect">
                      <a:avLst/>
                    </a:prstGeom>
                  </pic:spPr>
                </pic:pic>
              </a:graphicData>
            </a:graphic>
          </wp:inline>
        </w:drawing>
      </w:r>
    </w:p>
    <w:p w14:paraId="6DEAE42E" w14:textId="0D236F54" w:rsidR="008B33B7" w:rsidRPr="00B06166" w:rsidRDefault="00D7521F" w:rsidP="00D7521F">
      <w:pPr>
        <w:pStyle w:val="Caption"/>
        <w:jc w:val="center"/>
        <w:rPr>
          <w:b/>
        </w:rPr>
      </w:pPr>
      <w:bookmarkStart w:id="4" w:name="_Ref48117672"/>
      <w:r>
        <w:t xml:space="preserve">Figure </w:t>
      </w:r>
      <w:r w:rsidR="00413B90">
        <w:fldChar w:fldCharType="begin"/>
      </w:r>
      <w:r w:rsidR="00413B90">
        <w:instrText xml:space="preserve"> SEQ Figure \* ARABIC </w:instrText>
      </w:r>
      <w:r w:rsidR="00413B90">
        <w:fldChar w:fldCharType="separate"/>
      </w:r>
      <w:r w:rsidR="00EA0BCE">
        <w:rPr>
          <w:noProof/>
        </w:rPr>
        <w:t>2</w:t>
      </w:r>
      <w:r w:rsidR="00413B90">
        <w:rPr>
          <w:noProof/>
        </w:rPr>
        <w:fldChar w:fldCharType="end"/>
      </w:r>
      <w:bookmarkEnd w:id="4"/>
      <w:r>
        <w:t xml:space="preserve">: The LVM-implied fit between X1 and X2, shown in red. The blue line represents the regression line between the two variables. The more closely the </w:t>
      </w:r>
      <w:r w:rsidRPr="0086464E">
        <w:t xml:space="preserve">model-implied fit line </w:t>
      </w:r>
      <w:r>
        <w:t xml:space="preserve">resembles the </w:t>
      </w:r>
      <w:proofErr w:type="spellStart"/>
      <w:r>
        <w:t>regresson</w:t>
      </w:r>
      <w:proofErr w:type="spellEnd"/>
      <w:r>
        <w:t xml:space="preserve"> line, the better the fit of the LVM.</w:t>
      </w:r>
    </w:p>
    <w:p w14:paraId="29403D90" w14:textId="43D83B3A" w:rsidR="00D257B3" w:rsidRDefault="000F79B8" w:rsidP="000F79B8">
      <w:pPr>
        <w:spacing w:line="480" w:lineRule="auto"/>
        <w:ind w:firstLine="360"/>
      </w:pPr>
      <w:r>
        <w:t xml:space="preserve">Of course, </w:t>
      </w:r>
      <w:r>
        <w:fldChar w:fldCharType="begin"/>
      </w:r>
      <w:r>
        <w:instrText xml:space="preserve"> REF _Ref48117672 \h  \* MERGEFORMAT </w:instrText>
      </w:r>
      <w:r>
        <w:fldChar w:fldCharType="separate"/>
      </w:r>
      <w:r>
        <w:t>Figure 2</w:t>
      </w:r>
      <w:r>
        <w:fldChar w:fldCharType="end"/>
      </w:r>
      <w:r>
        <w:t xml:space="preserve"> only shows </w:t>
      </w:r>
      <w:r w:rsidRPr="000F79B8">
        <w:t xml:space="preserve">one </w:t>
      </w:r>
      <w:r>
        <w:t>pairwise relationship between variables. If we wished to visualize all the variables in our model, we would have to utilize a scatterplot matrix</w:t>
      </w:r>
      <w:r w:rsidR="005657EF">
        <w:t>, as in</w:t>
      </w:r>
      <w:r w:rsidR="00E00CFA">
        <w:t xml:space="preserve"> </w:t>
      </w:r>
      <w:r w:rsidR="005657EF">
        <w:fldChar w:fldCharType="begin"/>
      </w:r>
      <w:r w:rsidR="005657EF">
        <w:instrText xml:space="preserve"> REF _Ref48118138 \h </w:instrText>
      </w:r>
      <w:r w:rsidR="005657EF">
        <w:fldChar w:fldCharType="separate"/>
      </w:r>
      <w:r w:rsidR="005657EF">
        <w:t xml:space="preserve">Figure </w:t>
      </w:r>
      <w:r w:rsidR="005657EF">
        <w:rPr>
          <w:noProof/>
        </w:rPr>
        <w:t>3</w:t>
      </w:r>
      <w:r w:rsidR="005657EF">
        <w:fldChar w:fldCharType="end"/>
      </w:r>
      <w:r>
        <w:t>.</w:t>
      </w:r>
      <w:r w:rsidR="005657EF">
        <w:t xml:space="preserve"> </w:t>
      </w:r>
      <w:r w:rsidR="00164074">
        <w:t xml:space="preserve">Naturally, this becomes quite cumbersome when users have more than seven or eight variables. In this case, it is best to visualize only a subset of variables. We will later discuss strategies for how best to select appropriate subsets. </w:t>
      </w:r>
    </w:p>
    <w:p w14:paraId="34A7E5CA" w14:textId="77777777" w:rsidR="005657EF" w:rsidRDefault="005657EF" w:rsidP="00C95E76">
      <w:pPr>
        <w:keepNext/>
        <w:jc w:val="center"/>
      </w:pPr>
      <w:r>
        <w:fldChar w:fldCharType="begin"/>
      </w:r>
      <w:r>
        <w:instrText xml:space="preserve"> INCLUDEPICTURE "https://github.com/dustinfife/flexplavaan/raw/master/README_files/figure-html/third-1.png" \* MERGEFORMATINET </w:instrText>
      </w:r>
      <w:r>
        <w:fldChar w:fldCharType="separate"/>
      </w:r>
      <w:r>
        <w:rPr>
          <w:noProof/>
        </w:rPr>
        <w:drawing>
          <wp:inline distT="0" distB="0" distL="0" distR="0" wp14:anchorId="3E87565C" wp14:editId="3721C8C3">
            <wp:extent cx="4731764" cy="3376943"/>
            <wp:effectExtent l="0" t="0" r="5715" b="1270"/>
            <wp:docPr id="3" name="Picture 3" descr="Scatterplot matrix of the indicator variables. As before, the red line shows the implied fit between the two variables and the blue line shows the actual fitted relationship (measured via loess line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atterplot matrix of the indicator variables. As before, the red line shows the implied fit between the two variables and the blue line shows the actual fitted relationship (measured via loess lines). "/>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37843" cy="3381282"/>
                    </a:xfrm>
                    <a:prstGeom prst="rect">
                      <a:avLst/>
                    </a:prstGeom>
                    <a:noFill/>
                    <a:ln>
                      <a:noFill/>
                    </a:ln>
                  </pic:spPr>
                </pic:pic>
              </a:graphicData>
            </a:graphic>
          </wp:inline>
        </w:drawing>
      </w:r>
      <w:r>
        <w:fldChar w:fldCharType="end"/>
      </w:r>
    </w:p>
    <w:p w14:paraId="6908E681" w14:textId="73349DDA" w:rsidR="005657EF" w:rsidRDefault="005657EF" w:rsidP="005657EF">
      <w:pPr>
        <w:pStyle w:val="Caption"/>
      </w:pPr>
      <w:bookmarkStart w:id="5" w:name="_Ref48118138"/>
      <w:r>
        <w:t xml:space="preserve">Figure </w:t>
      </w:r>
      <w:r w:rsidR="00413B90">
        <w:fldChar w:fldCharType="begin"/>
      </w:r>
      <w:r w:rsidR="00413B90">
        <w:instrText xml:space="preserve"> SEQ Figure \* ARABIC </w:instrText>
      </w:r>
      <w:r w:rsidR="00413B90">
        <w:fldChar w:fldCharType="separate"/>
      </w:r>
      <w:r w:rsidR="00EA0BCE">
        <w:rPr>
          <w:noProof/>
        </w:rPr>
        <w:t>3</w:t>
      </w:r>
      <w:r w:rsidR="00413B90">
        <w:rPr>
          <w:noProof/>
        </w:rPr>
        <w:fldChar w:fldCharType="end"/>
      </w:r>
      <w:bookmarkEnd w:id="5"/>
      <w:r>
        <w:t>: Scatterplot matrix showing the model-implied fit (red) and regression-implied fit (blue) between three simulated indicator variables. The diagonals show the histograms.</w:t>
      </w:r>
    </w:p>
    <w:p w14:paraId="5A679C16" w14:textId="509B6E56" w:rsidR="000F79B8" w:rsidRDefault="00C95E76" w:rsidP="000F79B8">
      <w:pPr>
        <w:spacing w:line="480" w:lineRule="auto"/>
        <w:ind w:firstLine="360"/>
      </w:pPr>
      <w:r>
        <w:lastRenderedPageBreak/>
        <w:t xml:space="preserve">The advantage of trail plots is that they easily show misfit in LVMs. Misfit in measurement models reveal themselves by showing misfit between two indicators of the same variable. For example, the left plot in </w:t>
      </w:r>
      <w:bookmarkStart w:id="6" w:name="_Hlk49939952"/>
      <w:r w:rsidR="00EA0BCE">
        <w:fldChar w:fldCharType="begin"/>
      </w:r>
      <w:r w:rsidR="00EA0BCE">
        <w:instrText xml:space="preserve"> REF _Ref48120541 \h </w:instrText>
      </w:r>
      <w:r w:rsidR="00EA0BCE">
        <w:fldChar w:fldCharType="separate"/>
      </w:r>
      <w:r w:rsidR="00EA0BCE">
        <w:t xml:space="preserve">Figure </w:t>
      </w:r>
      <w:r w:rsidR="00EA0BCE">
        <w:rPr>
          <w:noProof/>
        </w:rPr>
        <w:t>4</w:t>
      </w:r>
      <w:r w:rsidR="00EA0BCE">
        <w:fldChar w:fldCharType="end"/>
      </w:r>
      <w:bookmarkEnd w:id="6"/>
      <w:r w:rsidR="00D30D81">
        <w:t xml:space="preserve"> </w:t>
      </w:r>
      <w:r>
        <w:t>shows a trail plot for a model where</w:t>
      </w:r>
      <w:r w:rsidR="001E3FE2">
        <w:t xml:space="preserve"> the user has specified a three-factor model, but the third variable (</w:t>
      </w:r>
      <m:oMath>
        <m:sSub>
          <m:sSubPr>
            <m:ctrlPr>
              <w:rPr>
                <w:rFonts w:ascii="Cambria Math" w:hAnsi="Cambria Math"/>
                <w:i/>
              </w:rPr>
            </m:ctrlPr>
          </m:sSubPr>
          <m:e>
            <m:r>
              <w:rPr>
                <w:rFonts w:ascii="Cambria Math" w:hAnsi="Cambria Math"/>
              </w:rPr>
              <m:t>X</m:t>
            </m:r>
          </m:e>
          <m:sub>
            <m:r>
              <w:rPr>
                <w:rFonts w:ascii="Cambria Math" w:hAnsi="Cambria Math"/>
              </w:rPr>
              <m:t>3</m:t>
            </m:r>
          </m:sub>
        </m:sSub>
      </m:oMath>
      <w:r w:rsidR="001E3FE2">
        <w:t xml:space="preserve">) is unrelated to the latent variable. Trail plots will reveal structural misfit by showing differences in fit between indicators of different variables. For example, the right plot shows a model where x1-x2 load onto one latent variable, x4-x5 load onto another, and x3 loads onto both; however, the specified model assumes x3 only loads onto the first model. </w:t>
      </w:r>
    </w:p>
    <w:p w14:paraId="15243C5A" w14:textId="77777777" w:rsidR="00EA0BCE" w:rsidRDefault="00EA0BCE" w:rsidP="00EA0BCE">
      <w:pPr>
        <w:keepNext/>
        <w:spacing w:line="480" w:lineRule="auto"/>
        <w:ind w:firstLine="360"/>
      </w:pPr>
      <w:r w:rsidRPr="00EA0BCE">
        <w:rPr>
          <w:noProof/>
        </w:rPr>
        <w:drawing>
          <wp:inline distT="0" distB="0" distL="0" distR="0" wp14:anchorId="2941CAD7" wp14:editId="5C0F699A">
            <wp:extent cx="4559300" cy="2438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59300" cy="2438400"/>
                    </a:xfrm>
                    <a:prstGeom prst="rect">
                      <a:avLst/>
                    </a:prstGeom>
                  </pic:spPr>
                </pic:pic>
              </a:graphicData>
            </a:graphic>
          </wp:inline>
        </w:drawing>
      </w:r>
    </w:p>
    <w:p w14:paraId="7273E2B1" w14:textId="085B0F3F" w:rsidR="00EA0BCE" w:rsidRPr="000F79B8" w:rsidRDefault="00EA0BCE" w:rsidP="00EA0BCE">
      <w:pPr>
        <w:pStyle w:val="Caption"/>
      </w:pPr>
      <w:bookmarkStart w:id="7" w:name="_Ref48120541"/>
      <w:r>
        <w:t xml:space="preserve">Figure </w:t>
      </w:r>
      <w:r w:rsidR="00413B90">
        <w:fldChar w:fldCharType="begin"/>
      </w:r>
      <w:r w:rsidR="00413B90">
        <w:instrText xml:space="preserve"> SEQ Figure \* ARABIC </w:instrText>
      </w:r>
      <w:r w:rsidR="00413B90">
        <w:fldChar w:fldCharType="separate"/>
      </w:r>
      <w:r>
        <w:rPr>
          <w:noProof/>
        </w:rPr>
        <w:t>4</w:t>
      </w:r>
      <w:r w:rsidR="00413B90">
        <w:rPr>
          <w:noProof/>
        </w:rPr>
        <w:fldChar w:fldCharType="end"/>
      </w:r>
      <w:bookmarkEnd w:id="7"/>
      <w:r>
        <w:t>: Two plots showing different types of misfit. The left plot shows measurement misfit, while the right plot shows structural misfit.</w:t>
      </w:r>
    </w:p>
    <w:p w14:paraId="1C221F22" w14:textId="465B6AA3" w:rsidR="00CA6D2D" w:rsidRPr="00B06166" w:rsidRDefault="00906B06" w:rsidP="008A363F">
      <w:pPr>
        <w:pStyle w:val="ListParagraph"/>
        <w:ind w:left="2160"/>
      </w:pPr>
      <w:r w:rsidRPr="00B06166">
        <w:tab/>
      </w:r>
    </w:p>
    <w:p w14:paraId="6411172E" w14:textId="3C16D2A5" w:rsidR="00CA6D2D" w:rsidRDefault="00CA6D2D" w:rsidP="008A363F">
      <w:pPr>
        <w:rPr>
          <w:b/>
        </w:rPr>
      </w:pPr>
      <w:r w:rsidRPr="00B06166">
        <w:rPr>
          <w:b/>
        </w:rPr>
        <w:t>Disturbance-Dependence Plots</w:t>
      </w:r>
    </w:p>
    <w:p w14:paraId="529BDF34" w14:textId="22FEC45C" w:rsidR="008A363F" w:rsidRDefault="008A363F" w:rsidP="008A363F">
      <w:pPr>
        <w:rPr>
          <w:b/>
        </w:rPr>
      </w:pPr>
      <w:r>
        <w:rPr>
          <w:b/>
        </w:rPr>
        <w:tab/>
      </w:r>
    </w:p>
    <w:p w14:paraId="546432D4" w14:textId="3BBF60F3" w:rsidR="008A363F" w:rsidRDefault="00A85546" w:rsidP="00A85546">
      <w:pPr>
        <w:spacing w:line="480" w:lineRule="auto"/>
        <w:rPr>
          <w:bCs/>
        </w:rPr>
      </w:pPr>
      <w:r w:rsidRPr="00A85546">
        <w:rPr>
          <w:bCs/>
        </w:rPr>
        <w:tab/>
      </w:r>
      <w:r w:rsidRPr="00A85546">
        <w:t>One common technique for visualizing the adequacy of statistical models in classic regression is residual-dependence plots.</w:t>
      </w:r>
      <w:r>
        <w:rPr>
          <w:bCs/>
        </w:rPr>
        <w:t xml:space="preserve"> With these graphics, one simply plots the residuals of the model (</w:t>
      </w:r>
      <w:r w:rsidRPr="00E42FEB">
        <w:rPr>
          <w:bCs/>
          <w:i/>
          <w:iCs/>
        </w:rPr>
        <w:t>Y</w:t>
      </w:r>
      <w:r>
        <w:rPr>
          <w:bCs/>
        </w:rPr>
        <w:t xml:space="preserve"> axis) against the predicted values (</w:t>
      </w:r>
      <w:r w:rsidRPr="00E42FEB">
        <w:rPr>
          <w:bCs/>
          <w:i/>
          <w:iCs/>
        </w:rPr>
        <w:t>X</w:t>
      </w:r>
      <w:r>
        <w:rPr>
          <w:bCs/>
        </w:rPr>
        <w:t xml:space="preserve"> axis). The rationale behind this is simple: the model </w:t>
      </w:r>
      <w:r>
        <w:rPr>
          <w:bCs/>
          <w:i/>
          <w:iCs/>
        </w:rPr>
        <w:t xml:space="preserve">should </w:t>
      </w:r>
      <w:r>
        <w:rPr>
          <w:bCs/>
        </w:rPr>
        <w:t xml:space="preserve">have extracted any association between the prediction and the outcome. The residuals represent the remaining information after extracting the signal from the model. If there </w:t>
      </w:r>
      <w:r>
        <w:rPr>
          <w:bCs/>
        </w:rPr>
        <w:lastRenderedPageBreak/>
        <w:t>is a clear trend remaining in the data (e.g., a nonlinear pattern or a “megaphone” shape in the residuals), this indicates the model failed to capture important information.</w:t>
      </w:r>
    </w:p>
    <w:p w14:paraId="37F72ADC" w14:textId="3D587134" w:rsidR="00A85546" w:rsidRDefault="00A85546" w:rsidP="00A85546">
      <w:pPr>
        <w:spacing w:line="480" w:lineRule="auto"/>
        <w:rPr>
          <w:bCs/>
        </w:rPr>
      </w:pPr>
      <w:r>
        <w:rPr>
          <w:bCs/>
        </w:rPr>
        <w:tab/>
        <w:t>Likewise, in LVMs, we can apply this same idea to determine whether the fit implied by the LVM has successfully extracted any association between any pair of predictors. However, in LVMs, residuals refer to the discrepancy between the model-implied and the actual variance/covariance matrix (or correlation matrix). As such, naming these plots “residual-dependence plots” would be a misnomer. Rather, misfit at the raw data level is typically called a disturbance</w:t>
      </w:r>
      <w:r>
        <w:rPr>
          <w:rStyle w:val="FootnoteReference"/>
          <w:bCs/>
        </w:rPr>
        <w:footnoteReference w:id="1"/>
      </w:r>
      <w:r>
        <w:rPr>
          <w:bCs/>
        </w:rPr>
        <w:t>. As such, we call these plots disturbance-dependence plots.</w:t>
      </w:r>
    </w:p>
    <w:p w14:paraId="3B2F43F5" w14:textId="779D188C" w:rsidR="00A85546" w:rsidRDefault="00A85546" w:rsidP="00E42FEB">
      <w:pPr>
        <w:pStyle w:val="NormalWeb"/>
        <w:spacing w:line="480" w:lineRule="auto"/>
        <w:rPr>
          <w:bCs/>
        </w:rPr>
      </w:pPr>
      <w:r>
        <w:rPr>
          <w:bCs/>
        </w:rPr>
        <w:tab/>
        <w:t xml:space="preserve">Like trace plots, we visualize disturbance-dependence plots for each pair of observed variables. To do so, </w:t>
      </w:r>
      <w:proofErr w:type="spellStart"/>
      <w:r w:rsidR="00E95A62">
        <w:rPr>
          <w:rStyle w:val="HTMLCode"/>
        </w:rPr>
        <w:t>flexplavaan</w:t>
      </w:r>
      <w:proofErr w:type="spellEnd"/>
      <w:r>
        <w:rPr>
          <w:bCs/>
        </w:rPr>
        <w:t xml:space="preserve"> subtracts the fit implied by the trace plots from the observed scores. For example, a disturbance dependence plot for an </w:t>
      </w:r>
      <w:r w:rsidR="00E42FEB" w:rsidRPr="00E42FEB">
        <w:rPr>
          <w:bCs/>
          <w:i/>
          <w:iCs/>
        </w:rPr>
        <w:t>X</w:t>
      </w:r>
      <w:r w:rsidR="00E42FEB" w:rsidRPr="00E42FEB">
        <w:rPr>
          <w:bCs/>
          <w:vertAlign w:val="subscript"/>
        </w:rPr>
        <w:t>1</w:t>
      </w:r>
      <w:r w:rsidR="00E42FEB" w:rsidRPr="00E42FEB">
        <w:rPr>
          <w:bCs/>
        </w:rPr>
        <w:t>/</w:t>
      </w:r>
      <w:r w:rsidR="00E42FEB" w:rsidRPr="00E42FEB">
        <w:rPr>
          <w:bCs/>
          <w:i/>
          <w:iCs/>
        </w:rPr>
        <w:t>X</w:t>
      </w:r>
      <w:r w:rsidR="00E42FEB" w:rsidRPr="00E42FEB">
        <w:rPr>
          <w:bCs/>
          <w:vertAlign w:val="subscript"/>
        </w:rPr>
        <w:t>2</w:t>
      </w:r>
      <w:r>
        <w:rPr>
          <w:bCs/>
        </w:rPr>
        <w:t xml:space="preserve"> relationship would subtract the “fit” </w:t>
      </w:r>
      <w:r w:rsidR="00E42FEB" w:rsidRPr="00E42FEB">
        <w:rPr>
          <w:bCs/>
        </w:rPr>
        <w:t xml:space="preserve">of </w:t>
      </w:r>
      <w:r w:rsidR="00E42FEB" w:rsidRPr="00E42FEB">
        <w:rPr>
          <w:bCs/>
          <w:i/>
          <w:iCs/>
        </w:rPr>
        <w:t>X</w:t>
      </w:r>
      <w:r w:rsidR="00E42FEB" w:rsidRPr="00E42FEB">
        <w:rPr>
          <w:bCs/>
          <w:vertAlign w:val="subscript"/>
        </w:rPr>
        <w:t>2</w:t>
      </w:r>
      <w:r w:rsidR="00E42FEB" w:rsidRPr="00E42FEB">
        <w:rPr>
          <w:bCs/>
        </w:rPr>
        <w:t xml:space="preserve"> implied by the trace plot from the actual </w:t>
      </w:r>
      <w:r w:rsidR="00E42FEB" w:rsidRPr="00E42FEB">
        <w:rPr>
          <w:bCs/>
          <w:i/>
          <w:iCs/>
        </w:rPr>
        <w:t>X</w:t>
      </w:r>
      <w:r w:rsidR="00E42FEB" w:rsidRPr="00E42FEB">
        <w:rPr>
          <w:bCs/>
          <w:vertAlign w:val="subscript"/>
        </w:rPr>
        <w:t>2</w:t>
      </w:r>
      <w:r w:rsidR="00E42FEB" w:rsidRPr="00E42FEB">
        <w:rPr>
          <w:bCs/>
        </w:rPr>
        <w:t xml:space="preserve"> scores (and vice versa for the </w:t>
      </w:r>
      <w:r w:rsidR="00E42FEB" w:rsidRPr="00E42FEB">
        <w:rPr>
          <w:bCs/>
          <w:i/>
          <w:iCs/>
        </w:rPr>
        <w:t>X</w:t>
      </w:r>
      <w:r w:rsidR="00E42FEB" w:rsidRPr="00E42FEB">
        <w:rPr>
          <w:bCs/>
          <w:vertAlign w:val="subscript"/>
        </w:rPr>
        <w:t>2</w:t>
      </w:r>
      <w:r w:rsidR="00E42FEB" w:rsidRPr="00E42FEB">
        <w:rPr>
          <w:bCs/>
        </w:rPr>
        <w:t>/</w:t>
      </w:r>
      <w:r w:rsidR="00E42FEB" w:rsidRPr="00E42FEB">
        <w:rPr>
          <w:bCs/>
          <w:i/>
          <w:iCs/>
        </w:rPr>
        <w:t>X</w:t>
      </w:r>
      <w:r w:rsidR="00E42FEB" w:rsidRPr="00E42FEB">
        <w:rPr>
          <w:bCs/>
          <w:vertAlign w:val="subscript"/>
        </w:rPr>
        <w:t>1</w:t>
      </w:r>
      <w:r w:rsidR="00E42FEB" w:rsidRPr="00E42FEB">
        <w:rPr>
          <w:bCs/>
        </w:rPr>
        <w:t xml:space="preserve"> relationship).</w:t>
      </w:r>
      <w:r w:rsidR="00E42FEB">
        <w:rPr>
          <w:bCs/>
        </w:rPr>
        <w:t xml:space="preserve"> </w:t>
      </w:r>
      <w:r w:rsidR="00D12ADB">
        <w:rPr>
          <w:bCs/>
        </w:rPr>
        <w:t xml:space="preserve">If the trace-plot fit actually extracts all association between the pair of observed variables, we would expect to see a scatterplot that shows no remaining association between the two. If there is a pattern in the scatterplot remaining, we know the fit of the model misses important information about that specific relationship. </w:t>
      </w:r>
      <w:r w:rsidR="00327E75">
        <w:rPr>
          <w:bCs/>
        </w:rPr>
        <w:t xml:space="preserve">To aid in interpreting these plots, we can overlay the plot with a flat line (with a slope of zero), as well as a regression (or loess) line. The first line indicates what signal </w:t>
      </w:r>
      <w:r w:rsidR="00327E75">
        <w:rPr>
          <w:bCs/>
          <w:i/>
          <w:iCs/>
        </w:rPr>
        <w:t xml:space="preserve">should </w:t>
      </w:r>
      <w:r w:rsidR="00327E75">
        <w:rPr>
          <w:bCs/>
        </w:rPr>
        <w:t xml:space="preserve">remain after fitting the model, while the second line shows what </w:t>
      </w:r>
      <w:r w:rsidR="00327E75">
        <w:rPr>
          <w:bCs/>
          <w:i/>
          <w:iCs/>
        </w:rPr>
        <w:t xml:space="preserve">actually </w:t>
      </w:r>
      <w:r w:rsidR="00327E75">
        <w:rPr>
          <w:bCs/>
        </w:rPr>
        <w:t xml:space="preserve">remains. </w:t>
      </w:r>
    </w:p>
    <w:p w14:paraId="04B44443" w14:textId="3C599191" w:rsidR="00327E75" w:rsidRDefault="00327E75" w:rsidP="00327E75">
      <w:pPr>
        <w:pStyle w:val="NormalWeb"/>
        <w:spacing w:line="480" w:lineRule="auto"/>
        <w:ind w:firstLine="720"/>
      </w:pPr>
      <w:r>
        <w:rPr>
          <w:bCs/>
        </w:rPr>
        <w:lastRenderedPageBreak/>
        <w:t xml:space="preserve">Figure xx shows an example of trace plots in the upper triangle and disturbance-dependence plots in the lower triangle of a scatterplot matrix. </w:t>
      </w:r>
      <w:r w:rsidR="00D30D81">
        <w:rPr>
          <w:bCs/>
        </w:rPr>
        <w:t xml:space="preserve">These plots are for the same data shown in the right image of </w:t>
      </w:r>
      <w:r w:rsidR="00D30D81">
        <w:fldChar w:fldCharType="begin"/>
      </w:r>
      <w:r w:rsidR="00D30D81">
        <w:instrText xml:space="preserve"> REF _Ref48120541 \h </w:instrText>
      </w:r>
      <w:r w:rsidR="00D30D81">
        <w:fldChar w:fldCharType="separate"/>
      </w:r>
      <w:r w:rsidR="00D30D81">
        <w:t xml:space="preserve">Figure </w:t>
      </w:r>
      <w:r w:rsidR="00D30D81">
        <w:rPr>
          <w:noProof/>
        </w:rPr>
        <w:t>4</w:t>
      </w:r>
      <w:r w:rsidR="00D30D81">
        <w:fldChar w:fldCharType="end"/>
      </w:r>
      <w:r w:rsidR="00D30D81">
        <w:t>. Notice how ….</w:t>
      </w:r>
    </w:p>
    <w:p w14:paraId="10B1CA43" w14:textId="15641F7D" w:rsidR="009757B8" w:rsidRPr="00B06166" w:rsidRDefault="009C3CCD" w:rsidP="00FA5A5A">
      <w:pPr>
        <w:pStyle w:val="NormalWeb"/>
        <w:spacing w:line="480" w:lineRule="auto"/>
        <w:ind w:firstLine="720"/>
      </w:pPr>
      <w:r>
        <w:t xml:space="preserve">Together, both of these plots (trace plots and diagnostic-dependence plots) serve as a critical diagnostic check. Both these plots will signal misfit both in the measurement and structural components of the model. Conversely, these models will also help users determine whether the model is to be believed. If they show the model adequately fits the data, the user can then proceed to plot two different types of plots: measurement plots and structural plots. </w:t>
      </w:r>
    </w:p>
    <w:p w14:paraId="7A6F8079" w14:textId="4BEC8903" w:rsidR="00FA5A5A" w:rsidRDefault="009757B8" w:rsidP="00FA5A5A">
      <w:pPr>
        <w:rPr>
          <w:b/>
        </w:rPr>
      </w:pPr>
      <w:r w:rsidRPr="00B06166">
        <w:rPr>
          <w:b/>
        </w:rPr>
        <w:t>Measurement Plots</w:t>
      </w:r>
    </w:p>
    <w:p w14:paraId="089F0374" w14:textId="7348A22E" w:rsidR="00FA5A5A" w:rsidRDefault="00FA5A5A" w:rsidP="00FA5A5A">
      <w:pPr>
        <w:pStyle w:val="NormalWeb"/>
        <w:spacing w:line="480" w:lineRule="auto"/>
        <w:ind w:firstLine="720"/>
      </w:pPr>
      <w:r w:rsidRPr="00FA5A5A">
        <w:t xml:space="preserve">One of the primary purposes of the diagnostics is to determine whether </w:t>
      </w:r>
      <w:r>
        <w:t>one’s conceptualization of the latent variables</w:t>
      </w:r>
      <w:r w:rsidRPr="00FA5A5A">
        <w:t xml:space="preserve"> is to be believed</w:t>
      </w:r>
      <w:r>
        <w:t>. If the trace plots and disturbance dependence plots</w:t>
      </w:r>
      <w:r w:rsidR="00C839CE">
        <w:t xml:space="preserve"> indicate the LVM is a good representation of the data, one can be more confident the latent variables are properly estimated. If this is the case, we can now make a step toward visualizing the latent variables themselves. </w:t>
      </w:r>
    </w:p>
    <w:p w14:paraId="4482BFBD" w14:textId="716C4476" w:rsidR="00C839CE" w:rsidRDefault="00C839CE" w:rsidP="00FA5A5A">
      <w:pPr>
        <w:pStyle w:val="NormalWeb"/>
        <w:spacing w:line="480" w:lineRule="auto"/>
        <w:ind w:firstLine="720"/>
      </w:pPr>
      <w:r>
        <w:t xml:space="preserve">The approach we suggest is to plot the factor scores on the $Y$ axis and the observed scores on the $X$ axis. Naturally, this means one could really only visualize one indicator at a time, which is a serious limitation for most (if not all) latent variable models. To overcome this problem, we recommend paneling each indicator, as in Figure xxx. Notice each variable is converted to z-scores to make it easier to compare the observed/latent relationship across indicators. </w:t>
      </w:r>
    </w:p>
    <w:p w14:paraId="618B477F" w14:textId="6CF658D7" w:rsidR="00C839CE" w:rsidRPr="00FA5A5A" w:rsidRDefault="00C839CE" w:rsidP="00FA5A5A">
      <w:pPr>
        <w:pStyle w:val="NormalWeb"/>
        <w:spacing w:line="480" w:lineRule="auto"/>
        <w:ind w:firstLine="720"/>
        <w:rPr>
          <w:bCs/>
        </w:rPr>
      </w:pPr>
      <w:r>
        <w:t xml:space="preserve">Another alteration from a standard scatterplot is the use of </w:t>
      </w:r>
      <w:commentRangeStart w:id="8"/>
      <w:r>
        <w:t>color gradients</w:t>
      </w:r>
      <w:commentRangeEnd w:id="8"/>
      <w:r>
        <w:rPr>
          <w:rStyle w:val="CommentReference"/>
          <w:rFonts w:eastAsiaTheme="minorHAnsi"/>
        </w:rPr>
        <w:commentReference w:id="8"/>
      </w:r>
      <w:r>
        <w:t xml:space="preserve">.  </w:t>
      </w:r>
    </w:p>
    <w:p w14:paraId="659E0D73" w14:textId="557418FF" w:rsidR="009757B8" w:rsidRPr="00B06166" w:rsidRDefault="009757B8" w:rsidP="009757B8">
      <w:pPr>
        <w:pStyle w:val="ListParagraph"/>
        <w:numPr>
          <w:ilvl w:val="0"/>
          <w:numId w:val="3"/>
        </w:numPr>
      </w:pPr>
      <w:r w:rsidRPr="00B06166">
        <w:lastRenderedPageBreak/>
        <w:t>Diagnostics tells us whether the</w:t>
      </w:r>
      <w:r w:rsidR="004B4A9E" w:rsidRPr="00B06166">
        <w:t xml:space="preserve"> estimated</w:t>
      </w:r>
      <w:r w:rsidR="00313F3E" w:rsidRPr="00B06166">
        <w:t xml:space="preserve"> </w:t>
      </w:r>
      <w:r w:rsidRPr="00B06166">
        <w:t>factor scores can be believed</w:t>
      </w:r>
    </w:p>
    <w:p w14:paraId="7B76E8C3" w14:textId="77777777" w:rsidR="009757B8" w:rsidRPr="00B06166" w:rsidRDefault="009757B8" w:rsidP="009757B8">
      <w:pPr>
        <w:pStyle w:val="ListParagraph"/>
        <w:numPr>
          <w:ilvl w:val="0"/>
          <w:numId w:val="3"/>
        </w:numPr>
      </w:pPr>
      <w:r w:rsidRPr="00B06166">
        <w:t>If they are to be believed, we can then develop visuals for the measurement model</w:t>
      </w:r>
    </w:p>
    <w:p w14:paraId="1BCC87F0" w14:textId="77777777" w:rsidR="009757B8" w:rsidRPr="00B06166" w:rsidRDefault="009757B8" w:rsidP="009757B8">
      <w:pPr>
        <w:pStyle w:val="ListParagraph"/>
        <w:numPr>
          <w:ilvl w:val="0"/>
          <w:numId w:val="3"/>
        </w:numPr>
      </w:pPr>
      <w:r w:rsidRPr="00B06166">
        <w:t>Approach</w:t>
      </w:r>
    </w:p>
    <w:p w14:paraId="1087C8D9" w14:textId="641C0250" w:rsidR="009757B8" w:rsidRPr="00B06166" w:rsidRDefault="004B4A9E" w:rsidP="009757B8">
      <w:pPr>
        <w:pStyle w:val="ListParagraph"/>
        <w:numPr>
          <w:ilvl w:val="1"/>
          <w:numId w:val="3"/>
        </w:numPr>
      </w:pPr>
      <w:r w:rsidRPr="00B06166">
        <w:t xml:space="preserve">Estimated </w:t>
      </w:r>
      <w:r w:rsidR="009757B8" w:rsidRPr="00B06166">
        <w:t>factor scores on X axis</w:t>
      </w:r>
    </w:p>
    <w:p w14:paraId="4430EB53" w14:textId="77777777" w:rsidR="009757B8" w:rsidRPr="00B06166" w:rsidRDefault="009757B8" w:rsidP="009757B8">
      <w:pPr>
        <w:pStyle w:val="ListParagraph"/>
        <w:numPr>
          <w:ilvl w:val="2"/>
          <w:numId w:val="3"/>
        </w:numPr>
      </w:pPr>
      <w:r w:rsidRPr="00B06166">
        <w:t>symbol plotted must reflect uncertainty because these are not observed scores</w:t>
      </w:r>
    </w:p>
    <w:p w14:paraId="23C0955D" w14:textId="77777777" w:rsidR="009757B8" w:rsidRPr="00B06166" w:rsidRDefault="009757B8" w:rsidP="009757B8">
      <w:pPr>
        <w:pStyle w:val="ListParagraph"/>
        <w:numPr>
          <w:ilvl w:val="2"/>
          <w:numId w:val="3"/>
        </w:numPr>
      </w:pPr>
      <w:r w:rsidRPr="00B06166">
        <w:t>we use a line that reflects the upper/lower limits of a 95% confidence or credible interval</w:t>
      </w:r>
    </w:p>
    <w:p w14:paraId="2E2ECBD4" w14:textId="77777777" w:rsidR="009757B8" w:rsidRPr="00B06166" w:rsidRDefault="009757B8" w:rsidP="009757B8">
      <w:pPr>
        <w:pStyle w:val="ListParagraph"/>
        <w:numPr>
          <w:ilvl w:val="1"/>
          <w:numId w:val="3"/>
        </w:numPr>
      </w:pPr>
      <w:r w:rsidRPr="00B06166">
        <w:t>observed scores on Y axis</w:t>
      </w:r>
    </w:p>
    <w:p w14:paraId="544E62F3" w14:textId="77777777" w:rsidR="009757B8" w:rsidRPr="00B06166" w:rsidRDefault="009757B8" w:rsidP="009757B8">
      <w:pPr>
        <w:pStyle w:val="ListParagraph"/>
        <w:numPr>
          <w:ilvl w:val="2"/>
          <w:numId w:val="3"/>
        </w:numPr>
      </w:pPr>
      <w:r w:rsidRPr="00B06166">
        <w:t>these have no height (because there’s no uncertainty about their observed scores)</w:t>
      </w:r>
    </w:p>
    <w:p w14:paraId="5E36E36F" w14:textId="77777777" w:rsidR="009757B8" w:rsidRPr="00B06166" w:rsidRDefault="009757B8" w:rsidP="009757B8">
      <w:pPr>
        <w:pStyle w:val="ListParagraph"/>
        <w:numPr>
          <w:ilvl w:val="1"/>
          <w:numId w:val="3"/>
        </w:numPr>
      </w:pPr>
      <w:r w:rsidRPr="00B06166">
        <w:t>to condense visuals, we can convert from wide to long format</w:t>
      </w:r>
    </w:p>
    <w:p w14:paraId="7AC00D63" w14:textId="77777777" w:rsidR="009757B8" w:rsidRPr="00B06166" w:rsidRDefault="009757B8" w:rsidP="009757B8">
      <w:pPr>
        <w:pStyle w:val="ListParagraph"/>
        <w:numPr>
          <w:ilvl w:val="2"/>
          <w:numId w:val="3"/>
        </w:numPr>
      </w:pPr>
      <w:r w:rsidRPr="00B06166">
        <w:t>put observed scores on the same scale</w:t>
      </w:r>
    </w:p>
    <w:p w14:paraId="34CE76AB" w14:textId="77777777" w:rsidR="009757B8" w:rsidRPr="00B06166" w:rsidRDefault="009757B8" w:rsidP="009757B8">
      <w:pPr>
        <w:pStyle w:val="ListParagraph"/>
        <w:numPr>
          <w:ilvl w:val="2"/>
          <w:numId w:val="3"/>
        </w:numPr>
      </w:pPr>
      <w:r w:rsidRPr="00B06166">
        <w:t>panel by the observed variable indicator</w:t>
      </w:r>
    </w:p>
    <w:p w14:paraId="6FAB4094" w14:textId="77777777" w:rsidR="009757B8" w:rsidRPr="00B06166" w:rsidRDefault="009757B8" w:rsidP="009757B8">
      <w:pPr>
        <w:pStyle w:val="ListParagraph"/>
        <w:numPr>
          <w:ilvl w:val="0"/>
          <w:numId w:val="3"/>
        </w:numPr>
      </w:pPr>
      <w:r w:rsidRPr="00B06166">
        <w:t>These improve encoding</w:t>
      </w:r>
    </w:p>
    <w:p w14:paraId="17D97264" w14:textId="77777777" w:rsidR="009757B8" w:rsidRPr="00B06166" w:rsidRDefault="009757B8" w:rsidP="009757B8">
      <w:pPr>
        <w:pStyle w:val="ListParagraph"/>
        <w:numPr>
          <w:ilvl w:val="1"/>
          <w:numId w:val="3"/>
        </w:numPr>
      </w:pPr>
      <w:r w:rsidRPr="00B06166">
        <w:t>make it apparent which observed variables have highest reliability</w:t>
      </w:r>
    </w:p>
    <w:p w14:paraId="0C062D4A" w14:textId="77777777" w:rsidR="009757B8" w:rsidRPr="00B06166" w:rsidRDefault="009757B8" w:rsidP="009757B8"/>
    <w:p w14:paraId="640423E2" w14:textId="77777777" w:rsidR="009757B8" w:rsidRPr="00B06166" w:rsidRDefault="009757B8" w:rsidP="009757B8">
      <w:pPr>
        <w:rPr>
          <w:b/>
        </w:rPr>
      </w:pPr>
      <w:r w:rsidRPr="00B06166">
        <w:rPr>
          <w:b/>
        </w:rPr>
        <w:t>Structural Plots</w:t>
      </w:r>
    </w:p>
    <w:p w14:paraId="0DE17131" w14:textId="77777777" w:rsidR="000007DD" w:rsidRPr="00B06166" w:rsidRDefault="009757B8" w:rsidP="009757B8">
      <w:pPr>
        <w:pStyle w:val="ListParagraph"/>
        <w:numPr>
          <w:ilvl w:val="0"/>
          <w:numId w:val="3"/>
        </w:numPr>
      </w:pPr>
      <w:r w:rsidRPr="00B06166">
        <w:t>Often in LVMs, the visuals of interest are not the observed, but the latent variables</w:t>
      </w:r>
    </w:p>
    <w:p w14:paraId="1CC02158" w14:textId="77777777" w:rsidR="009757B8" w:rsidRPr="00B06166" w:rsidRDefault="009757B8" w:rsidP="009757B8">
      <w:pPr>
        <w:pStyle w:val="ListParagraph"/>
        <w:numPr>
          <w:ilvl w:val="0"/>
          <w:numId w:val="3"/>
        </w:numPr>
      </w:pPr>
      <w:r w:rsidRPr="00B06166">
        <w:t>Measurement model is ancillary</w:t>
      </w:r>
    </w:p>
    <w:p w14:paraId="11CBFDD2" w14:textId="77777777" w:rsidR="009757B8" w:rsidRPr="00B06166" w:rsidRDefault="000F6785" w:rsidP="009757B8">
      <w:pPr>
        <w:pStyle w:val="ListParagraph"/>
        <w:numPr>
          <w:ilvl w:val="0"/>
          <w:numId w:val="3"/>
        </w:numPr>
      </w:pPr>
      <w:r w:rsidRPr="00B06166">
        <w:t xml:space="preserve">As before, we need to reflect uncertainty in the </w:t>
      </w:r>
      <w:r w:rsidR="00D71BCA" w:rsidRPr="00B06166">
        <w:t>estimate of the latent scores</w:t>
      </w:r>
    </w:p>
    <w:p w14:paraId="59D51464" w14:textId="28CEB19B" w:rsidR="00D71BCA" w:rsidRPr="00B06166" w:rsidRDefault="00D71BCA" w:rsidP="00D71BCA">
      <w:pPr>
        <w:pStyle w:val="ListParagraph"/>
        <w:numPr>
          <w:ilvl w:val="1"/>
          <w:numId w:val="3"/>
        </w:numPr>
      </w:pPr>
      <w:r w:rsidRPr="00B06166">
        <w:t xml:space="preserve">now we show our uncertainty via ellipses </w:t>
      </w:r>
    </w:p>
    <w:p w14:paraId="1C805FE0" w14:textId="1F88448F" w:rsidR="004D1BFA" w:rsidRPr="00B06166" w:rsidRDefault="004D1BFA" w:rsidP="00D71BCA">
      <w:pPr>
        <w:pStyle w:val="ListParagraph"/>
        <w:numPr>
          <w:ilvl w:val="1"/>
          <w:numId w:val="3"/>
        </w:numPr>
      </w:pPr>
      <w:r w:rsidRPr="00B06166">
        <w:t xml:space="preserve">uncertainty is estimated using prediction intervals (for frequentist LVMs) or using information from the posterior distribution (for Bayesian LVMs). </w:t>
      </w:r>
    </w:p>
    <w:p w14:paraId="5E7C1585" w14:textId="5282BBF1" w:rsidR="009757B8" w:rsidRPr="00B06166" w:rsidRDefault="00D71BCA" w:rsidP="009757B8">
      <w:pPr>
        <w:pStyle w:val="ListParagraph"/>
        <w:numPr>
          <w:ilvl w:val="0"/>
          <w:numId w:val="3"/>
        </w:numPr>
      </w:pPr>
      <w:r w:rsidRPr="00B06166">
        <w:t>Type of plot will depend on the structural relationships hypothesized</w:t>
      </w:r>
    </w:p>
    <w:p w14:paraId="7C70E197" w14:textId="3D185D3D" w:rsidR="004D1BFA" w:rsidRPr="00B06166" w:rsidRDefault="004D1BFA" w:rsidP="00867063">
      <w:pPr>
        <w:pStyle w:val="ListParagraph"/>
        <w:numPr>
          <w:ilvl w:val="1"/>
          <w:numId w:val="3"/>
        </w:numPr>
      </w:pPr>
      <w:r w:rsidRPr="00B06166">
        <w:t xml:space="preserve">e.g., scatterplot for two latent continuous variables, coplots for three latent continuous variables, </w:t>
      </w:r>
      <w:proofErr w:type="spellStart"/>
      <w:r w:rsidRPr="00B06166">
        <w:t>beeswarm</w:t>
      </w:r>
      <w:proofErr w:type="spellEnd"/>
      <w:r w:rsidRPr="00B06166">
        <w:t xml:space="preserve"> plots for a categorical versus continuous latent variable.</w:t>
      </w:r>
    </w:p>
    <w:p w14:paraId="59527D4F" w14:textId="450AF1B6" w:rsidR="00D71BCA" w:rsidRPr="00B06166" w:rsidRDefault="00D71BCA" w:rsidP="00D71BCA">
      <w:pPr>
        <w:pStyle w:val="ListParagraph"/>
        <w:numPr>
          <w:ilvl w:val="1"/>
          <w:numId w:val="3"/>
        </w:numPr>
      </w:pPr>
      <w:r w:rsidRPr="00B06166">
        <w:t xml:space="preserve">for a review, see </w:t>
      </w:r>
      <w:r w:rsidRPr="00B06166">
        <w:fldChar w:fldCharType="begin" w:fldLock="1"/>
      </w:r>
      <w:r w:rsidR="00D41E18" w:rsidRPr="00B06166">
        <w:instrText>ADDIN CSL_CITATION {"citationItems":[{"id":"ITEM-1","itemData":{"URL":"http://rpubs.com/dustinfife/528244","author":[{"dropping-particle":"","family":"Fife","given":"Dustin A.","non-dropping-particle":"","parse-names":false,"suffix":""}],"id":"ITEM-1","issued":{"date-parts":[["2019"]]},"title":"A Graphic is Worth a Thousand Test Statistics: Mapping Visuals onto Common Analyses","type":"webpage"},"uris":["http://www.mendeley.com/documents/?uuid=76c3921b-a205-4a05-a965-c1dc6bd593cb"]}],"mendeley":{"formattedCitation":"(Fife, 2019)","plainTextFormattedCitation":"(Fife, 2019)","previouslyFormattedCitation":"(Fife, 2019)"},"properties":{"noteIndex":0},"schema":"https://github.com/citation-style-language/schema/raw/master/csl-citation.json"}</w:instrText>
      </w:r>
      <w:r w:rsidRPr="00B06166">
        <w:fldChar w:fldCharType="separate"/>
      </w:r>
      <w:r w:rsidR="00E0758E" w:rsidRPr="00B06166">
        <w:rPr>
          <w:noProof/>
        </w:rPr>
        <w:t>(Fife, 2019)</w:t>
      </w:r>
      <w:r w:rsidRPr="00B06166">
        <w:fldChar w:fldCharType="end"/>
      </w:r>
    </w:p>
    <w:p w14:paraId="4C9E326A" w14:textId="77777777" w:rsidR="00D71BCA" w:rsidRPr="00B06166" w:rsidRDefault="00D71BCA" w:rsidP="00D71BCA"/>
    <w:p w14:paraId="6C00E9DE" w14:textId="77777777" w:rsidR="00D71BCA" w:rsidRPr="00B06166" w:rsidRDefault="00D71BCA" w:rsidP="00D71BCA">
      <w:pPr>
        <w:jc w:val="center"/>
        <w:rPr>
          <w:b/>
        </w:rPr>
      </w:pPr>
      <w:r w:rsidRPr="00B06166">
        <w:rPr>
          <w:b/>
        </w:rPr>
        <w:t>Nonlinear LVMs</w:t>
      </w:r>
    </w:p>
    <w:p w14:paraId="7A18CFEC" w14:textId="77777777" w:rsidR="00D71BCA" w:rsidRPr="00B06166" w:rsidRDefault="00D71BCA" w:rsidP="00D71BCA">
      <w:pPr>
        <w:rPr>
          <w:b/>
        </w:rPr>
      </w:pPr>
    </w:p>
    <w:p w14:paraId="24ED8EB1" w14:textId="77777777" w:rsidR="00D71BCA" w:rsidRPr="00B06166" w:rsidRDefault="00D71BCA" w:rsidP="00D71BCA">
      <w:pPr>
        <w:pStyle w:val="ListParagraph"/>
        <w:numPr>
          <w:ilvl w:val="0"/>
          <w:numId w:val="3"/>
        </w:numPr>
      </w:pPr>
      <w:r w:rsidRPr="00B06166">
        <w:t xml:space="preserve">diagnostic plots will work to </w:t>
      </w:r>
      <w:r w:rsidRPr="00B06166">
        <w:rPr>
          <w:i/>
        </w:rPr>
        <w:t xml:space="preserve">diagnose </w:t>
      </w:r>
      <w:r w:rsidRPr="00B06166">
        <w:t>nonlinearities</w:t>
      </w:r>
    </w:p>
    <w:p w14:paraId="4887DCD0" w14:textId="77777777" w:rsidR="00D71BCA" w:rsidRPr="00B06166" w:rsidRDefault="00D71BCA" w:rsidP="00D71BCA">
      <w:pPr>
        <w:pStyle w:val="ListParagraph"/>
        <w:numPr>
          <w:ilvl w:val="1"/>
          <w:numId w:val="3"/>
        </w:numPr>
      </w:pPr>
      <w:r w:rsidRPr="00B06166">
        <w:t>will not remedy these</w:t>
      </w:r>
    </w:p>
    <w:p w14:paraId="1F2F0077" w14:textId="77777777" w:rsidR="00D71BCA" w:rsidRPr="00B06166" w:rsidRDefault="00D71BCA" w:rsidP="00D71BCA">
      <w:pPr>
        <w:pStyle w:val="ListParagraph"/>
        <w:numPr>
          <w:ilvl w:val="0"/>
          <w:numId w:val="3"/>
        </w:numPr>
      </w:pPr>
      <w:r w:rsidRPr="00B06166">
        <w:t>to remedy nonlinearity, a different approach is needed</w:t>
      </w:r>
    </w:p>
    <w:p w14:paraId="69319418" w14:textId="77777777" w:rsidR="00D71BCA" w:rsidRPr="00B06166" w:rsidRDefault="00D71BCA" w:rsidP="00D71BCA"/>
    <w:p w14:paraId="2E0B45C5" w14:textId="77777777" w:rsidR="00D71BCA" w:rsidRPr="00B06166" w:rsidRDefault="00D71BCA" w:rsidP="00D71BCA">
      <w:pPr>
        <w:rPr>
          <w:b/>
        </w:rPr>
      </w:pPr>
      <w:r w:rsidRPr="00B06166">
        <w:rPr>
          <w:b/>
        </w:rPr>
        <w:t>Bayesian LVMs</w:t>
      </w:r>
    </w:p>
    <w:p w14:paraId="0180635F" w14:textId="77777777" w:rsidR="00D71BCA" w:rsidRPr="00B06166" w:rsidRDefault="00D71BCA" w:rsidP="00D71BCA">
      <w:pPr>
        <w:pStyle w:val="ListParagraph"/>
        <w:numPr>
          <w:ilvl w:val="0"/>
          <w:numId w:val="3"/>
        </w:numPr>
      </w:pPr>
      <w:r w:rsidRPr="00B06166">
        <w:t>linear LVMs utilize covariance algebra to model fit</w:t>
      </w:r>
    </w:p>
    <w:p w14:paraId="3570EDF5" w14:textId="77777777" w:rsidR="00D71BCA" w:rsidRPr="00B06166" w:rsidRDefault="00D71BCA" w:rsidP="00D71BCA">
      <w:pPr>
        <w:pStyle w:val="ListParagraph"/>
        <w:numPr>
          <w:ilvl w:val="0"/>
          <w:numId w:val="3"/>
        </w:numPr>
      </w:pPr>
      <w:r w:rsidRPr="00B06166">
        <w:t>Bayesian LVMs, on the other hand, use raw data</w:t>
      </w:r>
    </w:p>
    <w:p w14:paraId="48659D8E" w14:textId="77777777" w:rsidR="00D71BCA" w:rsidRPr="00B06166" w:rsidRDefault="00D71BCA" w:rsidP="00D71BCA">
      <w:pPr>
        <w:pStyle w:val="ListParagraph"/>
        <w:numPr>
          <w:ilvl w:val="0"/>
          <w:numId w:val="3"/>
        </w:numPr>
      </w:pPr>
      <w:r w:rsidRPr="00B06166">
        <w:t>relationships are specified explicitly</w:t>
      </w:r>
    </w:p>
    <w:p w14:paraId="7D5A35D0" w14:textId="77777777" w:rsidR="00D71BCA" w:rsidRPr="00B06166" w:rsidRDefault="00D71BCA" w:rsidP="00D71BCA">
      <w:pPr>
        <w:pStyle w:val="ListParagraph"/>
        <w:numPr>
          <w:ilvl w:val="1"/>
          <w:numId w:val="3"/>
        </w:numPr>
      </w:pPr>
      <w:r w:rsidRPr="00B06166">
        <w:t>as well as residual distributions</w:t>
      </w:r>
    </w:p>
    <w:p w14:paraId="08CF559E" w14:textId="77777777" w:rsidR="00D71BCA" w:rsidRPr="00B06166" w:rsidRDefault="00D71BCA" w:rsidP="00D71BCA">
      <w:pPr>
        <w:pStyle w:val="ListParagraph"/>
        <w:numPr>
          <w:ilvl w:val="0"/>
          <w:numId w:val="3"/>
        </w:numPr>
      </w:pPr>
      <w:r w:rsidRPr="00B06166">
        <w:t>Bayesian LVMs offer several advantages</w:t>
      </w:r>
    </w:p>
    <w:p w14:paraId="151434FD" w14:textId="77777777" w:rsidR="00D71BCA" w:rsidRPr="00B06166" w:rsidRDefault="00D71BCA" w:rsidP="00D71BCA">
      <w:pPr>
        <w:pStyle w:val="ListParagraph"/>
        <w:numPr>
          <w:ilvl w:val="1"/>
          <w:numId w:val="3"/>
        </w:numPr>
      </w:pPr>
      <w:r w:rsidRPr="00B06166">
        <w:t>can estimate models impossible to estimate in linear models</w:t>
      </w:r>
    </w:p>
    <w:p w14:paraId="4341964A" w14:textId="03CF97CE" w:rsidR="00D71BCA" w:rsidRPr="00B06166" w:rsidRDefault="00D71BCA" w:rsidP="00D71BCA">
      <w:pPr>
        <w:pStyle w:val="ListParagraph"/>
        <w:numPr>
          <w:ilvl w:val="1"/>
          <w:numId w:val="3"/>
        </w:numPr>
      </w:pPr>
      <w:r w:rsidRPr="00B06166">
        <w:t>more flexible</w:t>
      </w:r>
      <w:r w:rsidR="002155A6" w:rsidRPr="00B06166">
        <w:t xml:space="preserve"> (e.g., non-Gaussian latent factors specified in straightforward way)</w:t>
      </w:r>
    </w:p>
    <w:p w14:paraId="462F808E" w14:textId="77777777" w:rsidR="00D71BCA" w:rsidRPr="00B06166" w:rsidRDefault="00D71BCA" w:rsidP="00D71BCA">
      <w:pPr>
        <w:pStyle w:val="ListParagraph"/>
        <w:numPr>
          <w:ilvl w:val="1"/>
          <w:numId w:val="3"/>
        </w:numPr>
      </w:pPr>
      <w:r w:rsidRPr="00B06166">
        <w:t>allows users to augment analysis with priors</w:t>
      </w:r>
    </w:p>
    <w:p w14:paraId="2763A21A" w14:textId="440F106A" w:rsidR="00976E08" w:rsidRPr="00B06166" w:rsidRDefault="00976E08" w:rsidP="00D71BCA">
      <w:pPr>
        <w:pStyle w:val="ListParagraph"/>
        <w:numPr>
          <w:ilvl w:val="1"/>
          <w:numId w:val="3"/>
        </w:numPr>
      </w:pPr>
      <w:r w:rsidRPr="00B06166">
        <w:lastRenderedPageBreak/>
        <w:t>latent scores are estimated</w:t>
      </w:r>
      <w:r w:rsidR="004B4A9E" w:rsidRPr="00B06166">
        <w:t xml:space="preserve"> as part of the modeling procedure (not a secondary step)</w:t>
      </w:r>
    </w:p>
    <w:p w14:paraId="344E831B" w14:textId="77777777" w:rsidR="00976E08" w:rsidRPr="00B06166" w:rsidRDefault="00976E08" w:rsidP="00D71BCA">
      <w:pPr>
        <w:pStyle w:val="ListParagraph"/>
        <w:numPr>
          <w:ilvl w:val="1"/>
          <w:numId w:val="3"/>
        </w:numPr>
      </w:pPr>
      <w:r w:rsidRPr="00B06166">
        <w:t>missing data handled intuitively</w:t>
      </w:r>
    </w:p>
    <w:p w14:paraId="032F16A8" w14:textId="61EFC241" w:rsidR="004D1BFA" w:rsidRPr="00B06166" w:rsidRDefault="002155A6" w:rsidP="00D71BCA">
      <w:pPr>
        <w:pStyle w:val="ListParagraph"/>
        <w:numPr>
          <w:ilvl w:val="1"/>
          <w:numId w:val="3"/>
        </w:numPr>
      </w:pPr>
      <w:r w:rsidRPr="00B06166">
        <w:t xml:space="preserve">after computing factor scores and uncertainty intervals, can compare individual cases more readily than in frequentist </w:t>
      </w:r>
    </w:p>
    <w:p w14:paraId="43087D79" w14:textId="45FC2CBA" w:rsidR="00D71BCA" w:rsidRPr="00B06166" w:rsidRDefault="002155A6" w:rsidP="00867063">
      <w:pPr>
        <w:pStyle w:val="ListParagraph"/>
        <w:numPr>
          <w:ilvl w:val="2"/>
          <w:numId w:val="3"/>
        </w:numPr>
      </w:pPr>
      <w:r w:rsidRPr="00B06166">
        <w:t xml:space="preserve"> e.g., is France (specific case) higher on liberal democracy (latent factor) than Poland? </w:t>
      </w:r>
    </w:p>
    <w:p w14:paraId="37C25C8E" w14:textId="77777777" w:rsidR="00D71BCA" w:rsidRPr="00B06166" w:rsidRDefault="00D71BCA" w:rsidP="00D71BCA">
      <w:pPr>
        <w:pStyle w:val="ListParagraph"/>
        <w:numPr>
          <w:ilvl w:val="0"/>
          <w:numId w:val="3"/>
        </w:numPr>
      </w:pPr>
      <w:proofErr w:type="spellStart"/>
      <w:r w:rsidRPr="00B06166">
        <w:t>blavaan</w:t>
      </w:r>
      <w:proofErr w:type="spellEnd"/>
      <w:r w:rsidRPr="00B06166">
        <w:t xml:space="preserve"> provides an easy-to-use interface for Bayesian LVMs</w:t>
      </w:r>
    </w:p>
    <w:p w14:paraId="36658602" w14:textId="77777777" w:rsidR="00D71BCA" w:rsidRPr="00B06166" w:rsidRDefault="00D71BCA" w:rsidP="00D71BCA">
      <w:pPr>
        <w:pStyle w:val="ListParagraph"/>
        <w:numPr>
          <w:ilvl w:val="1"/>
          <w:numId w:val="3"/>
        </w:numPr>
      </w:pPr>
      <w:r w:rsidRPr="00B06166">
        <w:t xml:space="preserve">utilizes same syntax as </w:t>
      </w:r>
      <w:proofErr w:type="spellStart"/>
      <w:r w:rsidRPr="00B06166">
        <w:t>lavaan</w:t>
      </w:r>
      <w:proofErr w:type="spellEnd"/>
    </w:p>
    <w:p w14:paraId="6FD2CD12" w14:textId="77777777" w:rsidR="00D71BCA" w:rsidRPr="00B06166" w:rsidRDefault="00D71BCA" w:rsidP="00D71BCA">
      <w:pPr>
        <w:pStyle w:val="ListParagraph"/>
        <w:numPr>
          <w:ilvl w:val="1"/>
          <w:numId w:val="3"/>
        </w:numPr>
      </w:pPr>
      <w:r w:rsidRPr="00B06166">
        <w:t xml:space="preserve">fitted objects are </w:t>
      </w:r>
      <w:proofErr w:type="spellStart"/>
      <w:r w:rsidRPr="00B06166">
        <w:t>lavaan</w:t>
      </w:r>
      <w:proofErr w:type="spellEnd"/>
      <w:r w:rsidRPr="00B06166">
        <w:t xml:space="preserve"> objects, so same functions can be utilized for both models</w:t>
      </w:r>
    </w:p>
    <w:p w14:paraId="05121D49" w14:textId="77777777" w:rsidR="007E514F" w:rsidRPr="00B06166" w:rsidRDefault="007E514F" w:rsidP="00D71BCA">
      <w:pPr>
        <w:pStyle w:val="ListParagraph"/>
        <w:numPr>
          <w:ilvl w:val="0"/>
          <w:numId w:val="3"/>
        </w:numPr>
      </w:pPr>
      <w:proofErr w:type="spellStart"/>
      <w:r w:rsidRPr="00B06166">
        <w:t>blavaan</w:t>
      </w:r>
      <w:proofErr w:type="spellEnd"/>
      <w:r w:rsidRPr="00B06166">
        <w:t xml:space="preserve"> generates JAGs or STAN syntax to make it easier to modify MCMC</w:t>
      </w:r>
    </w:p>
    <w:p w14:paraId="711615E5" w14:textId="77777777" w:rsidR="00D71BCA" w:rsidRPr="00B06166" w:rsidRDefault="00D71BCA" w:rsidP="00D71BCA"/>
    <w:p w14:paraId="7752E2F5" w14:textId="77777777" w:rsidR="00D71BCA" w:rsidRPr="00B06166" w:rsidRDefault="00976E08" w:rsidP="00D71BCA">
      <w:pPr>
        <w:rPr>
          <w:b/>
        </w:rPr>
      </w:pPr>
      <w:r w:rsidRPr="00B06166">
        <w:rPr>
          <w:b/>
        </w:rPr>
        <w:t xml:space="preserve">Model-Implied Fit </w:t>
      </w:r>
      <w:proofErr w:type="gramStart"/>
      <w:r w:rsidRPr="00B06166">
        <w:rPr>
          <w:b/>
        </w:rPr>
        <w:t>For</w:t>
      </w:r>
      <w:proofErr w:type="gramEnd"/>
      <w:r w:rsidRPr="00B06166">
        <w:rPr>
          <w:b/>
        </w:rPr>
        <w:t xml:space="preserve"> Nonlinear Bayesian LVMs</w:t>
      </w:r>
    </w:p>
    <w:p w14:paraId="41D9B914" w14:textId="77777777" w:rsidR="00D71BCA" w:rsidRPr="00B06166" w:rsidRDefault="00976E08" w:rsidP="00D71BCA">
      <w:pPr>
        <w:pStyle w:val="ListParagraph"/>
        <w:numPr>
          <w:ilvl w:val="0"/>
          <w:numId w:val="3"/>
        </w:numPr>
      </w:pPr>
      <w:r w:rsidRPr="00B06166">
        <w:t xml:space="preserve">earlier </w:t>
      </w:r>
      <w:r w:rsidR="00D71BCA" w:rsidRPr="00B06166">
        <w:t>derivation utilized model-implied correlations</w:t>
      </w:r>
    </w:p>
    <w:p w14:paraId="589E19A4" w14:textId="77777777" w:rsidR="00D71BCA" w:rsidRPr="00B06166" w:rsidRDefault="00D71BCA" w:rsidP="00D71BCA">
      <w:pPr>
        <w:pStyle w:val="ListParagraph"/>
        <w:numPr>
          <w:ilvl w:val="1"/>
          <w:numId w:val="3"/>
        </w:numPr>
      </w:pPr>
      <w:r w:rsidRPr="00B06166">
        <w:t>these assume the fit is actually linear</w:t>
      </w:r>
    </w:p>
    <w:p w14:paraId="444A9F90" w14:textId="77777777" w:rsidR="00D71BCA" w:rsidRPr="00B06166" w:rsidRDefault="00D71BCA" w:rsidP="00D71BCA">
      <w:pPr>
        <w:pStyle w:val="ListParagraph"/>
        <w:numPr>
          <w:ilvl w:val="0"/>
          <w:numId w:val="3"/>
        </w:numPr>
      </w:pPr>
      <w:r w:rsidRPr="00B06166">
        <w:t>if nonlinear, the model-implied fit must be modified</w:t>
      </w:r>
    </w:p>
    <w:p w14:paraId="7DD8423B" w14:textId="77777777" w:rsidR="00D71BCA" w:rsidRPr="00B06166" w:rsidRDefault="00D71BCA" w:rsidP="00D71BCA">
      <w:pPr>
        <w:pStyle w:val="ListParagraph"/>
        <w:numPr>
          <w:ilvl w:val="0"/>
          <w:numId w:val="3"/>
        </w:numPr>
      </w:pPr>
      <w:r w:rsidRPr="00B06166">
        <w:t>our approach</w:t>
      </w:r>
      <w:r w:rsidR="00976E08" w:rsidRPr="00B06166">
        <w:t xml:space="preserve"> relies on the estimated factor scores to derive the trail plots</w:t>
      </w:r>
    </w:p>
    <w:p w14:paraId="6C71D95A" w14:textId="77777777" w:rsidR="00976E08" w:rsidRPr="00B06166" w:rsidRDefault="00976E08" w:rsidP="00D71BCA">
      <w:pPr>
        <w:pStyle w:val="ListParagraph"/>
        <w:numPr>
          <w:ilvl w:val="0"/>
          <w:numId w:val="3"/>
        </w:numPr>
      </w:pPr>
      <w:r w:rsidRPr="00B06166">
        <w:t>basic approach</w:t>
      </w:r>
    </w:p>
    <w:p w14:paraId="66AC3EB7" w14:textId="77777777" w:rsidR="00976E08" w:rsidRPr="00B06166" w:rsidRDefault="00976E08" w:rsidP="00976E08">
      <w:pPr>
        <w:pStyle w:val="ListParagraph"/>
        <w:numPr>
          <w:ilvl w:val="1"/>
          <w:numId w:val="3"/>
        </w:numPr>
      </w:pPr>
      <w:r w:rsidRPr="00B06166">
        <w:t>model the relationship between the latent variable (x axis) and observed variable (y axis)</w:t>
      </w:r>
    </w:p>
    <w:p w14:paraId="78EED768" w14:textId="334B178D" w:rsidR="00976E08" w:rsidRPr="00B06166" w:rsidRDefault="00976E08" w:rsidP="00976E08">
      <w:pPr>
        <w:pStyle w:val="ListParagraph"/>
        <w:numPr>
          <w:ilvl w:val="2"/>
          <w:numId w:val="3"/>
        </w:numPr>
      </w:pPr>
      <w:r w:rsidRPr="00B06166">
        <w:t xml:space="preserve">utilize a smoothed </w:t>
      </w:r>
      <w:r w:rsidR="008C654E" w:rsidRPr="00B06166">
        <w:t xml:space="preserve">cubic </w:t>
      </w:r>
      <w:r w:rsidRPr="00B06166">
        <w:t>spline function to allow nonlinear patterns</w:t>
      </w:r>
    </w:p>
    <w:p w14:paraId="7DCAA451" w14:textId="77777777" w:rsidR="00976E08" w:rsidRPr="00B06166" w:rsidRDefault="00976E08" w:rsidP="00976E08">
      <w:pPr>
        <w:pStyle w:val="ListParagraph"/>
        <w:numPr>
          <w:ilvl w:val="2"/>
          <w:numId w:val="3"/>
        </w:numPr>
      </w:pPr>
      <w:r w:rsidRPr="00B06166">
        <w:t xml:space="preserve">store those predictions (call these </w:t>
      </w:r>
      <m:oMath>
        <m:acc>
          <m:accPr>
            <m:ctrlPr>
              <w:rPr>
                <w:rFonts w:ascii="Cambria Math" w:hAnsi="Cambria Math"/>
                <w:i/>
              </w:rPr>
            </m:ctrlPr>
          </m:accPr>
          <m:e>
            <m:r>
              <w:rPr>
                <w:rFonts w:ascii="Cambria Math" w:hAnsi="Cambria Math"/>
              </w:rPr>
              <m:t>X</m:t>
            </m:r>
          </m:e>
        </m:acc>
      </m:oMath>
      <w:r w:rsidRPr="00B06166">
        <w:rPr>
          <w:rFonts w:eastAsiaTheme="minorEastAsia"/>
        </w:rPr>
        <w:t>)</w:t>
      </w:r>
    </w:p>
    <w:p w14:paraId="620EBB39" w14:textId="77777777" w:rsidR="00976E08" w:rsidRPr="00B06166" w:rsidRDefault="00976E08" w:rsidP="00976E08">
      <w:pPr>
        <w:pStyle w:val="ListParagraph"/>
        <w:numPr>
          <w:ilvl w:val="2"/>
          <w:numId w:val="3"/>
        </w:numPr>
      </w:pPr>
      <w:r w:rsidRPr="00B06166">
        <w:t xml:space="preserve">do the same for the other variable and store those predictions (call these </w:t>
      </w:r>
      <m:oMath>
        <m:acc>
          <m:accPr>
            <m:ctrlPr>
              <w:rPr>
                <w:rFonts w:ascii="Cambria Math" w:hAnsi="Cambria Math"/>
                <w:i/>
              </w:rPr>
            </m:ctrlPr>
          </m:accPr>
          <m:e>
            <m:r>
              <w:rPr>
                <w:rFonts w:ascii="Cambria Math" w:hAnsi="Cambria Math"/>
              </w:rPr>
              <m:t>Y</m:t>
            </m:r>
          </m:e>
        </m:acc>
      </m:oMath>
      <w:r w:rsidRPr="00B06166">
        <w:rPr>
          <w:rFonts w:eastAsiaTheme="minorEastAsia"/>
        </w:rPr>
        <w:t>)</w:t>
      </w:r>
    </w:p>
    <w:p w14:paraId="6A316706" w14:textId="77777777" w:rsidR="00976E08" w:rsidRPr="00B06166" w:rsidRDefault="007E47F6" w:rsidP="00D71BCA">
      <w:pPr>
        <w:pStyle w:val="ListParagraph"/>
        <w:numPr>
          <w:ilvl w:val="1"/>
          <w:numId w:val="3"/>
        </w:numPr>
      </w:pPr>
      <m:oMath>
        <m:acc>
          <m:accPr>
            <m:ctrlPr>
              <w:rPr>
                <w:rFonts w:ascii="Cambria Math" w:hAnsi="Cambria Math"/>
                <w:i/>
              </w:rPr>
            </m:ctrlPr>
          </m:accPr>
          <m:e>
            <m:r>
              <w:rPr>
                <w:rFonts w:ascii="Cambria Math" w:hAnsi="Cambria Math"/>
              </w:rPr>
              <m:t>X</m:t>
            </m:r>
          </m:e>
        </m:acc>
        <m:r>
          <w:rPr>
            <w:rFonts w:ascii="Cambria Math" w:hAnsi="Cambria Math"/>
          </w:rPr>
          <m:t xml:space="preserve"> </m:t>
        </m:r>
        <m:r>
          <m:rPr>
            <m:sty m:val="p"/>
          </m:rPr>
          <w:rPr>
            <w:rFonts w:ascii="Cambria Math" w:hAnsi="Cambria Math"/>
          </w:rPr>
          <m:t xml:space="preserve">and </m:t>
        </m:r>
        <m:acc>
          <m:accPr>
            <m:ctrlPr>
              <w:rPr>
                <w:rFonts w:ascii="Cambria Math" w:hAnsi="Cambria Math"/>
                <w:i/>
              </w:rPr>
            </m:ctrlPr>
          </m:accPr>
          <m:e>
            <m:r>
              <w:rPr>
                <w:rFonts w:ascii="Cambria Math" w:hAnsi="Cambria Math"/>
              </w:rPr>
              <m:t>Y</m:t>
            </m:r>
            <m:ctrlPr>
              <w:rPr>
                <w:rFonts w:ascii="Cambria Math" w:hAnsi="Cambria Math"/>
              </w:rPr>
            </m:ctrlPr>
          </m:e>
        </m:acc>
      </m:oMath>
      <w:r w:rsidR="00976E08" w:rsidRPr="00B06166">
        <w:rPr>
          <w:rFonts w:eastAsiaTheme="minorEastAsia"/>
        </w:rPr>
        <w:t xml:space="preserve"> serve as the basis of the coordinates of X/Y</w:t>
      </w:r>
    </w:p>
    <w:p w14:paraId="044A51E9" w14:textId="77777777" w:rsidR="00976E08" w:rsidRPr="00B06166" w:rsidRDefault="00976E08" w:rsidP="00976E08">
      <w:pPr>
        <w:pStyle w:val="ListParagraph"/>
        <w:numPr>
          <w:ilvl w:val="2"/>
          <w:numId w:val="3"/>
        </w:numPr>
      </w:pPr>
      <w:r w:rsidRPr="00B06166">
        <w:t xml:space="preserve">but </w:t>
      </w:r>
      <m:oMath>
        <m:acc>
          <m:accPr>
            <m:ctrlPr>
              <w:rPr>
                <w:rFonts w:ascii="Cambria Math" w:hAnsi="Cambria Math"/>
                <w:i/>
              </w:rPr>
            </m:ctrlPr>
          </m:accPr>
          <m:e>
            <m:r>
              <w:rPr>
                <w:rFonts w:ascii="Cambria Math" w:hAnsi="Cambria Math"/>
              </w:rPr>
              <m:t>X</m:t>
            </m:r>
          </m:e>
        </m:acc>
        <m:r>
          <w:rPr>
            <w:rFonts w:ascii="Cambria Math" w:hAnsi="Cambria Math"/>
          </w:rPr>
          <m:t xml:space="preserve"> </m:t>
        </m:r>
        <m:r>
          <m:rPr>
            <m:sty m:val="p"/>
          </m:rPr>
          <w:rPr>
            <w:rFonts w:ascii="Cambria Math" w:hAnsi="Cambria Math"/>
          </w:rPr>
          <m:t xml:space="preserve">and </m:t>
        </m:r>
        <m:acc>
          <m:accPr>
            <m:ctrlPr>
              <w:rPr>
                <w:rFonts w:ascii="Cambria Math" w:hAnsi="Cambria Math"/>
                <w:i/>
              </w:rPr>
            </m:ctrlPr>
          </m:accPr>
          <m:e>
            <m:r>
              <w:rPr>
                <w:rFonts w:ascii="Cambria Math" w:hAnsi="Cambria Math"/>
              </w:rPr>
              <m:t>Y</m:t>
            </m:r>
            <m:ctrlPr>
              <w:rPr>
                <w:rFonts w:ascii="Cambria Math" w:hAnsi="Cambria Math"/>
              </w:rPr>
            </m:ctrlPr>
          </m:e>
        </m:acc>
      </m:oMath>
      <w:r w:rsidRPr="00B06166">
        <w:rPr>
          <w:rFonts w:eastAsiaTheme="minorEastAsia"/>
        </w:rPr>
        <w:t xml:space="preserve"> are the fit of the model when reliability has been removed</w:t>
      </w:r>
    </w:p>
    <w:p w14:paraId="32350D5F" w14:textId="77777777" w:rsidR="00976E08" w:rsidRPr="00B06166" w:rsidRDefault="00976E08" w:rsidP="00976E08">
      <w:pPr>
        <w:pStyle w:val="ListParagraph"/>
        <w:numPr>
          <w:ilvl w:val="2"/>
          <w:numId w:val="3"/>
        </w:numPr>
      </w:pPr>
      <w:r w:rsidRPr="00B06166">
        <w:t>it will tend to overestimate the fit of the X/Y relationship</w:t>
      </w:r>
    </w:p>
    <w:p w14:paraId="384EB20E" w14:textId="77777777" w:rsidR="00976E08" w:rsidRPr="00B06166" w:rsidRDefault="00976E08" w:rsidP="00976E08">
      <w:pPr>
        <w:pStyle w:val="ListParagraph"/>
        <w:numPr>
          <w:ilvl w:val="2"/>
          <w:numId w:val="3"/>
        </w:numPr>
      </w:pPr>
      <w:r w:rsidRPr="00B06166">
        <w:t>must be attenuated proportional to reliability</w:t>
      </w:r>
    </w:p>
    <w:p w14:paraId="3E1193EF" w14:textId="77777777" w:rsidR="00D71BCA" w:rsidRPr="00B06166" w:rsidRDefault="00976E08" w:rsidP="00D71BCA">
      <w:pPr>
        <w:pStyle w:val="ListParagraph"/>
        <w:numPr>
          <w:ilvl w:val="1"/>
          <w:numId w:val="3"/>
        </w:numPr>
      </w:pPr>
      <w:r w:rsidRPr="00B06166">
        <w:t>Estimate reliability</w:t>
      </w:r>
    </w:p>
    <w:p w14:paraId="4365114A" w14:textId="77777777" w:rsidR="00976E08" w:rsidRPr="00B06166" w:rsidRDefault="007E47F6" w:rsidP="00976E08">
      <w:pPr>
        <w:pStyle w:val="ListParagraph"/>
        <w:numPr>
          <w:ilvl w:val="2"/>
          <w:numId w:val="3"/>
        </w:numPr>
      </w:pPr>
      <m:oMath>
        <m:acc>
          <m:accPr>
            <m:ctrlPr>
              <w:rPr>
                <w:rFonts w:ascii="Cambria Math" w:hAnsi="Cambria Math"/>
                <w:i/>
              </w:rPr>
            </m:ctrlPr>
          </m:accPr>
          <m:e>
            <m:r>
              <w:rPr>
                <w:rFonts w:ascii="Cambria Math" w:hAnsi="Cambria Math"/>
              </w:rPr>
              <m:t>X</m:t>
            </m:r>
          </m:e>
        </m:acc>
      </m:oMath>
      <w:r w:rsidR="00976E08" w:rsidRPr="00B06166">
        <w:rPr>
          <w:rFonts w:eastAsiaTheme="minorEastAsia"/>
        </w:rPr>
        <w:t xml:space="preserve"> serves as our best estimate of the true scores of </w:t>
      </w:r>
      <w:proofErr w:type="gramStart"/>
      <w:r w:rsidR="00976E08" w:rsidRPr="00B06166">
        <w:rPr>
          <w:rFonts w:eastAsiaTheme="minorEastAsia"/>
          <w:i/>
        </w:rPr>
        <w:t>X</w:t>
      </w:r>
      <w:proofErr w:type="gramEnd"/>
    </w:p>
    <w:p w14:paraId="17551914" w14:textId="77777777" w:rsidR="00976E08" w:rsidRPr="00B06166" w:rsidRDefault="00976E08" w:rsidP="00976E08">
      <w:pPr>
        <w:pStyle w:val="ListParagraph"/>
        <w:numPr>
          <w:ilvl w:val="2"/>
          <w:numId w:val="3"/>
        </w:numPr>
      </w:pPr>
      <w:r w:rsidRPr="00B06166">
        <w:t xml:space="preserve">Reliability can be estimated as </w:t>
      </w:r>
      <m:oMath>
        <m:sSubSup>
          <m:sSubSupPr>
            <m:ctrlPr>
              <w:rPr>
                <w:rFonts w:ascii="Cambria Math" w:hAnsi="Cambria Math"/>
                <w:i/>
              </w:rPr>
            </m:ctrlPr>
          </m:sSubSupPr>
          <m:e>
            <m:r>
              <w:rPr>
                <w:rFonts w:ascii="Cambria Math" w:hAnsi="Cambria Math"/>
              </w:rPr>
              <m:t>σ</m:t>
            </m:r>
          </m:e>
          <m:sub>
            <m:acc>
              <m:accPr>
                <m:ctrlPr>
                  <w:rPr>
                    <w:rFonts w:ascii="Cambria Math" w:hAnsi="Cambria Math"/>
                    <w:i/>
                  </w:rPr>
                </m:ctrlPr>
              </m:accPr>
              <m:e>
                <m:r>
                  <w:rPr>
                    <w:rFonts w:ascii="Cambria Math" w:hAnsi="Cambria Math"/>
                  </w:rPr>
                  <m:t>X</m:t>
                </m:r>
              </m:e>
            </m:acc>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σ</m:t>
            </m:r>
          </m:e>
          <m:sub>
            <m:r>
              <w:rPr>
                <w:rFonts w:ascii="Cambria Math" w:hAnsi="Cambria Math"/>
              </w:rPr>
              <m:t>X</m:t>
            </m:r>
          </m:sub>
          <m:sup>
            <m:r>
              <w:rPr>
                <w:rFonts w:ascii="Cambria Math" w:hAnsi="Cambria Math"/>
              </w:rPr>
              <m:t>2</m:t>
            </m:r>
          </m:sup>
        </m:sSubSup>
        <m:r>
          <w:rPr>
            <w:rFonts w:ascii="Cambria Math" w:hAnsi="Cambria Math"/>
          </w:rPr>
          <m:t xml:space="preserve"> </m:t>
        </m:r>
      </m:oMath>
    </w:p>
    <w:p w14:paraId="36AFDBE6" w14:textId="77777777" w:rsidR="00976E08" w:rsidRPr="00B06166" w:rsidRDefault="00976E08" w:rsidP="00976E08">
      <w:pPr>
        <w:pStyle w:val="ListParagraph"/>
        <w:numPr>
          <w:ilvl w:val="1"/>
          <w:numId w:val="3"/>
        </w:numPr>
      </w:pPr>
      <w:r w:rsidRPr="00B06166">
        <w:t>Attenuate based on reliability</w:t>
      </w:r>
    </w:p>
    <w:p w14:paraId="1393D2E9" w14:textId="77777777" w:rsidR="00976E08" w:rsidRPr="00B06166" w:rsidRDefault="00976E08" w:rsidP="00976E08">
      <w:pPr>
        <w:pStyle w:val="ListParagraph"/>
        <w:numPr>
          <w:ilvl w:val="2"/>
          <w:numId w:val="3"/>
        </w:numPr>
      </w:pPr>
      <w:r w:rsidRPr="00B06166">
        <w:t>Recall that reliability provides upper bound to validity</w:t>
      </w:r>
    </w:p>
    <w:p w14:paraId="290EEBA5" w14:textId="77777777" w:rsidR="00976E08" w:rsidRPr="00B06166" w:rsidRDefault="00976E08" w:rsidP="00976E08">
      <w:pPr>
        <w:pStyle w:val="ListParagraph"/>
        <w:numPr>
          <w:ilvl w:val="2"/>
          <w:numId w:val="3"/>
        </w:numPr>
      </w:pPr>
      <w:r w:rsidRPr="00B06166">
        <w:t>With reliability of zero, the prediction of Y for a given X is the mean of Y</w:t>
      </w:r>
    </w:p>
    <w:p w14:paraId="3C72D8DB" w14:textId="77777777" w:rsidR="00976E08" w:rsidRPr="00B06166" w:rsidRDefault="00976E08" w:rsidP="00976E08">
      <w:pPr>
        <w:pStyle w:val="ListParagraph"/>
        <w:numPr>
          <w:ilvl w:val="2"/>
          <w:numId w:val="3"/>
        </w:numPr>
      </w:pPr>
      <w:r w:rsidRPr="00B06166">
        <w:t xml:space="preserve">With perfect reliability, the relationship between X and Y will be equal to the relationship between </w:t>
      </w:r>
      <m:oMath>
        <m:acc>
          <m:accPr>
            <m:ctrlPr>
              <w:rPr>
                <w:rFonts w:ascii="Cambria Math" w:hAnsi="Cambria Math"/>
                <w:i/>
              </w:rPr>
            </m:ctrlPr>
          </m:accPr>
          <m:e>
            <m:r>
              <w:rPr>
                <w:rFonts w:ascii="Cambria Math" w:hAnsi="Cambria Math"/>
              </w:rPr>
              <m:t>X</m:t>
            </m:r>
          </m:e>
        </m:acc>
        <m:r>
          <w:rPr>
            <w:rFonts w:ascii="Cambria Math" w:hAnsi="Cambria Math"/>
          </w:rPr>
          <m:t xml:space="preserve"> </m:t>
        </m:r>
        <m:r>
          <m:rPr>
            <m:sty m:val="p"/>
          </m:rPr>
          <w:rPr>
            <w:rFonts w:ascii="Cambria Math" w:hAnsi="Cambria Math"/>
          </w:rPr>
          <m:t xml:space="preserve">and </m:t>
        </m:r>
        <m:acc>
          <m:accPr>
            <m:ctrlPr>
              <w:rPr>
                <w:rFonts w:ascii="Cambria Math" w:hAnsi="Cambria Math"/>
                <w:i/>
              </w:rPr>
            </m:ctrlPr>
          </m:accPr>
          <m:e>
            <m:r>
              <w:rPr>
                <w:rFonts w:ascii="Cambria Math" w:hAnsi="Cambria Math"/>
              </w:rPr>
              <m:t>Y</m:t>
            </m:r>
            <m:ctrlPr>
              <w:rPr>
                <w:rFonts w:ascii="Cambria Math" w:hAnsi="Cambria Math"/>
              </w:rPr>
            </m:ctrlPr>
          </m:e>
        </m:acc>
      </m:oMath>
    </w:p>
    <w:p w14:paraId="1CF62114" w14:textId="77777777" w:rsidR="00976E08" w:rsidRPr="00B06166" w:rsidRDefault="00976E08" w:rsidP="00976E08">
      <w:pPr>
        <w:pStyle w:val="ListParagraph"/>
        <w:numPr>
          <w:ilvl w:val="2"/>
          <w:numId w:val="3"/>
        </w:numPr>
      </w:pPr>
      <w:r w:rsidRPr="00B06166">
        <w:t xml:space="preserve">To weaken the line, we can adjust the predicted scores </w:t>
      </w:r>
      <m:oMath>
        <m:acc>
          <m:accPr>
            <m:ctrlPr>
              <w:rPr>
                <w:rFonts w:ascii="Cambria Math" w:hAnsi="Cambria Math"/>
                <w:i/>
              </w:rPr>
            </m:ctrlPr>
          </m:accPr>
          <m:e>
            <m:r>
              <w:rPr>
                <w:rFonts w:ascii="Cambria Math" w:hAnsi="Cambria Math"/>
              </w:rPr>
              <m:t>Y</m:t>
            </m:r>
          </m:e>
        </m:acc>
      </m:oMath>
      <w:r w:rsidRPr="00B06166">
        <w:rPr>
          <w:rFonts w:eastAsiaTheme="minorEastAsia"/>
        </w:rPr>
        <w:t xml:space="preserve"> to be closer to the mean of </w:t>
      </w:r>
      <w:r w:rsidRPr="00B06166">
        <w:rPr>
          <w:rFonts w:eastAsiaTheme="minorEastAsia"/>
          <w:i/>
        </w:rPr>
        <w:t xml:space="preserve">Y </w:t>
      </w:r>
    </w:p>
    <w:p w14:paraId="295FB5BD" w14:textId="77777777" w:rsidR="00AD7725" w:rsidRPr="00B06166" w:rsidRDefault="007E47F6" w:rsidP="00AD7725">
      <w:pPr>
        <w:pStyle w:val="ListParagraph"/>
        <w:numPr>
          <w:ilvl w:val="3"/>
          <w:numId w:val="3"/>
        </w:numPr>
      </w:pPr>
      <m:oMath>
        <m:sSup>
          <m:sSupPr>
            <m:ctrlPr>
              <w:rPr>
                <w:rFonts w:ascii="Cambria Math" w:hAnsi="Cambria Math"/>
                <w:i/>
              </w:rPr>
            </m:ctrlPr>
          </m:sSupPr>
          <m:e>
            <m:acc>
              <m:accPr>
                <m:ctrlPr>
                  <w:rPr>
                    <w:rFonts w:ascii="Cambria Math" w:hAnsi="Cambria Math"/>
                    <w:i/>
                  </w:rPr>
                </m:ctrlPr>
              </m:accPr>
              <m:e>
                <m:r>
                  <w:rPr>
                    <w:rFonts w:ascii="Cambria Math" w:hAnsi="Cambria Math"/>
                  </w:rPr>
                  <m:t>Y</m:t>
                </m:r>
              </m:e>
            </m:acc>
          </m:e>
          <m:sup>
            <m:r>
              <w:rPr>
                <w:rFonts w:ascii="Cambria Math" w:hAnsi="Cambria Math"/>
              </w:rPr>
              <m:t>'</m:t>
            </m:r>
          </m:sup>
        </m:sSup>
        <m:r>
          <w:rPr>
            <w:rFonts w:ascii="Cambria Math" w:hAnsi="Cambria Math"/>
          </w:rPr>
          <m:t>=</m:t>
        </m:r>
        <m:acc>
          <m:accPr>
            <m:chr m:val="̅"/>
            <m:ctrlPr>
              <w:rPr>
                <w:rFonts w:ascii="Cambria Math" w:hAnsi="Cambria Math"/>
                <w:i/>
              </w:rPr>
            </m:ctrlPr>
          </m:accPr>
          <m:e>
            <m:r>
              <w:rPr>
                <w:rFonts w:ascii="Cambria Math" w:hAnsi="Cambria Math"/>
              </w:rPr>
              <m:t>Y</m:t>
            </m:r>
          </m:e>
        </m:acc>
        <m:r>
          <w:rPr>
            <w:rFonts w:ascii="Cambria Math" w:hAnsi="Cambria Math"/>
          </w:rPr>
          <m:t>+</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r</m:t>
                </m:r>
              </m:e>
              <m:sub>
                <m:r>
                  <w:rPr>
                    <w:rFonts w:ascii="Cambria Math" w:hAnsi="Cambria Math"/>
                  </w:rPr>
                  <m:t>XX</m:t>
                </m:r>
              </m:sub>
            </m:sSub>
            <m:sSub>
              <m:sSubPr>
                <m:ctrlPr>
                  <w:rPr>
                    <w:rFonts w:ascii="Cambria Math" w:hAnsi="Cambria Math"/>
                    <w:i/>
                  </w:rPr>
                </m:ctrlPr>
              </m:sSubPr>
              <m:e>
                <m:r>
                  <w:rPr>
                    <w:rFonts w:ascii="Cambria Math" w:hAnsi="Cambria Math"/>
                  </w:rPr>
                  <m:t>r</m:t>
                </m:r>
              </m:e>
              <m:sub>
                <m:r>
                  <w:rPr>
                    <w:rFonts w:ascii="Cambria Math" w:hAnsi="Cambria Math"/>
                  </w:rPr>
                  <m:t>YY</m:t>
                </m:r>
              </m:sub>
            </m:sSub>
          </m:e>
        </m:rad>
        <m:r>
          <w:rPr>
            <w:rFonts w:ascii="Cambria Math" w:hAnsi="Cambria Math"/>
          </w:rPr>
          <m:t>×(</m:t>
        </m:r>
        <m:acc>
          <m:accPr>
            <m:ctrlPr>
              <w:rPr>
                <w:rFonts w:ascii="Cambria Math" w:hAnsi="Cambria Math"/>
                <w:i/>
              </w:rPr>
            </m:ctrlPr>
          </m:accPr>
          <m:e>
            <m:r>
              <w:rPr>
                <w:rFonts w:ascii="Cambria Math" w:hAnsi="Cambria Math"/>
              </w:rPr>
              <m:t>Y</m:t>
            </m:r>
          </m:e>
        </m:acc>
        <m:r>
          <w:rPr>
            <w:rFonts w:ascii="Cambria Math" w:hAnsi="Cambria Math"/>
          </w:rPr>
          <m:t>-</m:t>
        </m:r>
        <m:acc>
          <m:accPr>
            <m:chr m:val="̅"/>
            <m:ctrlPr>
              <w:rPr>
                <w:rFonts w:ascii="Cambria Math" w:hAnsi="Cambria Math"/>
                <w:i/>
              </w:rPr>
            </m:ctrlPr>
          </m:accPr>
          <m:e>
            <m:r>
              <w:rPr>
                <w:rFonts w:ascii="Cambria Math" w:hAnsi="Cambria Math"/>
              </w:rPr>
              <m:t>Y</m:t>
            </m:r>
          </m:e>
        </m:acc>
        <m:r>
          <w:rPr>
            <w:rFonts w:ascii="Cambria Math" w:hAnsi="Cambria Math"/>
          </w:rPr>
          <m:t>)</m:t>
        </m:r>
      </m:oMath>
    </w:p>
    <w:p w14:paraId="57CBD359" w14:textId="77777777" w:rsidR="00AD7725" w:rsidRPr="00B06166" w:rsidRDefault="00AD7725" w:rsidP="00AD7725">
      <w:pPr>
        <w:pStyle w:val="ListParagraph"/>
        <w:numPr>
          <w:ilvl w:val="1"/>
          <w:numId w:val="3"/>
        </w:numPr>
      </w:pPr>
      <w:r w:rsidRPr="00B06166">
        <w:t xml:space="preserve">Once we have a model-implied relationship between </w:t>
      </w:r>
      <w:r w:rsidRPr="00B06166">
        <w:rPr>
          <w:i/>
        </w:rPr>
        <w:t>X/Y</w:t>
      </w:r>
      <w:r w:rsidRPr="00B06166">
        <w:t>, we can develop trace plots/DDPs as before</w:t>
      </w:r>
    </w:p>
    <w:p w14:paraId="4177E64F" w14:textId="77777777" w:rsidR="00E43AA5" w:rsidRPr="00B06166" w:rsidRDefault="00E43AA5" w:rsidP="00E43AA5"/>
    <w:p w14:paraId="2FCB2A89" w14:textId="77777777" w:rsidR="00E43AA5" w:rsidRPr="00B06166" w:rsidRDefault="00E43AA5" w:rsidP="00E43AA5">
      <w:pPr>
        <w:jc w:val="center"/>
        <w:rPr>
          <w:b/>
        </w:rPr>
      </w:pPr>
      <w:r w:rsidRPr="00B06166">
        <w:rPr>
          <w:b/>
        </w:rPr>
        <w:t>Examples</w:t>
      </w:r>
    </w:p>
    <w:p w14:paraId="202B8856" w14:textId="77777777" w:rsidR="00D71BCA" w:rsidRPr="00B06166" w:rsidRDefault="00D71BCA" w:rsidP="00E43AA5">
      <w:pPr>
        <w:jc w:val="both"/>
      </w:pPr>
    </w:p>
    <w:p w14:paraId="411A186B" w14:textId="77777777" w:rsidR="00E43AA5" w:rsidRPr="00B06166" w:rsidRDefault="00E43AA5" w:rsidP="00E43AA5">
      <w:pPr>
        <w:jc w:val="both"/>
        <w:rPr>
          <w:b/>
        </w:rPr>
      </w:pPr>
      <w:r w:rsidRPr="00B06166">
        <w:rPr>
          <w:b/>
        </w:rPr>
        <w:t>Well-Fitting Model</w:t>
      </w:r>
    </w:p>
    <w:p w14:paraId="21279E29" w14:textId="77777777" w:rsidR="00E43AA5" w:rsidRPr="00B06166" w:rsidRDefault="00E43AA5" w:rsidP="00E43AA5">
      <w:pPr>
        <w:pStyle w:val="ListParagraph"/>
        <w:numPr>
          <w:ilvl w:val="0"/>
          <w:numId w:val="3"/>
        </w:numPr>
        <w:jc w:val="both"/>
        <w:rPr>
          <w:b/>
        </w:rPr>
      </w:pPr>
      <w:r w:rsidRPr="00B06166">
        <w:t xml:space="preserve">show a model where </w:t>
      </w:r>
      <w:proofErr w:type="spellStart"/>
      <w:r w:rsidRPr="00B06166">
        <w:t>rmsea</w:t>
      </w:r>
      <w:proofErr w:type="spellEnd"/>
      <w:r w:rsidRPr="00B06166">
        <w:t xml:space="preserve"> is poor, but the model fits quite well</w:t>
      </w:r>
    </w:p>
    <w:p w14:paraId="07EB43D8" w14:textId="77777777" w:rsidR="00E43AA5" w:rsidRPr="00B06166" w:rsidRDefault="00E43AA5" w:rsidP="00E43AA5">
      <w:pPr>
        <w:jc w:val="both"/>
      </w:pPr>
    </w:p>
    <w:p w14:paraId="67966ABE" w14:textId="77777777" w:rsidR="00E43AA5" w:rsidRPr="00B06166" w:rsidRDefault="00E43AA5" w:rsidP="00E43AA5">
      <w:pPr>
        <w:jc w:val="both"/>
      </w:pPr>
      <w:r w:rsidRPr="00B06166">
        <w:t>Omitted Cross-Loading</w:t>
      </w:r>
    </w:p>
    <w:p w14:paraId="1089DA7C" w14:textId="77777777" w:rsidR="00E43AA5" w:rsidRPr="00B06166" w:rsidRDefault="00E43AA5" w:rsidP="00E43AA5">
      <w:pPr>
        <w:pStyle w:val="ListParagraph"/>
        <w:numPr>
          <w:ilvl w:val="0"/>
          <w:numId w:val="3"/>
        </w:numPr>
        <w:jc w:val="both"/>
        <w:rPr>
          <w:b/>
        </w:rPr>
      </w:pPr>
      <w:r w:rsidRPr="00B06166">
        <w:t xml:space="preserve">show a model (Jedi) where the </w:t>
      </w:r>
      <w:proofErr w:type="spellStart"/>
      <w:r w:rsidRPr="00B06166">
        <w:t>rmsea</w:t>
      </w:r>
      <w:proofErr w:type="spellEnd"/>
      <w:r w:rsidRPr="00B06166">
        <w:t xml:space="preserve"> is good, but the model fits poorly based on visuals</w:t>
      </w:r>
    </w:p>
    <w:p w14:paraId="138F8A43" w14:textId="77777777" w:rsidR="00E43AA5" w:rsidRPr="00B06166" w:rsidRDefault="00E43AA5" w:rsidP="00E43AA5">
      <w:pPr>
        <w:jc w:val="both"/>
      </w:pPr>
    </w:p>
    <w:p w14:paraId="04B7DD32" w14:textId="77777777" w:rsidR="00E43AA5" w:rsidRPr="00B06166" w:rsidRDefault="00E43AA5" w:rsidP="00E43AA5">
      <w:pPr>
        <w:jc w:val="both"/>
      </w:pPr>
      <w:r w:rsidRPr="00B06166">
        <w:t>Nonlinear model</w:t>
      </w:r>
    </w:p>
    <w:p w14:paraId="1CAD8B20" w14:textId="77777777" w:rsidR="00533EDB" w:rsidRPr="00B06166" w:rsidRDefault="00E43AA5" w:rsidP="00533EDB">
      <w:pPr>
        <w:pStyle w:val="ListParagraph"/>
        <w:numPr>
          <w:ilvl w:val="0"/>
          <w:numId w:val="3"/>
        </w:numPr>
        <w:jc w:val="both"/>
      </w:pPr>
      <w:r w:rsidRPr="00B06166">
        <w:t xml:space="preserve">again, </w:t>
      </w:r>
      <w:proofErr w:type="spellStart"/>
      <w:r w:rsidRPr="00B06166">
        <w:t>rmsea</w:t>
      </w:r>
      <w:proofErr w:type="spellEnd"/>
      <w:r w:rsidRPr="00B06166">
        <w:t xml:space="preserve"> is good, but the model misses </w:t>
      </w:r>
    </w:p>
    <w:p w14:paraId="48BF1ACC" w14:textId="77777777" w:rsidR="00410B6B" w:rsidRDefault="00410B6B" w:rsidP="00410B6B"/>
    <w:sectPr w:rsidR="00410B6B" w:rsidSect="00D32BAD">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 w:author="Dustin Fife" w:date="2020-07-15T13:07:00Z" w:initials="DF">
    <w:p w14:paraId="3F150C54" w14:textId="541F06AC" w:rsidR="00B06166" w:rsidRDefault="00B06166">
      <w:pPr>
        <w:pStyle w:val="CommentText"/>
      </w:pPr>
      <w:r>
        <w:rPr>
          <w:rStyle w:val="CommentReference"/>
        </w:rPr>
        <w:annotationRef/>
      </w:r>
      <w:r>
        <w:t>Steven</w:t>
      </w:r>
    </w:p>
  </w:comment>
  <w:comment w:id="2" w:author="Dustin Fife" w:date="2020-07-15T13:06:00Z" w:initials="DF">
    <w:p w14:paraId="5175250F" w14:textId="3B5B77F0" w:rsidR="00B06166" w:rsidRDefault="00B06166">
      <w:pPr>
        <w:pStyle w:val="CommentText"/>
      </w:pPr>
      <w:r>
        <w:rPr>
          <w:rStyle w:val="CommentReference"/>
        </w:rPr>
        <w:annotationRef/>
      </w:r>
      <w:r>
        <w:t>Steven</w:t>
      </w:r>
    </w:p>
  </w:comment>
  <w:comment w:id="8" w:author="Fife, Dustin Allan" w:date="2020-09-16T09:55:00Z" w:initials="FDA">
    <w:p w14:paraId="41BB237F" w14:textId="7FBBE9C7" w:rsidR="00C839CE" w:rsidRDefault="00C839CE">
      <w:pPr>
        <w:pStyle w:val="CommentText"/>
      </w:pPr>
      <w:r>
        <w:rPr>
          <w:rStyle w:val="CommentReference"/>
        </w:rPr>
        <w:annotationRef/>
      </w:r>
      <w:r>
        <w:t xml:space="preserve">I’m not sure I’ll stick with this.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3F150C54" w15:done="0"/>
  <w15:commentEx w15:paraId="5175250F" w15:done="0"/>
  <w15:commentEx w15:paraId="41BB237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0C5F91" w16cex:dateUtc="2020-09-16T13:5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3F150C54" w16cid:durableId="22B97DFD"/>
  <w16cid:commentId w16cid:paraId="5175250F" w16cid:durableId="22B97DF0"/>
  <w16cid:commentId w16cid:paraId="41BB237F" w16cid:durableId="230C5F9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B956716" w14:textId="77777777" w:rsidR="007E47F6" w:rsidRDefault="007E47F6" w:rsidP="00E0758E">
      <w:r>
        <w:separator/>
      </w:r>
    </w:p>
  </w:endnote>
  <w:endnote w:type="continuationSeparator" w:id="0">
    <w:p w14:paraId="770BA8A7" w14:textId="77777777" w:rsidR="007E47F6" w:rsidRDefault="007E47F6" w:rsidP="00E0758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Segoe UI">
    <w:altName w:val="Arial"/>
    <w:panose1 w:val="020B0604020202020204"/>
    <w:charset w:val="00"/>
    <w:family w:val="swiss"/>
    <w:pitch w:val="variable"/>
    <w:sig w:usb0="E4002EFF" w:usb1="C000E47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9FB6994" w14:textId="77777777" w:rsidR="007E47F6" w:rsidRDefault="007E47F6" w:rsidP="00E0758E">
      <w:r>
        <w:separator/>
      </w:r>
    </w:p>
  </w:footnote>
  <w:footnote w:type="continuationSeparator" w:id="0">
    <w:p w14:paraId="56BD665B" w14:textId="77777777" w:rsidR="007E47F6" w:rsidRDefault="007E47F6" w:rsidP="00E0758E">
      <w:r>
        <w:continuationSeparator/>
      </w:r>
    </w:p>
  </w:footnote>
  <w:footnote w:id="1">
    <w:p w14:paraId="34311D25" w14:textId="0717F681" w:rsidR="00A85546" w:rsidRDefault="00A85546">
      <w:pPr>
        <w:pStyle w:val="FootnoteText"/>
      </w:pPr>
      <w:r>
        <w:rPr>
          <w:rStyle w:val="FootnoteReference"/>
        </w:rPr>
        <w:footnoteRef/>
      </w:r>
      <w:r>
        <w:t xml:space="preserve"> This too is a bit of a misnomer. Technically, disturbances refer to random errors for endogenous variables. Our definition of disturbance includes both exogenous and endogenous variables. However, the term used is mere semantics.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1A60558"/>
    <w:multiLevelType w:val="hybridMultilevel"/>
    <w:tmpl w:val="14543AEA"/>
    <w:lvl w:ilvl="0" w:tplc="1A34C116">
      <w:numFmt w:val="bullet"/>
      <w:lvlText w:val=""/>
      <w:lvlJc w:val="left"/>
      <w:pPr>
        <w:ind w:left="720" w:hanging="360"/>
      </w:pPr>
      <w:rPr>
        <w:rFonts w:ascii="Symbol" w:eastAsiaTheme="minorHAnsi" w:hAnsi="Symbo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DF35059"/>
    <w:multiLevelType w:val="hybridMultilevel"/>
    <w:tmpl w:val="98EACA1C"/>
    <w:lvl w:ilvl="0" w:tplc="AD087908">
      <w:numFmt w:val="bullet"/>
      <w:lvlText w:val=""/>
      <w:lvlJc w:val="left"/>
      <w:pPr>
        <w:ind w:left="720" w:hanging="360"/>
      </w:pPr>
      <w:rPr>
        <w:rFonts w:ascii="Symbol" w:eastAsiaTheme="minorHAnsi" w:hAnsi="Symbo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F826DA3"/>
    <w:multiLevelType w:val="hybridMultilevel"/>
    <w:tmpl w:val="788E489A"/>
    <w:lvl w:ilvl="0" w:tplc="0E4603E2">
      <w:numFmt w:val="bullet"/>
      <w:lvlText w:val=""/>
      <w:lvlJc w:val="left"/>
      <w:pPr>
        <w:ind w:left="720" w:hanging="360"/>
      </w:pPr>
      <w:rPr>
        <w:rFonts w:ascii="Symbol" w:eastAsiaTheme="minorHAnsi" w:hAnsi="Symbo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Dustin Fife">
    <w15:presenceInfo w15:providerId="None" w15:userId="Dustin Fife"/>
  </w15:person>
  <w15:person w15:author="Fife, Dustin Allan">
    <w15:presenceInfo w15:providerId="AD" w15:userId="S::fife@rowan.edu::c4dd499e-78b9-4e97-a123-096627c7bfa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B3670"/>
    <w:rsid w:val="00000107"/>
    <w:rsid w:val="000007DD"/>
    <w:rsid w:val="00006284"/>
    <w:rsid w:val="00031900"/>
    <w:rsid w:val="000325E0"/>
    <w:rsid w:val="00064BAC"/>
    <w:rsid w:val="00065CE9"/>
    <w:rsid w:val="000A4EF5"/>
    <w:rsid w:val="000F56C2"/>
    <w:rsid w:val="000F6785"/>
    <w:rsid w:val="000F79B8"/>
    <w:rsid w:val="00152DED"/>
    <w:rsid w:val="00164074"/>
    <w:rsid w:val="0017102E"/>
    <w:rsid w:val="001A6A0D"/>
    <w:rsid w:val="001E3FE2"/>
    <w:rsid w:val="00201FFB"/>
    <w:rsid w:val="00214846"/>
    <w:rsid w:val="002155A6"/>
    <w:rsid w:val="00222172"/>
    <w:rsid w:val="0023298A"/>
    <w:rsid w:val="002E2C0D"/>
    <w:rsid w:val="00307136"/>
    <w:rsid w:val="00313F3E"/>
    <w:rsid w:val="00327E75"/>
    <w:rsid w:val="003F34E5"/>
    <w:rsid w:val="00402DE9"/>
    <w:rsid w:val="00410B6B"/>
    <w:rsid w:val="00413B90"/>
    <w:rsid w:val="00440E7D"/>
    <w:rsid w:val="004B3670"/>
    <w:rsid w:val="004B4A9E"/>
    <w:rsid w:val="004D0A59"/>
    <w:rsid w:val="004D1BFA"/>
    <w:rsid w:val="004D7A4D"/>
    <w:rsid w:val="0050148E"/>
    <w:rsid w:val="00531CC2"/>
    <w:rsid w:val="00533EDB"/>
    <w:rsid w:val="00535177"/>
    <w:rsid w:val="00563D70"/>
    <w:rsid w:val="005657EF"/>
    <w:rsid w:val="00566919"/>
    <w:rsid w:val="00576F12"/>
    <w:rsid w:val="005A6950"/>
    <w:rsid w:val="005C61D0"/>
    <w:rsid w:val="00610A99"/>
    <w:rsid w:val="006B7AAF"/>
    <w:rsid w:val="007103BB"/>
    <w:rsid w:val="00722302"/>
    <w:rsid w:val="007630B4"/>
    <w:rsid w:val="007740C5"/>
    <w:rsid w:val="0078700F"/>
    <w:rsid w:val="007B55D6"/>
    <w:rsid w:val="007B5962"/>
    <w:rsid w:val="007E47F6"/>
    <w:rsid w:val="007E514F"/>
    <w:rsid w:val="008306BD"/>
    <w:rsid w:val="00843042"/>
    <w:rsid w:val="00867063"/>
    <w:rsid w:val="008700DF"/>
    <w:rsid w:val="00881B81"/>
    <w:rsid w:val="0088558A"/>
    <w:rsid w:val="008A10EA"/>
    <w:rsid w:val="008A14D7"/>
    <w:rsid w:val="008A363F"/>
    <w:rsid w:val="008B33B7"/>
    <w:rsid w:val="008C654E"/>
    <w:rsid w:val="008E1387"/>
    <w:rsid w:val="008E2C7D"/>
    <w:rsid w:val="008E670D"/>
    <w:rsid w:val="008E6930"/>
    <w:rsid w:val="0090100D"/>
    <w:rsid w:val="00906B06"/>
    <w:rsid w:val="00943A53"/>
    <w:rsid w:val="009757B8"/>
    <w:rsid w:val="00976E08"/>
    <w:rsid w:val="0099437E"/>
    <w:rsid w:val="00996A03"/>
    <w:rsid w:val="009A6D33"/>
    <w:rsid w:val="009C3CCD"/>
    <w:rsid w:val="009D6972"/>
    <w:rsid w:val="009E3357"/>
    <w:rsid w:val="009F1ED0"/>
    <w:rsid w:val="009F2654"/>
    <w:rsid w:val="00A85546"/>
    <w:rsid w:val="00AA2A40"/>
    <w:rsid w:val="00AD7725"/>
    <w:rsid w:val="00B06166"/>
    <w:rsid w:val="00B254C6"/>
    <w:rsid w:val="00B262DC"/>
    <w:rsid w:val="00B608BF"/>
    <w:rsid w:val="00BB333C"/>
    <w:rsid w:val="00BF2B8D"/>
    <w:rsid w:val="00C1539A"/>
    <w:rsid w:val="00C72A4A"/>
    <w:rsid w:val="00C82CCC"/>
    <w:rsid w:val="00C839CE"/>
    <w:rsid w:val="00C94624"/>
    <w:rsid w:val="00C95E76"/>
    <w:rsid w:val="00CA6D2D"/>
    <w:rsid w:val="00CC7B80"/>
    <w:rsid w:val="00CD3B2C"/>
    <w:rsid w:val="00CE3340"/>
    <w:rsid w:val="00D00B8D"/>
    <w:rsid w:val="00D07DB4"/>
    <w:rsid w:val="00D12ADB"/>
    <w:rsid w:val="00D257B3"/>
    <w:rsid w:val="00D30D81"/>
    <w:rsid w:val="00D32BAD"/>
    <w:rsid w:val="00D41E18"/>
    <w:rsid w:val="00D71BCA"/>
    <w:rsid w:val="00D7521F"/>
    <w:rsid w:val="00D76068"/>
    <w:rsid w:val="00DB2AD5"/>
    <w:rsid w:val="00DC1789"/>
    <w:rsid w:val="00DF7F16"/>
    <w:rsid w:val="00E00CFA"/>
    <w:rsid w:val="00E0758E"/>
    <w:rsid w:val="00E252C7"/>
    <w:rsid w:val="00E42FEB"/>
    <w:rsid w:val="00E43AA5"/>
    <w:rsid w:val="00E51148"/>
    <w:rsid w:val="00E875F8"/>
    <w:rsid w:val="00E95A62"/>
    <w:rsid w:val="00EA0BCE"/>
    <w:rsid w:val="00EB4AD3"/>
    <w:rsid w:val="00F04316"/>
    <w:rsid w:val="00F06436"/>
    <w:rsid w:val="00F5679F"/>
    <w:rsid w:val="00F77FC5"/>
    <w:rsid w:val="00FA466E"/>
    <w:rsid w:val="00FA5A5A"/>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054C720"/>
  <w15:chartTrackingRefBased/>
  <w15:docId w15:val="{C86592D7-6B82-284D-9ED3-4121D4C330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imes New Roman"/>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657EF"/>
    <w:rPr>
      <w:rFonts w:eastAsia="Times New Roma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875F8"/>
    <w:pPr>
      <w:ind w:left="720"/>
      <w:contextualSpacing/>
    </w:pPr>
    <w:rPr>
      <w:rFonts w:eastAsiaTheme="minorHAnsi"/>
    </w:rPr>
  </w:style>
  <w:style w:type="character" w:styleId="PlaceholderText">
    <w:name w:val="Placeholder Text"/>
    <w:basedOn w:val="DefaultParagraphFont"/>
    <w:uiPriority w:val="99"/>
    <w:semiHidden/>
    <w:rsid w:val="00976E08"/>
    <w:rPr>
      <w:color w:val="808080"/>
    </w:rPr>
  </w:style>
  <w:style w:type="character" w:styleId="CommentReference">
    <w:name w:val="annotation reference"/>
    <w:basedOn w:val="DefaultParagraphFont"/>
    <w:uiPriority w:val="99"/>
    <w:semiHidden/>
    <w:unhideWhenUsed/>
    <w:rsid w:val="00DF7F16"/>
    <w:rPr>
      <w:sz w:val="16"/>
      <w:szCs w:val="16"/>
    </w:rPr>
  </w:style>
  <w:style w:type="paragraph" w:styleId="CommentText">
    <w:name w:val="annotation text"/>
    <w:basedOn w:val="Normal"/>
    <w:link w:val="CommentTextChar"/>
    <w:uiPriority w:val="99"/>
    <w:semiHidden/>
    <w:unhideWhenUsed/>
    <w:rsid w:val="00DF7F16"/>
    <w:rPr>
      <w:rFonts w:eastAsiaTheme="minorHAnsi"/>
      <w:sz w:val="20"/>
      <w:szCs w:val="20"/>
    </w:rPr>
  </w:style>
  <w:style w:type="character" w:customStyle="1" w:styleId="CommentTextChar">
    <w:name w:val="Comment Text Char"/>
    <w:basedOn w:val="DefaultParagraphFont"/>
    <w:link w:val="CommentText"/>
    <w:uiPriority w:val="99"/>
    <w:semiHidden/>
    <w:rsid w:val="00DF7F16"/>
    <w:rPr>
      <w:sz w:val="20"/>
      <w:szCs w:val="20"/>
    </w:rPr>
  </w:style>
  <w:style w:type="paragraph" w:styleId="CommentSubject">
    <w:name w:val="annotation subject"/>
    <w:basedOn w:val="CommentText"/>
    <w:next w:val="CommentText"/>
    <w:link w:val="CommentSubjectChar"/>
    <w:uiPriority w:val="99"/>
    <w:semiHidden/>
    <w:unhideWhenUsed/>
    <w:rsid w:val="00DF7F16"/>
    <w:rPr>
      <w:b/>
      <w:bCs/>
    </w:rPr>
  </w:style>
  <w:style w:type="character" w:customStyle="1" w:styleId="CommentSubjectChar">
    <w:name w:val="Comment Subject Char"/>
    <w:basedOn w:val="CommentTextChar"/>
    <w:link w:val="CommentSubject"/>
    <w:uiPriority w:val="99"/>
    <w:semiHidden/>
    <w:rsid w:val="00DF7F16"/>
    <w:rPr>
      <w:b/>
      <w:bCs/>
      <w:sz w:val="20"/>
      <w:szCs w:val="20"/>
    </w:rPr>
  </w:style>
  <w:style w:type="paragraph" w:styleId="BalloonText">
    <w:name w:val="Balloon Text"/>
    <w:basedOn w:val="Normal"/>
    <w:link w:val="BalloonTextChar"/>
    <w:uiPriority w:val="99"/>
    <w:semiHidden/>
    <w:unhideWhenUsed/>
    <w:rsid w:val="00DF7F16"/>
    <w:rPr>
      <w:rFonts w:ascii="Segoe UI" w:eastAsiaTheme="minorHAnsi" w:hAnsi="Segoe UI" w:cs="Segoe UI"/>
      <w:sz w:val="18"/>
      <w:szCs w:val="18"/>
    </w:rPr>
  </w:style>
  <w:style w:type="character" w:customStyle="1" w:styleId="BalloonTextChar">
    <w:name w:val="Balloon Text Char"/>
    <w:basedOn w:val="DefaultParagraphFont"/>
    <w:link w:val="BalloonText"/>
    <w:uiPriority w:val="99"/>
    <w:semiHidden/>
    <w:rsid w:val="00DF7F16"/>
    <w:rPr>
      <w:rFonts w:ascii="Segoe UI" w:hAnsi="Segoe UI" w:cs="Segoe UI"/>
      <w:sz w:val="18"/>
      <w:szCs w:val="18"/>
    </w:rPr>
  </w:style>
  <w:style w:type="paragraph" w:styleId="FootnoteText">
    <w:name w:val="footnote text"/>
    <w:basedOn w:val="Normal"/>
    <w:link w:val="FootnoteTextChar"/>
    <w:uiPriority w:val="99"/>
    <w:semiHidden/>
    <w:unhideWhenUsed/>
    <w:rsid w:val="00E0758E"/>
    <w:rPr>
      <w:rFonts w:eastAsiaTheme="minorHAnsi"/>
      <w:sz w:val="20"/>
      <w:szCs w:val="20"/>
    </w:rPr>
  </w:style>
  <w:style w:type="character" w:customStyle="1" w:styleId="FootnoteTextChar">
    <w:name w:val="Footnote Text Char"/>
    <w:basedOn w:val="DefaultParagraphFont"/>
    <w:link w:val="FootnoteText"/>
    <w:uiPriority w:val="99"/>
    <w:semiHidden/>
    <w:rsid w:val="00E0758E"/>
    <w:rPr>
      <w:sz w:val="20"/>
      <w:szCs w:val="20"/>
    </w:rPr>
  </w:style>
  <w:style w:type="character" w:styleId="FootnoteReference">
    <w:name w:val="footnote reference"/>
    <w:basedOn w:val="DefaultParagraphFont"/>
    <w:uiPriority w:val="99"/>
    <w:semiHidden/>
    <w:unhideWhenUsed/>
    <w:rsid w:val="00E0758E"/>
    <w:rPr>
      <w:vertAlign w:val="superscript"/>
    </w:rPr>
  </w:style>
  <w:style w:type="paragraph" w:styleId="Revision">
    <w:name w:val="Revision"/>
    <w:hidden/>
    <w:uiPriority w:val="99"/>
    <w:semiHidden/>
    <w:rsid w:val="00152DED"/>
  </w:style>
  <w:style w:type="paragraph" w:styleId="Caption">
    <w:name w:val="caption"/>
    <w:basedOn w:val="Normal"/>
    <w:next w:val="Normal"/>
    <w:uiPriority w:val="35"/>
    <w:unhideWhenUsed/>
    <w:qFormat/>
    <w:rsid w:val="00BF2B8D"/>
    <w:pPr>
      <w:spacing w:after="200"/>
    </w:pPr>
    <w:rPr>
      <w:rFonts w:eastAsiaTheme="minorHAnsi"/>
      <w:i/>
      <w:iCs/>
      <w:color w:val="44546A" w:themeColor="text2"/>
      <w:sz w:val="18"/>
      <w:szCs w:val="18"/>
    </w:rPr>
  </w:style>
  <w:style w:type="paragraph" w:styleId="NormalWeb">
    <w:name w:val="Normal (Web)"/>
    <w:basedOn w:val="Normal"/>
    <w:uiPriority w:val="99"/>
    <w:unhideWhenUsed/>
    <w:rsid w:val="00E95A62"/>
    <w:pPr>
      <w:spacing w:before="100" w:beforeAutospacing="1" w:after="100" w:afterAutospacing="1"/>
    </w:pPr>
  </w:style>
  <w:style w:type="character" w:styleId="HTMLCode">
    <w:name w:val="HTML Code"/>
    <w:basedOn w:val="DefaultParagraphFont"/>
    <w:uiPriority w:val="99"/>
    <w:semiHidden/>
    <w:unhideWhenUsed/>
    <w:rsid w:val="00E95A62"/>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14188502">
      <w:bodyDiv w:val="1"/>
      <w:marLeft w:val="0"/>
      <w:marRight w:val="0"/>
      <w:marTop w:val="0"/>
      <w:marBottom w:val="0"/>
      <w:divBdr>
        <w:top w:val="none" w:sz="0" w:space="0" w:color="auto"/>
        <w:left w:val="none" w:sz="0" w:space="0" w:color="auto"/>
        <w:bottom w:val="none" w:sz="0" w:space="0" w:color="auto"/>
        <w:right w:val="none" w:sz="0" w:space="0" w:color="auto"/>
      </w:divBdr>
    </w:div>
    <w:div w:id="351494414">
      <w:bodyDiv w:val="1"/>
      <w:marLeft w:val="0"/>
      <w:marRight w:val="0"/>
      <w:marTop w:val="0"/>
      <w:marBottom w:val="0"/>
      <w:divBdr>
        <w:top w:val="none" w:sz="0" w:space="0" w:color="auto"/>
        <w:left w:val="none" w:sz="0" w:space="0" w:color="auto"/>
        <w:bottom w:val="none" w:sz="0" w:space="0" w:color="auto"/>
        <w:right w:val="none" w:sz="0" w:space="0" w:color="auto"/>
      </w:divBdr>
    </w:div>
    <w:div w:id="865869593">
      <w:bodyDiv w:val="1"/>
      <w:marLeft w:val="0"/>
      <w:marRight w:val="0"/>
      <w:marTop w:val="0"/>
      <w:marBottom w:val="0"/>
      <w:divBdr>
        <w:top w:val="none" w:sz="0" w:space="0" w:color="auto"/>
        <w:left w:val="none" w:sz="0" w:space="0" w:color="auto"/>
        <w:bottom w:val="none" w:sz="0" w:space="0" w:color="auto"/>
        <w:right w:val="none" w:sz="0" w:space="0" w:color="auto"/>
      </w:divBdr>
    </w:div>
    <w:div w:id="1214199190">
      <w:bodyDiv w:val="1"/>
      <w:marLeft w:val="0"/>
      <w:marRight w:val="0"/>
      <w:marTop w:val="0"/>
      <w:marBottom w:val="0"/>
      <w:divBdr>
        <w:top w:val="none" w:sz="0" w:space="0" w:color="auto"/>
        <w:left w:val="none" w:sz="0" w:space="0" w:color="auto"/>
        <w:bottom w:val="none" w:sz="0" w:space="0" w:color="auto"/>
        <w:right w:val="none" w:sz="0" w:space="0" w:color="auto"/>
      </w:divBdr>
    </w:div>
    <w:div w:id="1462840595">
      <w:bodyDiv w:val="1"/>
      <w:marLeft w:val="0"/>
      <w:marRight w:val="0"/>
      <w:marTop w:val="0"/>
      <w:marBottom w:val="0"/>
      <w:divBdr>
        <w:top w:val="none" w:sz="0" w:space="0" w:color="auto"/>
        <w:left w:val="none" w:sz="0" w:space="0" w:color="auto"/>
        <w:bottom w:val="none" w:sz="0" w:space="0" w:color="auto"/>
        <w:right w:val="none" w:sz="0" w:space="0" w:color="auto"/>
      </w:divBdr>
    </w:div>
    <w:div w:id="20958525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4.tiff"/><Relationship Id="rId3" Type="http://schemas.openxmlformats.org/officeDocument/2006/relationships/settings" Target="settings.xml"/><Relationship Id="rId7" Type="http://schemas.openxmlformats.org/officeDocument/2006/relationships/comments" Target="comments.xml"/><Relationship Id="rId12" Type="http://schemas.openxmlformats.org/officeDocument/2006/relationships/image" Target="media/image3.png"/><Relationship Id="rId17" Type="http://schemas.openxmlformats.org/officeDocument/2006/relationships/theme" Target="theme/theme1.xml"/><Relationship Id="rId2" Type="http://schemas.openxmlformats.org/officeDocument/2006/relationships/styles" Target="styles.xml"/><Relationship Id="rId16" Type="http://schemas.microsoft.com/office/2011/relationships/people" Target="peop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tiff"/><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1.tiff"/><Relationship Id="rId4" Type="http://schemas.openxmlformats.org/officeDocument/2006/relationships/webSettings" Target="webSettings.xml"/><Relationship Id="rId9" Type="http://schemas.microsoft.com/office/2016/09/relationships/commentsIds" Target="commentsIds.xml"/><Relationship Id="rId14" Type="http://schemas.microsoft.com/office/2018/08/relationships/commentsExtensible" Target="commentsExtensi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99</TotalTime>
  <Pages>1</Pages>
  <Words>7586</Words>
  <Characters>43241</Characters>
  <Application>Microsoft Office Word</Application>
  <DocSecurity>0</DocSecurity>
  <Lines>360</Lines>
  <Paragraphs>101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50726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Dustin Fife</dc:creator>
  <cp:keywords/>
  <dc:description/>
  <cp:lastModifiedBy>Fife, Dustin Allan</cp:lastModifiedBy>
  <cp:revision>24</cp:revision>
  <dcterms:created xsi:type="dcterms:W3CDTF">2020-07-29T14:25:00Z</dcterms:created>
  <dcterms:modified xsi:type="dcterms:W3CDTF">2020-09-16T14:05:00Z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e330d07f-bc3b-357f-882c-3cb43303f77e</vt:lpwstr>
  </property>
  <property fmtid="{D5CDD505-2E9C-101B-9397-08002B2CF9AE}" pid="4" name="Mendeley Citation Style_1">
    <vt:lpwstr>http://www.zotero.org/styles/apa</vt:lpwstr>
  </property>
</Properties>
</file>