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BBDC" w14:textId="558BA9D8" w:rsidR="00915C19" w:rsidRDefault="00626E5B">
      <w:pPr>
        <w:rPr>
          <w:rFonts w:ascii="Times New Roman" w:hAnsi="Times New Roman" w:cs="Times New Roman"/>
          <w:b/>
          <w:bCs/>
        </w:rPr>
      </w:pPr>
      <w:r w:rsidRPr="00626E5B">
        <w:rPr>
          <w:rFonts w:ascii="Times New Roman" w:hAnsi="Times New Roman" w:cs="Times New Roman"/>
          <w:b/>
          <w:bCs/>
        </w:rPr>
        <w:t>Translational Abstract</w:t>
      </w:r>
    </w:p>
    <w:p w14:paraId="69FFB821" w14:textId="1247C313" w:rsidR="00626E5B" w:rsidRDefault="00626E5B">
      <w:pPr>
        <w:rPr>
          <w:rFonts w:ascii="Times New Roman" w:hAnsi="Times New Roman" w:cs="Times New Roman"/>
          <w:b/>
          <w:bCs/>
        </w:rPr>
      </w:pPr>
    </w:p>
    <w:p w14:paraId="661377C2" w14:textId="605BCE7A" w:rsidR="00626E5B" w:rsidRPr="00626E5B" w:rsidRDefault="00390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class of models frequently used by researchers called “Latent Variable Models,” or LVMs. These models are extremely flexible and useful, especially when one is trying to assess a characteristic that is “unobserved,” like intelligence or depression. However, historically, there have not been intuitive methods for evaluating how well these models fit the data. This paper introduces a software application called “</w:t>
      </w:r>
      <w:proofErr w:type="spellStart"/>
      <w:r>
        <w:rPr>
          <w:rFonts w:ascii="Times New Roman" w:hAnsi="Times New Roman" w:cs="Times New Roman"/>
        </w:rPr>
        <w:t>flexplavaan</w:t>
      </w:r>
      <w:proofErr w:type="spellEnd"/>
      <w:r>
        <w:rPr>
          <w:rFonts w:ascii="Times New Roman" w:hAnsi="Times New Roman" w:cs="Times New Roman"/>
        </w:rPr>
        <w:t xml:space="preserve">,” which makes it easy to visualize the fits of these models. </w:t>
      </w:r>
      <w:proofErr w:type="spellStart"/>
      <w:r>
        <w:rPr>
          <w:rFonts w:ascii="Times New Roman" w:hAnsi="Times New Roman" w:cs="Times New Roman"/>
        </w:rPr>
        <w:t>Flexplavaan</w:t>
      </w:r>
      <w:proofErr w:type="spellEnd"/>
      <w:r>
        <w:rPr>
          <w:rFonts w:ascii="Times New Roman" w:hAnsi="Times New Roman" w:cs="Times New Roman"/>
        </w:rPr>
        <w:t xml:space="preserve"> makes it easy to identify sources of misfit and to evaluate the model’s assumptions</w:t>
      </w:r>
      <w:r w:rsidR="00510826">
        <w:rPr>
          <w:rFonts w:ascii="Times New Roman" w:hAnsi="Times New Roman" w:cs="Times New Roman"/>
        </w:rPr>
        <w:t xml:space="preserve">. </w:t>
      </w:r>
    </w:p>
    <w:sectPr w:rsidR="00626E5B" w:rsidRPr="00626E5B" w:rsidSect="00C4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5B"/>
    <w:rsid w:val="002E6AE4"/>
    <w:rsid w:val="003902A9"/>
    <w:rsid w:val="004C4707"/>
    <w:rsid w:val="00510826"/>
    <w:rsid w:val="00626E5B"/>
    <w:rsid w:val="00766098"/>
    <w:rsid w:val="00771B22"/>
    <w:rsid w:val="00C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104C1"/>
  <w15:chartTrackingRefBased/>
  <w15:docId w15:val="{395B4FE7-908A-B84E-B84C-253F0E0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Table">
    <w:name w:val="APA Table"/>
    <w:semiHidden/>
    <w:unhideWhenUsed/>
    <w:qFormat/>
    <w:rsid w:val="00766098"/>
    <w:pPr>
      <w:spacing w:after="200"/>
      <w:jc w:val="center"/>
    </w:pPr>
    <w:rPr>
      <w:rFonts w:ascii="Times New Roman" w:hAnsi="Times New Roman"/>
      <w:sz w:val="22"/>
      <w:szCs w:val="20"/>
    </w:rPr>
    <w:tblPr>
      <w:tblStyleRowBandSize w:val="1"/>
      <w:tblStyleColBandSize w:val="1"/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  <w:style w:type="table" w:styleId="PlainTable5">
    <w:name w:val="Plain Table 5"/>
    <w:basedOn w:val="TableNormal"/>
    <w:rsid w:val="00766098"/>
    <w:rPr>
      <w:b/>
      <w:sz w:val="3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APATable"/>
    <w:uiPriority w:val="99"/>
    <w:rsid w:val="00766098"/>
    <w:tblPr/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3</cp:revision>
  <dcterms:created xsi:type="dcterms:W3CDTF">2021-10-20T21:24:00Z</dcterms:created>
  <dcterms:modified xsi:type="dcterms:W3CDTF">2021-10-20T21:27:00Z</dcterms:modified>
</cp:coreProperties>
</file>